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6" w:rsidRDefault="00E17519">
      <w:pPr>
        <w:pStyle w:val="Style1"/>
        <w:kinsoku w:val="0"/>
        <w:autoSpaceDE/>
        <w:autoSpaceDN/>
        <w:adjustRightInd/>
        <w:spacing w:before="288" w:line="213" w:lineRule="auto"/>
        <w:jc w:val="center"/>
        <w:rPr>
          <w:rFonts w:ascii="Verdana" w:hAnsi="Verdana" w:cs="Verdana"/>
          <w:b/>
          <w:bCs/>
          <w:w w:val="105"/>
          <w:sz w:val="23"/>
          <w:szCs w:val="23"/>
          <w:lang w:val="es-ES" w:eastAsia="es-ES"/>
        </w:rPr>
      </w:pPr>
      <w:r>
        <w:rPr>
          <w:rFonts w:ascii="Verdana" w:hAnsi="Verdana" w:cs="Verdana"/>
          <w:b/>
          <w:bCs/>
          <w:w w:val="105"/>
          <w:sz w:val="23"/>
          <w:szCs w:val="23"/>
          <w:lang w:val="es-ES" w:eastAsia="es-ES"/>
        </w:rPr>
        <w:t>RESOLUCION N° TAT- 1429 -05</w:t>
      </w:r>
    </w:p>
    <w:p w:rsidR="008907A6" w:rsidRDefault="00E17519" w:rsidP="008E6322">
      <w:pPr>
        <w:pStyle w:val="Style1"/>
        <w:kinsoku w:val="0"/>
        <w:autoSpaceDE/>
        <w:autoSpaceDN/>
        <w:adjustRightInd/>
        <w:spacing w:before="612"/>
        <w:ind w:left="72"/>
        <w:jc w:val="both"/>
        <w:rPr>
          <w:rFonts w:ascii="Tahoma" w:hAnsi="Tahoma" w:cs="Tahoma"/>
          <w:spacing w:val="14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4"/>
          <w:w w:val="105"/>
          <w:sz w:val="22"/>
          <w:szCs w:val="22"/>
          <w:lang w:val="es-ES" w:eastAsia="es-ES"/>
        </w:rPr>
        <w:t xml:space="preserve">TRIBUNAL ADMINISTRATIVO DE TRANSPORTE. </w:t>
      </w:r>
      <w:r>
        <w:rPr>
          <w:rFonts w:ascii="Tahoma" w:hAnsi="Tahoma" w:cs="Tahoma"/>
          <w:spacing w:val="4"/>
          <w:sz w:val="22"/>
          <w:szCs w:val="22"/>
          <w:lang w:val="es-ES" w:eastAsia="es-ES"/>
        </w:rPr>
        <w:t xml:space="preserve">San José, a las catorce </w:t>
      </w:r>
      <w:r>
        <w:rPr>
          <w:rFonts w:ascii="Tahoma" w:hAnsi="Tahoma" w:cs="Tahoma"/>
          <w:spacing w:val="14"/>
          <w:sz w:val="22"/>
          <w:szCs w:val="22"/>
          <w:lang w:val="es-ES" w:eastAsia="es-ES"/>
        </w:rPr>
        <w:t>horas y veinte minutos del veintiséis de octubre del dos mil cinco.-</w:t>
      </w:r>
    </w:p>
    <w:p w:rsidR="008907A6" w:rsidRDefault="00E17519" w:rsidP="008E6322">
      <w:pPr>
        <w:pStyle w:val="Style1"/>
        <w:kinsoku w:val="0"/>
        <w:autoSpaceDE/>
        <w:autoSpaceDN/>
        <w:adjustRightInd/>
        <w:spacing w:before="252"/>
        <w:ind w:left="72"/>
        <w:jc w:val="both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Tahoma" w:hAnsi="Tahoma" w:cs="Tahoma"/>
          <w:spacing w:val="18"/>
          <w:sz w:val="22"/>
          <w:szCs w:val="22"/>
          <w:lang w:val="es-ES" w:eastAsia="es-ES"/>
        </w:rPr>
        <w:t>Se conoce QUEJA promovida por el señor D</w:t>
      </w:r>
      <w:r w:rsidR="00F36C14">
        <w:rPr>
          <w:rFonts w:ascii="Tahoma" w:hAnsi="Tahoma" w:cs="Tahoma"/>
          <w:spacing w:val="18"/>
          <w:sz w:val="22"/>
          <w:szCs w:val="22"/>
          <w:lang w:val="es-ES" w:eastAsia="es-ES"/>
        </w:rPr>
        <w:t>.H.C.</w:t>
      </w:r>
      <w:r>
        <w:rPr>
          <w:rFonts w:ascii="Tahoma" w:hAnsi="Tahoma" w:cs="Tahoma"/>
          <w:spacing w:val="18"/>
          <w:sz w:val="22"/>
          <w:szCs w:val="22"/>
          <w:lang w:val="es-ES" w:eastAsia="es-ES"/>
        </w:rPr>
        <w:t xml:space="preserve">, cédula </w:t>
      </w:r>
      <w:r>
        <w:rPr>
          <w:rFonts w:ascii="Tahoma" w:hAnsi="Tahoma" w:cs="Tahoma"/>
          <w:spacing w:val="25"/>
          <w:sz w:val="22"/>
          <w:szCs w:val="22"/>
          <w:lang w:val="es-ES" w:eastAsia="es-ES"/>
        </w:rPr>
        <w:t xml:space="preserve">de </w:t>
      </w:r>
      <w:proofErr w:type="gramStart"/>
      <w:r>
        <w:rPr>
          <w:rFonts w:ascii="Tahoma" w:hAnsi="Tahoma" w:cs="Tahoma"/>
          <w:spacing w:val="25"/>
          <w:sz w:val="22"/>
          <w:szCs w:val="22"/>
          <w:lang w:val="es-ES" w:eastAsia="es-ES"/>
        </w:rPr>
        <w:t xml:space="preserve">identidad </w:t>
      </w:r>
      <w:r w:rsidR="00F36C14">
        <w:rPr>
          <w:rFonts w:ascii="Tahoma" w:hAnsi="Tahoma" w:cs="Tahoma"/>
          <w:spacing w:val="25"/>
          <w:sz w:val="22"/>
          <w:szCs w:val="22"/>
          <w:lang w:val="es-ES" w:eastAsia="es-ES"/>
        </w:rPr>
        <w:t>…</w:t>
      </w:r>
      <w:proofErr w:type="gramEnd"/>
      <w:r>
        <w:rPr>
          <w:rFonts w:ascii="Tahoma" w:hAnsi="Tahoma" w:cs="Tahoma"/>
          <w:spacing w:val="25"/>
          <w:sz w:val="22"/>
          <w:szCs w:val="22"/>
          <w:lang w:val="es-ES" w:eastAsia="es-ES"/>
        </w:rPr>
        <w:t xml:space="preserve">, en su calidad de Presidente con facultades de </w:t>
      </w:r>
      <w:r>
        <w:rPr>
          <w:rFonts w:ascii="Tahoma" w:hAnsi="Tahoma" w:cs="Tahoma"/>
          <w:spacing w:val="30"/>
          <w:sz w:val="22"/>
          <w:szCs w:val="22"/>
          <w:lang w:val="es-ES" w:eastAsia="es-ES"/>
        </w:rPr>
        <w:t>apoderado generalísimo sin límite de suma de la compañía E</w:t>
      </w:r>
      <w:r w:rsidR="00F36C14">
        <w:rPr>
          <w:rFonts w:ascii="Tahoma" w:hAnsi="Tahoma" w:cs="Tahoma"/>
          <w:spacing w:val="30"/>
          <w:sz w:val="22"/>
          <w:szCs w:val="22"/>
          <w:lang w:val="es-ES" w:eastAsia="es-ES"/>
        </w:rPr>
        <w:t>.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>T</w:t>
      </w:r>
      <w:r w:rsidR="00F36C14">
        <w:rPr>
          <w:rFonts w:ascii="Tahoma" w:hAnsi="Tahoma" w:cs="Tahoma"/>
          <w:spacing w:val="15"/>
          <w:sz w:val="22"/>
          <w:szCs w:val="22"/>
          <w:lang w:val="es-ES" w:eastAsia="es-ES"/>
        </w:rPr>
        <w:t>.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>S</w:t>
      </w:r>
      <w:r w:rsidR="00F36C14">
        <w:rPr>
          <w:rFonts w:ascii="Tahoma" w:hAnsi="Tahoma" w:cs="Tahoma"/>
          <w:spacing w:val="15"/>
          <w:sz w:val="22"/>
          <w:szCs w:val="22"/>
          <w:lang w:val="es-ES" w:eastAsia="es-ES"/>
        </w:rPr>
        <w:t>.A.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 S.A., cédula de persona jurídica </w:t>
      </w:r>
      <w:r w:rsidR="00F36C14">
        <w:rPr>
          <w:rFonts w:ascii="Tahoma" w:hAnsi="Tahoma" w:cs="Tahoma"/>
          <w:spacing w:val="15"/>
          <w:sz w:val="22"/>
          <w:szCs w:val="22"/>
          <w:lang w:val="es-ES" w:eastAsia="es-ES"/>
        </w:rPr>
        <w:t>…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 </w:t>
      </w:r>
      <w:r>
        <w:rPr>
          <w:rFonts w:ascii="Tahoma" w:hAnsi="Tahoma" w:cs="Tahoma"/>
          <w:spacing w:val="14"/>
          <w:sz w:val="22"/>
          <w:szCs w:val="22"/>
          <w:lang w:val="es-ES" w:eastAsia="es-ES"/>
        </w:rPr>
        <w:t xml:space="preserve">contra los miembros de la Junta Directiva del Consejo de Transporte Público: </w:t>
      </w:r>
      <w:r>
        <w:rPr>
          <w:rFonts w:ascii="Tahoma" w:hAnsi="Tahoma" w:cs="Tahoma"/>
          <w:spacing w:val="19"/>
          <w:sz w:val="22"/>
          <w:szCs w:val="22"/>
          <w:lang w:val="es-ES" w:eastAsia="es-ES"/>
        </w:rPr>
        <w:t xml:space="preserve">Roberto Arguedas Pérez, Rafael Chan </w:t>
      </w:r>
      <w:proofErr w:type="spellStart"/>
      <w:r>
        <w:rPr>
          <w:rFonts w:ascii="Tahoma" w:hAnsi="Tahoma" w:cs="Tahoma"/>
          <w:spacing w:val="19"/>
          <w:sz w:val="22"/>
          <w:szCs w:val="22"/>
          <w:lang w:val="es-ES" w:eastAsia="es-ES"/>
        </w:rPr>
        <w:t>Jáen</w:t>
      </w:r>
      <w:proofErr w:type="spellEnd"/>
      <w:r>
        <w:rPr>
          <w:rFonts w:ascii="Tahoma" w:hAnsi="Tahoma" w:cs="Tahoma"/>
          <w:spacing w:val="19"/>
          <w:sz w:val="22"/>
          <w:szCs w:val="22"/>
          <w:lang w:val="es-ES" w:eastAsia="es-ES"/>
        </w:rPr>
        <w:t xml:space="preserve">, Eladio Campos </w:t>
      </w:r>
      <w:proofErr w:type="spellStart"/>
      <w:r>
        <w:rPr>
          <w:rFonts w:ascii="Tahoma" w:hAnsi="Tahoma" w:cs="Tahoma"/>
          <w:spacing w:val="19"/>
          <w:sz w:val="22"/>
          <w:szCs w:val="22"/>
          <w:lang w:val="es-ES" w:eastAsia="es-ES"/>
        </w:rPr>
        <w:t>Campos</w:t>
      </w:r>
      <w:proofErr w:type="spellEnd"/>
      <w:r>
        <w:rPr>
          <w:rFonts w:ascii="Tahoma" w:hAnsi="Tahoma" w:cs="Tahoma"/>
          <w:spacing w:val="19"/>
          <w:sz w:val="22"/>
          <w:szCs w:val="22"/>
          <w:lang w:val="es-ES" w:eastAsia="es-ES"/>
        </w:rPr>
        <w:t xml:space="preserve">, Edwin </w:t>
      </w:r>
      <w:r>
        <w:rPr>
          <w:rFonts w:ascii="Tahoma" w:hAnsi="Tahoma" w:cs="Tahoma"/>
          <w:spacing w:val="31"/>
          <w:sz w:val="22"/>
          <w:szCs w:val="22"/>
          <w:lang w:val="es-ES" w:eastAsia="es-ES"/>
        </w:rPr>
        <w:t xml:space="preserve">Barboza Guzmán, Olman Bonilla </w:t>
      </w:r>
      <w:proofErr w:type="spellStart"/>
      <w:r>
        <w:rPr>
          <w:rFonts w:ascii="Tahoma" w:hAnsi="Tahoma" w:cs="Tahoma"/>
          <w:spacing w:val="31"/>
          <w:sz w:val="22"/>
          <w:szCs w:val="22"/>
          <w:lang w:val="es-ES" w:eastAsia="es-ES"/>
        </w:rPr>
        <w:t>Oconitrillo</w:t>
      </w:r>
      <w:proofErr w:type="spellEnd"/>
      <w:r>
        <w:rPr>
          <w:rFonts w:ascii="Tahoma" w:hAnsi="Tahoma" w:cs="Tahoma"/>
          <w:spacing w:val="31"/>
          <w:sz w:val="22"/>
          <w:szCs w:val="22"/>
          <w:lang w:val="es-ES" w:eastAsia="es-ES"/>
        </w:rPr>
        <w:t xml:space="preserve"> y </w:t>
      </w:r>
      <w:proofErr w:type="spellStart"/>
      <w:r>
        <w:rPr>
          <w:rFonts w:ascii="Tahoma" w:hAnsi="Tahoma" w:cs="Tahoma"/>
          <w:spacing w:val="31"/>
          <w:sz w:val="22"/>
          <w:szCs w:val="22"/>
          <w:lang w:val="es-ES" w:eastAsia="es-ES"/>
        </w:rPr>
        <w:t>Olger</w:t>
      </w:r>
      <w:proofErr w:type="spellEnd"/>
      <w:r>
        <w:rPr>
          <w:rFonts w:ascii="Tahoma" w:hAnsi="Tahoma" w:cs="Tahoma"/>
          <w:spacing w:val="31"/>
          <w:sz w:val="22"/>
          <w:szCs w:val="22"/>
          <w:lang w:val="es-ES" w:eastAsia="es-ES"/>
        </w:rPr>
        <w:t xml:space="preserve"> Murillo Ramírez. </w:t>
      </w: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Expediente Administrativo N° TAT-036-05.</w:t>
      </w:r>
    </w:p>
    <w:p w:rsidR="008907A6" w:rsidRDefault="00E17519">
      <w:pPr>
        <w:pStyle w:val="Style1"/>
        <w:kinsoku w:val="0"/>
        <w:autoSpaceDE/>
        <w:autoSpaceDN/>
        <w:adjustRightInd/>
        <w:spacing w:before="288"/>
        <w:ind w:left="72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Redacta el Juez Portuguez Méndez y;</w:t>
      </w:r>
    </w:p>
    <w:p w:rsidR="008907A6" w:rsidRDefault="00E17519">
      <w:pPr>
        <w:pStyle w:val="Style1"/>
        <w:kinsoku w:val="0"/>
        <w:autoSpaceDE/>
        <w:autoSpaceDN/>
        <w:adjustRightInd/>
        <w:spacing w:before="288" w:line="196" w:lineRule="auto"/>
        <w:ind w:left="3672"/>
        <w:rPr>
          <w:rFonts w:ascii="Verdana" w:hAnsi="Verdana" w:cs="Verdana"/>
          <w:b/>
          <w:bCs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RESULTANDO:</w:t>
      </w:r>
    </w:p>
    <w:p w:rsidR="008907A6" w:rsidRDefault="00E17519">
      <w:pPr>
        <w:pStyle w:val="Style1"/>
        <w:kinsoku w:val="0"/>
        <w:autoSpaceDE/>
        <w:autoSpaceDN/>
        <w:adjustRightInd/>
        <w:spacing w:before="288"/>
        <w:ind w:left="72"/>
        <w:jc w:val="both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12"/>
          <w:w w:val="105"/>
          <w:sz w:val="22"/>
          <w:szCs w:val="22"/>
          <w:lang w:val="es-ES" w:eastAsia="es-ES"/>
        </w:rPr>
        <w:t xml:space="preserve">PRIMERO: </w:t>
      </w:r>
      <w:r>
        <w:rPr>
          <w:rFonts w:ascii="Tahoma" w:hAnsi="Tahoma" w:cs="Tahoma"/>
          <w:spacing w:val="12"/>
          <w:sz w:val="22"/>
          <w:szCs w:val="22"/>
          <w:lang w:val="es-ES" w:eastAsia="es-ES"/>
        </w:rPr>
        <w:t xml:space="preserve">Que el día 5 de julio de 2005, el señor </w:t>
      </w:r>
      <w:r w:rsidR="00F36C14">
        <w:rPr>
          <w:rFonts w:ascii="Tahoma" w:hAnsi="Tahoma" w:cs="Tahoma"/>
          <w:spacing w:val="12"/>
          <w:sz w:val="22"/>
          <w:szCs w:val="22"/>
          <w:lang w:val="es-ES" w:eastAsia="es-ES"/>
        </w:rPr>
        <w:t>D.H.C</w:t>
      </w:r>
      <w:r>
        <w:rPr>
          <w:rFonts w:ascii="Tahoma" w:hAnsi="Tahoma" w:cs="Tahoma"/>
          <w:spacing w:val="12"/>
          <w:sz w:val="22"/>
          <w:szCs w:val="22"/>
          <w:lang w:val="es-ES" w:eastAsia="es-ES"/>
        </w:rPr>
        <w:t xml:space="preserve"> Cantillo, </w:t>
      </w:r>
      <w:r>
        <w:rPr>
          <w:rFonts w:ascii="Tahoma" w:hAnsi="Tahoma" w:cs="Tahoma"/>
          <w:spacing w:val="17"/>
          <w:sz w:val="22"/>
          <w:szCs w:val="22"/>
          <w:lang w:val="es-ES" w:eastAsia="es-ES"/>
        </w:rPr>
        <w:t xml:space="preserve">en su condición de Presidente con facultades de apoderado generalísimo sin </w:t>
      </w:r>
      <w:r>
        <w:rPr>
          <w:rFonts w:ascii="Tahoma" w:hAnsi="Tahoma" w:cs="Tahoma"/>
          <w:spacing w:val="24"/>
          <w:sz w:val="22"/>
          <w:szCs w:val="22"/>
          <w:lang w:val="es-ES" w:eastAsia="es-ES"/>
        </w:rPr>
        <w:t>límite de suma de la compañía E</w:t>
      </w:r>
      <w:r w:rsidR="00F36C14">
        <w:rPr>
          <w:rFonts w:ascii="Tahoma" w:hAnsi="Tahoma" w:cs="Tahoma"/>
          <w:spacing w:val="24"/>
          <w:sz w:val="22"/>
          <w:szCs w:val="22"/>
          <w:lang w:val="es-ES" w:eastAsia="es-ES"/>
        </w:rPr>
        <w:t>.T.</w:t>
      </w:r>
      <w:r>
        <w:rPr>
          <w:rFonts w:ascii="Tahoma" w:hAnsi="Tahoma" w:cs="Tahoma"/>
          <w:spacing w:val="24"/>
          <w:sz w:val="22"/>
          <w:szCs w:val="22"/>
          <w:lang w:val="es-ES" w:eastAsia="es-ES"/>
        </w:rPr>
        <w:t>S</w:t>
      </w:r>
      <w:r w:rsidR="00F36C14">
        <w:rPr>
          <w:rFonts w:ascii="Tahoma" w:hAnsi="Tahoma" w:cs="Tahoma"/>
          <w:spacing w:val="24"/>
          <w:sz w:val="22"/>
          <w:szCs w:val="22"/>
          <w:lang w:val="es-ES" w:eastAsia="es-ES"/>
        </w:rPr>
        <w:t>.</w:t>
      </w:r>
      <w:r>
        <w:rPr>
          <w:rFonts w:ascii="Tahoma" w:hAnsi="Tahoma" w:cs="Tahoma"/>
          <w:spacing w:val="24"/>
          <w:sz w:val="22"/>
          <w:szCs w:val="22"/>
          <w:lang w:val="es-ES" w:eastAsia="es-ES"/>
        </w:rPr>
        <w:t>A</w:t>
      </w:r>
      <w:r w:rsidR="00F36C14">
        <w:rPr>
          <w:rFonts w:ascii="Tahoma" w:hAnsi="Tahoma" w:cs="Tahoma"/>
          <w:spacing w:val="24"/>
          <w:sz w:val="22"/>
          <w:szCs w:val="22"/>
          <w:lang w:val="es-ES" w:eastAsia="es-ES"/>
        </w:rPr>
        <w:t>.</w:t>
      </w:r>
      <w:r>
        <w:rPr>
          <w:rFonts w:ascii="Tahoma" w:hAnsi="Tahoma" w:cs="Tahoma"/>
          <w:spacing w:val="24"/>
          <w:sz w:val="22"/>
          <w:szCs w:val="22"/>
          <w:lang w:val="es-ES" w:eastAsia="es-ES"/>
        </w:rPr>
        <w:t xml:space="preserve"> S.A., presenta ante este Tribunal un escrito rotulado QUEJA en contra de los </w:t>
      </w:r>
      <w:r>
        <w:rPr>
          <w:rFonts w:ascii="Tahoma" w:hAnsi="Tahoma" w:cs="Tahoma"/>
          <w:spacing w:val="16"/>
          <w:sz w:val="22"/>
          <w:szCs w:val="22"/>
          <w:lang w:val="es-ES" w:eastAsia="es-ES"/>
        </w:rPr>
        <w:t xml:space="preserve">miembros que integran la Junta Directiva del Consejo de Transporte Público </w:t>
      </w:r>
      <w:r>
        <w:rPr>
          <w:rFonts w:ascii="Tahoma" w:hAnsi="Tahoma" w:cs="Tahoma"/>
          <w:spacing w:val="17"/>
          <w:sz w:val="22"/>
          <w:szCs w:val="22"/>
          <w:lang w:val="es-ES" w:eastAsia="es-ES"/>
        </w:rPr>
        <w:t xml:space="preserve">señores Roberto Arguedas Pérez, Rafael Chan </w:t>
      </w:r>
      <w:proofErr w:type="spellStart"/>
      <w:r>
        <w:rPr>
          <w:rFonts w:ascii="Tahoma" w:hAnsi="Tahoma" w:cs="Tahoma"/>
          <w:spacing w:val="17"/>
          <w:sz w:val="22"/>
          <w:szCs w:val="22"/>
          <w:lang w:val="es-ES" w:eastAsia="es-ES"/>
        </w:rPr>
        <w:t>Jáen</w:t>
      </w:r>
      <w:proofErr w:type="spellEnd"/>
      <w:r>
        <w:rPr>
          <w:rFonts w:ascii="Tahoma" w:hAnsi="Tahoma" w:cs="Tahoma"/>
          <w:spacing w:val="17"/>
          <w:sz w:val="22"/>
          <w:szCs w:val="22"/>
          <w:lang w:val="es-ES" w:eastAsia="es-ES"/>
        </w:rPr>
        <w:t xml:space="preserve">, Eladio Campos </w:t>
      </w:r>
      <w:proofErr w:type="spellStart"/>
      <w:r>
        <w:rPr>
          <w:rFonts w:ascii="Tahoma" w:hAnsi="Tahoma" w:cs="Tahoma"/>
          <w:spacing w:val="17"/>
          <w:sz w:val="22"/>
          <w:szCs w:val="22"/>
          <w:lang w:val="es-ES" w:eastAsia="es-ES"/>
        </w:rPr>
        <w:t>Campos</w:t>
      </w:r>
      <w:proofErr w:type="spellEnd"/>
      <w:r>
        <w:rPr>
          <w:rFonts w:ascii="Tahoma" w:hAnsi="Tahoma" w:cs="Tahoma"/>
          <w:spacing w:val="17"/>
          <w:sz w:val="22"/>
          <w:szCs w:val="22"/>
          <w:lang w:val="es-ES" w:eastAsia="es-ES"/>
        </w:rPr>
        <w:t xml:space="preserve">, </w:t>
      </w:r>
      <w:r>
        <w:rPr>
          <w:rFonts w:ascii="Tahoma" w:hAnsi="Tahoma" w:cs="Tahoma"/>
          <w:spacing w:val="20"/>
          <w:sz w:val="22"/>
          <w:szCs w:val="22"/>
          <w:lang w:val="es-ES" w:eastAsia="es-ES"/>
        </w:rPr>
        <w:t xml:space="preserve">Edwin Barboza Guzmán, Olman Bonilla </w:t>
      </w:r>
      <w:proofErr w:type="spellStart"/>
      <w:r>
        <w:rPr>
          <w:rFonts w:ascii="Tahoma" w:hAnsi="Tahoma" w:cs="Tahoma"/>
          <w:spacing w:val="20"/>
          <w:sz w:val="22"/>
          <w:szCs w:val="22"/>
          <w:lang w:val="es-ES" w:eastAsia="es-ES"/>
        </w:rPr>
        <w:t>Oconitrillo</w:t>
      </w:r>
      <w:proofErr w:type="spellEnd"/>
      <w:r>
        <w:rPr>
          <w:rFonts w:ascii="Tahoma" w:hAnsi="Tahoma" w:cs="Tahoma"/>
          <w:spacing w:val="20"/>
          <w:sz w:val="22"/>
          <w:szCs w:val="22"/>
          <w:lang w:val="es-ES" w:eastAsia="es-ES"/>
        </w:rPr>
        <w:t xml:space="preserve"> y </w:t>
      </w:r>
      <w:proofErr w:type="spellStart"/>
      <w:r>
        <w:rPr>
          <w:rFonts w:ascii="Tahoma" w:hAnsi="Tahoma" w:cs="Tahoma"/>
          <w:spacing w:val="20"/>
          <w:sz w:val="22"/>
          <w:szCs w:val="22"/>
          <w:lang w:val="es-ES" w:eastAsia="es-ES"/>
        </w:rPr>
        <w:t>Olger</w:t>
      </w:r>
      <w:proofErr w:type="spellEnd"/>
      <w:r>
        <w:rPr>
          <w:rFonts w:ascii="Tahoma" w:hAnsi="Tahoma" w:cs="Tahoma"/>
          <w:spacing w:val="20"/>
          <w:sz w:val="22"/>
          <w:szCs w:val="22"/>
          <w:lang w:val="es-ES" w:eastAsia="es-ES"/>
        </w:rPr>
        <w:t xml:space="preserve"> Murillo Ramírez. </w:t>
      </w: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 xml:space="preserve">(Ver folio N° 56 a 71 de </w:t>
      </w:r>
      <w:proofErr w:type="spellStart"/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Exp</w:t>
      </w:r>
      <w:proofErr w:type="spellEnd"/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. 036- 05).</w:t>
      </w:r>
    </w:p>
    <w:p w:rsidR="008907A6" w:rsidRDefault="00E17519">
      <w:pPr>
        <w:pStyle w:val="Style1"/>
        <w:kinsoku w:val="0"/>
        <w:autoSpaceDE/>
        <w:autoSpaceDN/>
        <w:adjustRightInd/>
        <w:spacing w:before="252"/>
        <w:ind w:left="72"/>
        <w:rPr>
          <w:rFonts w:ascii="Tahoma" w:hAnsi="Tahoma" w:cs="Tahoma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15"/>
          <w:w w:val="105"/>
          <w:sz w:val="22"/>
          <w:szCs w:val="22"/>
          <w:lang w:val="es-ES" w:eastAsia="es-ES"/>
        </w:rPr>
        <w:t xml:space="preserve">SEGUNDO: 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Que en los procedimientos se han seguido las prescripciones de </w:t>
      </w:r>
      <w:r>
        <w:rPr>
          <w:rFonts w:ascii="Tahoma" w:hAnsi="Tahoma" w:cs="Tahoma"/>
          <w:sz w:val="22"/>
          <w:szCs w:val="22"/>
          <w:lang w:val="es-ES" w:eastAsia="es-ES"/>
        </w:rPr>
        <w:t>ley.</w:t>
      </w:r>
    </w:p>
    <w:p w:rsidR="008907A6" w:rsidRDefault="00E17519">
      <w:pPr>
        <w:pStyle w:val="Style1"/>
        <w:kinsoku w:val="0"/>
        <w:autoSpaceDE/>
        <w:autoSpaceDN/>
        <w:adjustRightInd/>
        <w:spacing w:before="288"/>
        <w:ind w:left="72"/>
        <w:rPr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  <w:t>REDACTA EL JUEZ PORTUGUEZ MÉNDEZ</w:t>
      </w:r>
    </w:p>
    <w:p w:rsidR="008907A6" w:rsidRDefault="00E17519">
      <w:pPr>
        <w:pStyle w:val="Style1"/>
        <w:kinsoku w:val="0"/>
        <w:autoSpaceDE/>
        <w:autoSpaceDN/>
        <w:adjustRightInd/>
        <w:spacing w:before="288" w:line="199" w:lineRule="auto"/>
        <w:ind w:left="3528"/>
        <w:rPr>
          <w:rFonts w:ascii="Verdana" w:hAnsi="Verdana" w:cs="Verdana"/>
          <w:b/>
          <w:bCs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CONSIDERANDO</w:t>
      </w:r>
    </w:p>
    <w:p w:rsidR="008907A6" w:rsidRDefault="00E17519">
      <w:pPr>
        <w:pStyle w:val="Style1"/>
        <w:kinsoku w:val="0"/>
        <w:autoSpaceDE/>
        <w:autoSpaceDN/>
        <w:adjustRightInd/>
        <w:spacing w:before="288" w:line="213" w:lineRule="auto"/>
        <w:ind w:left="2016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UNICO: SE DECLARA LA INCOMPETENCIA</w:t>
      </w:r>
    </w:p>
    <w:p w:rsidR="008907A6" w:rsidRDefault="00E17519" w:rsidP="00F36C14">
      <w:pPr>
        <w:pStyle w:val="Style1"/>
        <w:kinsoku w:val="0"/>
        <w:autoSpaceDE/>
        <w:autoSpaceDN/>
        <w:adjustRightInd/>
        <w:spacing w:before="504" w:after="720"/>
        <w:ind w:left="72"/>
        <w:jc w:val="both"/>
        <w:rPr>
          <w:rStyle w:val="CharacterStyle2"/>
          <w:rFonts w:ascii="Tahoma" w:hAnsi="Tahoma" w:cs="Tahoma"/>
          <w:spacing w:val="14"/>
          <w:lang w:val="es-ES" w:eastAsia="es-ES"/>
        </w:rPr>
      </w:pPr>
      <w:r>
        <w:rPr>
          <w:rFonts w:ascii="Verdana" w:hAnsi="Verdana" w:cs="Verdana"/>
          <w:b/>
          <w:bCs/>
          <w:spacing w:val="7"/>
          <w:w w:val="105"/>
          <w:sz w:val="22"/>
          <w:szCs w:val="22"/>
          <w:lang w:val="es-ES" w:eastAsia="es-ES"/>
        </w:rPr>
        <w:t xml:space="preserve">Naturaleza del Tribunal Administrativo de Transporte. </w:t>
      </w:r>
      <w:r>
        <w:rPr>
          <w:rFonts w:ascii="Tahoma" w:hAnsi="Tahoma" w:cs="Tahoma"/>
          <w:spacing w:val="7"/>
          <w:sz w:val="22"/>
          <w:szCs w:val="22"/>
          <w:lang w:val="es-ES" w:eastAsia="es-ES"/>
        </w:rPr>
        <w:t xml:space="preserve">El Tribunal 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Administrativo de Transporte es un órgano desconcentrado, en grado máximo, </w:t>
      </w:r>
      <w:r>
        <w:rPr>
          <w:rFonts w:ascii="Tahoma" w:hAnsi="Tahoma" w:cs="Tahoma"/>
          <w:spacing w:val="18"/>
          <w:sz w:val="22"/>
          <w:szCs w:val="22"/>
          <w:lang w:val="es-ES" w:eastAsia="es-ES"/>
        </w:rPr>
        <w:t xml:space="preserve">del Ministerio de Obras Públicas y Transportes, que goza de independencia 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funcional, administrativa y financiera. Se constituye además como el jerarca </w:t>
      </w:r>
      <w:r>
        <w:rPr>
          <w:rFonts w:ascii="Tahoma" w:hAnsi="Tahoma" w:cs="Tahoma"/>
          <w:spacing w:val="35"/>
          <w:sz w:val="22"/>
          <w:szCs w:val="22"/>
          <w:lang w:val="es-ES" w:eastAsia="es-ES"/>
        </w:rPr>
        <w:t>impropio del Consejo de Transporte Público en lo que se refiere al</w:t>
      </w:r>
      <w:r w:rsidR="00F36C14">
        <w:rPr>
          <w:rFonts w:ascii="Tahoma" w:hAnsi="Tahoma" w:cs="Tahoma"/>
          <w:spacing w:val="35"/>
          <w:sz w:val="22"/>
          <w:szCs w:val="22"/>
          <w:lang w:val="es-ES" w:eastAsia="es-ES"/>
        </w:rPr>
        <w:t xml:space="preserve">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conocimiento y resolución de los recursos de apelación presentados contra la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jerarquía de dicho Consejo. Sobre este particular el numeral 16 de la ley </w:t>
      </w:r>
      <w:r>
        <w:rPr>
          <w:rStyle w:val="CharacterStyle2"/>
          <w:rFonts w:ascii="Tahoma" w:hAnsi="Tahoma" w:cs="Tahoma"/>
          <w:spacing w:val="14"/>
          <w:lang w:val="es-ES" w:eastAsia="es-ES"/>
        </w:rPr>
        <w:t>No.7969 de diciembre de 1999, indica:</w:t>
      </w:r>
    </w:p>
    <w:p w:rsidR="008907A6" w:rsidRDefault="00E17519">
      <w:pPr>
        <w:pStyle w:val="Style16"/>
        <w:kinsoku w:val="0"/>
        <w:autoSpaceDE/>
        <w:autoSpaceDN/>
        <w:adjustRightInd/>
        <w:spacing w:before="216"/>
        <w:ind w:left="576"/>
        <w:rPr>
          <w:rStyle w:val="CharacterStyle3"/>
          <w:rFonts w:ascii="Tahoma" w:hAnsi="Tahoma" w:cs="Tahoma"/>
          <w:spacing w:val="1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1"/>
          <w:lang w:val="es-ES" w:eastAsia="es-ES"/>
        </w:rPr>
        <w:lastRenderedPageBreak/>
        <w:t xml:space="preserve">"ARTÍCULO 16.- Creación del Tribunal Administrativo </w:t>
      </w:r>
      <w:r>
        <w:rPr>
          <w:rStyle w:val="CharacterStyle3"/>
          <w:rFonts w:ascii="Tahoma" w:hAnsi="Tahoma" w:cs="Tahoma"/>
          <w:spacing w:val="1"/>
          <w:sz w:val="22"/>
          <w:szCs w:val="22"/>
          <w:lang w:val="es-ES" w:eastAsia="es-ES"/>
        </w:rPr>
        <w:t>de Transporte</w:t>
      </w:r>
    </w:p>
    <w:p w:rsidR="008907A6" w:rsidRDefault="00E17519">
      <w:pPr>
        <w:pStyle w:val="Style16"/>
        <w:kinsoku w:val="0"/>
        <w:autoSpaceDE/>
        <w:autoSpaceDN/>
        <w:adjustRightInd/>
        <w:spacing w:before="288"/>
        <w:ind w:left="576" w:right="792"/>
        <w:jc w:val="both"/>
        <w:rPr>
          <w:rStyle w:val="CharacterStyle3"/>
          <w:rFonts w:ascii="Verdana" w:hAnsi="Verdana" w:cs="Verdana"/>
          <w:lang w:val="es-ES" w:eastAsia="es-ES"/>
        </w:rPr>
      </w:pPr>
      <w:r>
        <w:rPr>
          <w:rStyle w:val="CharacterStyle3"/>
          <w:rFonts w:ascii="Verdana" w:hAnsi="Verdana" w:cs="Verdana"/>
          <w:spacing w:val="-1"/>
          <w:lang w:val="es-ES" w:eastAsia="es-ES"/>
        </w:rPr>
        <w:t xml:space="preserve">Crease el Tribunal Administrativo de Transporte, con sede en San José y </w:t>
      </w:r>
      <w:r>
        <w:rPr>
          <w:rStyle w:val="CharacterStyle3"/>
          <w:rFonts w:ascii="Verdana" w:hAnsi="Verdana" w:cs="Verdana"/>
          <w:spacing w:val="24"/>
          <w:lang w:val="es-ES" w:eastAsia="es-ES"/>
        </w:rPr>
        <w:t xml:space="preserve">competencia en todo el territorio nacional, como órgano de </w:t>
      </w:r>
      <w:r>
        <w:rPr>
          <w:rStyle w:val="CharacterStyle3"/>
          <w:rFonts w:ascii="Verdana" w:hAnsi="Verdana" w:cs="Verdana"/>
          <w:spacing w:val="6"/>
          <w:lang w:val="es-ES" w:eastAsia="es-ES"/>
        </w:rPr>
        <w:t xml:space="preserve">desconcentración máxima, adscrito al Ministerio de Obras Públicas y </w:t>
      </w:r>
      <w:r>
        <w:rPr>
          <w:rStyle w:val="CharacterStyle3"/>
          <w:rFonts w:ascii="Verdana" w:hAnsi="Verdana" w:cs="Verdana"/>
          <w:spacing w:val="20"/>
          <w:lang w:val="es-ES" w:eastAsia="es-ES"/>
        </w:rPr>
        <w:t xml:space="preserve">Transportes. Sus atribuciones serán exclusivas </w:t>
      </w:r>
      <w:r>
        <w:rPr>
          <w:rStyle w:val="CharacterStyle3"/>
          <w:rFonts w:ascii="Tahoma" w:hAnsi="Tahoma" w:cs="Tahoma"/>
          <w:spacing w:val="20"/>
          <w:sz w:val="22"/>
          <w:szCs w:val="22"/>
          <w:lang w:val="es-ES" w:eastAsia="es-ES"/>
        </w:rPr>
        <w:t xml:space="preserve">y contará con </w:t>
      </w:r>
      <w:r>
        <w:rPr>
          <w:rStyle w:val="CharacterStyle3"/>
          <w:rFonts w:ascii="Verdana" w:hAnsi="Verdana" w:cs="Verdana"/>
          <w:spacing w:val="3"/>
          <w:lang w:val="es-ES" w:eastAsia="es-ES"/>
        </w:rPr>
        <w:t xml:space="preserve">independencia funcional, administrativa y financiera. Sus fallos agotarán </w:t>
      </w:r>
      <w:r>
        <w:rPr>
          <w:rStyle w:val="CharacterStyle3"/>
          <w:rFonts w:ascii="Verdana" w:hAnsi="Verdana" w:cs="Verdana"/>
          <w:spacing w:val="1"/>
          <w:lang w:val="es-ES" w:eastAsia="es-ES"/>
        </w:rPr>
        <w:t xml:space="preserve">la vía administrativa y sus resoluciones serán de acatamiento estricto y </w:t>
      </w:r>
      <w:r>
        <w:rPr>
          <w:rStyle w:val="CharacterStyle3"/>
          <w:rFonts w:ascii="Verdana" w:hAnsi="Verdana" w:cs="Verdana"/>
          <w:lang w:val="es-ES" w:eastAsia="es-ES"/>
        </w:rPr>
        <w:t>obligatorio."</w:t>
      </w:r>
    </w:p>
    <w:p w:rsidR="008907A6" w:rsidRDefault="00E17519">
      <w:pPr>
        <w:pStyle w:val="Style11"/>
        <w:kinsoku w:val="0"/>
        <w:autoSpaceDE/>
        <w:autoSpaceDN/>
        <w:spacing w:before="504"/>
        <w:rPr>
          <w:rStyle w:val="CharacterStyle2"/>
          <w:rFonts w:ascii="Tahoma" w:hAnsi="Tahoma" w:cs="Tahoma"/>
          <w:spacing w:val="13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pacing w:val="2"/>
          <w:w w:val="105"/>
          <w:lang w:val="es-ES" w:eastAsia="es-ES"/>
        </w:rPr>
        <w:t xml:space="preserve">Competencia del Tribunal Administrativo de Transporte. </w:t>
      </w:r>
      <w:r>
        <w:rPr>
          <w:rStyle w:val="CharacterStyle2"/>
          <w:rFonts w:ascii="Tahoma" w:hAnsi="Tahoma" w:cs="Tahoma"/>
          <w:spacing w:val="2"/>
          <w:lang w:val="es-ES" w:eastAsia="es-ES"/>
        </w:rPr>
        <w:t xml:space="preserve">El Tribunal </w:t>
      </w:r>
      <w:r>
        <w:rPr>
          <w:rStyle w:val="CharacterStyle2"/>
          <w:rFonts w:ascii="Tahoma" w:hAnsi="Tahoma" w:cs="Tahoma"/>
          <w:spacing w:val="11"/>
          <w:lang w:val="es-ES" w:eastAsia="es-ES"/>
        </w:rPr>
        <w:t xml:space="preserve">Administrativo de Transporte conforme al artículo 22 de la Ley Reguladora del </w:t>
      </w:r>
      <w:r>
        <w:rPr>
          <w:rStyle w:val="CharacterStyle2"/>
          <w:rFonts w:ascii="Tahoma" w:hAnsi="Tahoma" w:cs="Tahoma"/>
          <w:spacing w:val="16"/>
          <w:lang w:val="es-ES" w:eastAsia="es-ES"/>
        </w:rPr>
        <w:t xml:space="preserve">Servicio Público de Transporte Remunerado de Personas en Vehículos en la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 xml:space="preserve">Modalidad de Taxi, No. 7969 del 22 de diciembre de 1999 y el Dictamen de la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Procuraduría General de la República N° C-037-2000 del 25 de febrero del 2000, es el competente para conocer y resolver los recursos de apelación </w:t>
      </w:r>
      <w:r>
        <w:rPr>
          <w:rStyle w:val="CharacterStyle2"/>
          <w:rFonts w:ascii="Tahoma" w:hAnsi="Tahoma" w:cs="Tahoma"/>
          <w:spacing w:val="14"/>
          <w:lang w:val="es-ES" w:eastAsia="es-ES"/>
        </w:rPr>
        <w:t xml:space="preserve">venidos en alzada en contra de los actos o resoluciones emanadas del Consejo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de Transporte Público. Esta normativa especializada, debe integrarse para su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 xml:space="preserve">correcta dimensión, con el artículo 181 de la Ley General de la Administración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>Pública, señala textualmente lo siguiente:</w:t>
      </w:r>
    </w:p>
    <w:p w:rsidR="008907A6" w:rsidRDefault="00E17519">
      <w:pPr>
        <w:pStyle w:val="Style16"/>
        <w:kinsoku w:val="0"/>
        <w:autoSpaceDE/>
        <w:autoSpaceDN/>
        <w:adjustRightInd/>
        <w:spacing w:before="252"/>
        <w:ind w:left="576" w:right="792"/>
        <w:jc w:val="both"/>
        <w:rPr>
          <w:rStyle w:val="CharacterStyle3"/>
          <w:rFonts w:ascii="Verdana" w:hAnsi="Verdana" w:cs="Verdana"/>
          <w:lang w:val="es-ES" w:eastAsia="es-ES"/>
        </w:rPr>
      </w:pPr>
      <w:r>
        <w:rPr>
          <w:rStyle w:val="CharacterStyle3"/>
          <w:rFonts w:ascii="Tahoma" w:hAnsi="Tahoma" w:cs="Tahoma"/>
          <w:spacing w:val="7"/>
          <w:sz w:val="22"/>
          <w:szCs w:val="22"/>
          <w:lang w:val="es-ES" w:eastAsia="es-ES"/>
        </w:rPr>
        <w:t>"Artículo 181.</w:t>
      </w:r>
      <w:r>
        <w:rPr>
          <w:rStyle w:val="CharacterStyle3"/>
          <w:rFonts w:ascii="Arial" w:hAnsi="Arial" w:cs="Arial"/>
          <w:spacing w:val="7"/>
          <w:sz w:val="6"/>
          <w:szCs w:val="6"/>
          <w:lang w:val="es-ES" w:eastAsia="es-ES"/>
        </w:rPr>
        <w:t xml:space="preserve">- </w:t>
      </w:r>
      <w:r>
        <w:rPr>
          <w:rStyle w:val="CharacterStyle3"/>
          <w:rFonts w:ascii="Tahoma" w:hAnsi="Tahoma" w:cs="Tahoma"/>
          <w:spacing w:val="7"/>
          <w:sz w:val="22"/>
          <w:szCs w:val="22"/>
          <w:lang w:val="es-ES" w:eastAsia="es-ES"/>
        </w:rPr>
        <w:t xml:space="preserve">El contralor </w:t>
      </w:r>
      <w:r>
        <w:rPr>
          <w:rStyle w:val="CharacterStyle3"/>
          <w:rFonts w:ascii="Verdana" w:hAnsi="Verdana" w:cs="Verdana"/>
          <w:spacing w:val="7"/>
          <w:lang w:val="es-ES" w:eastAsia="es-ES"/>
        </w:rPr>
        <w:t xml:space="preserve">no jerárquico podrá revisar sólo la legalidad </w:t>
      </w:r>
      <w:r>
        <w:rPr>
          <w:rStyle w:val="CharacterStyle3"/>
          <w:rFonts w:ascii="Verdana" w:hAnsi="Verdana" w:cs="Verdana"/>
          <w:spacing w:val="1"/>
          <w:lang w:val="es-ES" w:eastAsia="es-ES"/>
        </w:rPr>
        <w:t xml:space="preserve">del acto y en </w:t>
      </w:r>
      <w:r>
        <w:rPr>
          <w:rStyle w:val="CharacterStyle3"/>
          <w:rFonts w:ascii="Tahoma" w:hAnsi="Tahoma" w:cs="Tahoma"/>
          <w:spacing w:val="1"/>
          <w:sz w:val="22"/>
          <w:szCs w:val="22"/>
          <w:lang w:val="es-ES" w:eastAsia="es-ES"/>
        </w:rPr>
        <w:t xml:space="preserve">virtud de recurso </w:t>
      </w:r>
      <w:r>
        <w:rPr>
          <w:rStyle w:val="CharacterStyle3"/>
          <w:rFonts w:ascii="Verdana" w:hAnsi="Verdana" w:cs="Verdana"/>
          <w:spacing w:val="1"/>
          <w:lang w:val="es-ES" w:eastAsia="es-ES"/>
        </w:rPr>
        <w:t xml:space="preserve">administrativo, y decidirá dentro del límite </w:t>
      </w:r>
      <w:r>
        <w:rPr>
          <w:rStyle w:val="CharacterStyle3"/>
          <w:rFonts w:ascii="Verdana" w:hAnsi="Verdana" w:cs="Verdana"/>
          <w:spacing w:val="2"/>
          <w:lang w:val="es-ES" w:eastAsia="es-ES"/>
        </w:rPr>
        <w:t xml:space="preserve">de las pretensiones y cuestiones de hecho planteadas por el recurrente, </w:t>
      </w:r>
      <w:r>
        <w:rPr>
          <w:rStyle w:val="CharacterStyle3"/>
          <w:rFonts w:ascii="Verdana" w:hAnsi="Verdana" w:cs="Verdana"/>
          <w:lang w:val="es-ES" w:eastAsia="es-ES"/>
        </w:rPr>
        <w:t>pero podrá aplicar una norma no invocada en el recurso."</w:t>
      </w:r>
    </w:p>
    <w:p w:rsidR="008907A6" w:rsidRDefault="00E17519">
      <w:pPr>
        <w:pStyle w:val="Style11"/>
        <w:kinsoku w:val="0"/>
        <w:autoSpaceDE/>
        <w:autoSpaceDN/>
        <w:spacing w:before="252"/>
        <w:rPr>
          <w:rStyle w:val="CharacterStyle2"/>
          <w:rFonts w:ascii="Tahoma" w:hAnsi="Tahoma" w:cs="Tahoma"/>
          <w:spacing w:val="14"/>
          <w:lang w:val="es-ES" w:eastAsia="es-ES"/>
        </w:rPr>
      </w:pPr>
      <w:r>
        <w:rPr>
          <w:rStyle w:val="CharacterStyle2"/>
          <w:rFonts w:ascii="Verdana" w:hAnsi="Verdana" w:cs="Verdana"/>
          <w:spacing w:val="20"/>
          <w:sz w:val="20"/>
          <w:szCs w:val="20"/>
          <w:lang w:val="es-ES" w:eastAsia="es-ES"/>
        </w:rPr>
        <w:t xml:space="preserve">Del texto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normativo, podemos extraer, que el Tribunal Administrativo de </w:t>
      </w:r>
      <w:r>
        <w:rPr>
          <w:rStyle w:val="CharacterStyle2"/>
          <w:rFonts w:ascii="Tahoma" w:hAnsi="Tahoma" w:cs="Tahoma"/>
          <w:spacing w:val="11"/>
          <w:lang w:val="es-ES" w:eastAsia="es-ES"/>
        </w:rPr>
        <w:t xml:space="preserve">Transporte como contralor no jerárquico, conforme su naturaleza jurídica y las </w:t>
      </w:r>
      <w:r>
        <w:rPr>
          <w:rStyle w:val="CharacterStyle2"/>
          <w:rFonts w:ascii="Tahoma" w:hAnsi="Tahoma" w:cs="Tahoma"/>
          <w:spacing w:val="17"/>
          <w:lang w:val="es-ES" w:eastAsia="es-ES"/>
        </w:rPr>
        <w:t xml:space="preserve">competencias establecidas por disposición de ley, conoce en forma exclusiva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los recursos de apelación presentados contra los actos y resoluciones del </w:t>
      </w:r>
      <w:r>
        <w:rPr>
          <w:rStyle w:val="CharacterStyle2"/>
          <w:rFonts w:ascii="Tahoma" w:hAnsi="Tahoma" w:cs="Tahoma"/>
          <w:spacing w:val="17"/>
          <w:lang w:val="es-ES" w:eastAsia="es-ES"/>
        </w:rPr>
        <w:t xml:space="preserve">Consejo de Transporte Público, resoluciones que tienen la característica de </w:t>
      </w:r>
      <w:r>
        <w:rPr>
          <w:rStyle w:val="CharacterStyle2"/>
          <w:rFonts w:ascii="Tahoma" w:hAnsi="Tahoma" w:cs="Tahoma"/>
          <w:spacing w:val="14"/>
          <w:lang w:val="es-ES" w:eastAsia="es-ES"/>
        </w:rPr>
        <w:t>agotar la vía administrativa.</w:t>
      </w:r>
    </w:p>
    <w:p w:rsidR="008907A6" w:rsidRDefault="00E17519">
      <w:pPr>
        <w:pStyle w:val="Style11"/>
        <w:kinsoku w:val="0"/>
        <w:autoSpaceDE/>
        <w:autoSpaceDN/>
        <w:rPr>
          <w:rStyle w:val="CharacterStyle2"/>
          <w:rFonts w:ascii="Tahoma" w:hAnsi="Tahoma" w:cs="Tahoma"/>
          <w:spacing w:val="13"/>
          <w:lang w:val="es-ES" w:eastAsia="es-ES"/>
        </w:rPr>
      </w:pP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El presente asunto es una queja, la cual está regulada por el artículo 358 de la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Ley General de la Administración Pública. De acuerdo con dicha norma, la </w:t>
      </w:r>
      <w:r>
        <w:rPr>
          <w:rStyle w:val="CharacterStyle2"/>
          <w:rFonts w:ascii="Tahoma" w:hAnsi="Tahoma" w:cs="Tahoma"/>
          <w:spacing w:val="26"/>
          <w:lang w:val="es-ES" w:eastAsia="es-ES"/>
        </w:rPr>
        <w:t xml:space="preserve">queja ha de presentarse ante el superior jerárquico de la autoridad o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funcionario que se presuma responsable de la infracción o falta. El artículo 359 </w:t>
      </w:r>
      <w:r>
        <w:rPr>
          <w:rStyle w:val="CharacterStyle2"/>
          <w:rFonts w:ascii="Tahoma" w:hAnsi="Tahoma" w:cs="Tahoma"/>
          <w:spacing w:val="17"/>
          <w:lang w:val="es-ES" w:eastAsia="es-ES"/>
        </w:rPr>
        <w:t xml:space="preserve">de la misma ley establece que si la queja fuera acogida, "se amonestará al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funcionario que hubiere dado origen a ella y, en caso de reincidencia o falta </w:t>
      </w:r>
      <w:r>
        <w:rPr>
          <w:rStyle w:val="CharacterStyle2"/>
          <w:rFonts w:ascii="Tahoma" w:hAnsi="Tahoma" w:cs="Tahoma"/>
          <w:spacing w:val="16"/>
          <w:lang w:val="es-ES" w:eastAsia="es-ES"/>
        </w:rPr>
        <w:t xml:space="preserve">grave, podrá ordenarse la apertura del expediente disciplinario que para tal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>efecto determine el Estatuto de Servicio Civil."</w:t>
      </w:r>
    </w:p>
    <w:p w:rsidR="008907A6" w:rsidRDefault="00E17519" w:rsidP="00F36C14">
      <w:pPr>
        <w:pStyle w:val="Style16"/>
        <w:kinsoku w:val="0"/>
        <w:autoSpaceDE/>
        <w:autoSpaceDN/>
        <w:adjustRightInd/>
        <w:spacing w:before="216" w:after="684"/>
        <w:jc w:val="both"/>
        <w:rPr>
          <w:rStyle w:val="CharacterStyle2"/>
          <w:rFonts w:ascii="Tahoma" w:hAnsi="Tahoma" w:cs="Tahoma"/>
          <w:spacing w:val="8"/>
          <w:lang w:val="es-ES" w:eastAsia="es-ES"/>
        </w:rPr>
      </w:pPr>
      <w:r>
        <w:rPr>
          <w:rStyle w:val="CharacterStyle3"/>
          <w:rFonts w:ascii="Tahoma" w:hAnsi="Tahoma" w:cs="Tahoma"/>
          <w:spacing w:val="14"/>
          <w:sz w:val="22"/>
          <w:szCs w:val="22"/>
          <w:lang w:val="es-ES" w:eastAsia="es-ES"/>
        </w:rPr>
        <w:t>De la relación entre ambas normas se infiere claramente que la jerarquía a que</w:t>
      </w:r>
      <w:r w:rsidR="00F36C14">
        <w:rPr>
          <w:rStyle w:val="CharacterStyle3"/>
          <w:rFonts w:ascii="Tahoma" w:hAnsi="Tahoma" w:cs="Tahoma"/>
          <w:spacing w:val="14"/>
          <w:sz w:val="22"/>
          <w:szCs w:val="22"/>
          <w:lang w:val="es-ES" w:eastAsia="es-ES"/>
        </w:rPr>
        <w:t xml:space="preserve"> </w:t>
      </w:r>
      <w:r>
        <w:rPr>
          <w:rStyle w:val="CharacterStyle3"/>
          <w:rFonts w:ascii="Tahoma" w:hAnsi="Tahoma" w:cs="Tahoma"/>
          <w:spacing w:val="14"/>
          <w:sz w:val="22"/>
          <w:szCs w:val="22"/>
          <w:lang w:val="es-ES" w:eastAsia="es-ES"/>
        </w:rPr>
        <w:t>hace referencia este artículo, es la relación jerárquica propia establecida en los</w:t>
      </w:r>
      <w:r w:rsidR="00F36C14">
        <w:rPr>
          <w:rStyle w:val="CharacterStyle3"/>
          <w:rFonts w:ascii="Tahoma" w:hAnsi="Tahoma" w:cs="Tahoma"/>
          <w:spacing w:val="14"/>
          <w:sz w:val="22"/>
          <w:szCs w:val="22"/>
          <w:lang w:val="es-ES" w:eastAsia="es-ES"/>
        </w:rPr>
        <w:t xml:space="preserve"> </w:t>
      </w:r>
      <w:r>
        <w:rPr>
          <w:rStyle w:val="CharacterStyle2"/>
          <w:rFonts w:ascii="Tahoma" w:hAnsi="Tahoma" w:cs="Tahoma"/>
          <w:spacing w:val="10"/>
          <w:lang w:val="es-ES" w:eastAsia="es-ES"/>
        </w:rPr>
        <w:t xml:space="preserve">artículos 101 a 105 de la Ley General de la Administración Pública, en la </w:t>
      </w:r>
      <w:r>
        <w:rPr>
          <w:rStyle w:val="CharacterStyle2"/>
          <w:rFonts w:ascii="Tahoma" w:hAnsi="Tahoma" w:cs="Tahoma"/>
          <w:spacing w:val="10"/>
          <w:lang w:val="es-ES" w:eastAsia="es-ES"/>
        </w:rPr>
        <w:lastRenderedPageBreak/>
        <w:t xml:space="preserve">cual el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jerarca tiene, entre otras potestades, la de vigilancia del inferior para constatar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 xml:space="preserve">la legalidad y conveniencia y el ejercicio de la potestad disciplinaria (ver incisos </w:t>
      </w:r>
      <w:r>
        <w:rPr>
          <w:rStyle w:val="CharacterStyle2"/>
          <w:rFonts w:ascii="Tahoma" w:hAnsi="Tahoma" w:cs="Tahoma"/>
          <w:spacing w:val="23"/>
          <w:lang w:val="es-ES" w:eastAsia="es-ES"/>
        </w:rPr>
        <w:t xml:space="preserve">b) y c) del artículo 102), aspectos propios de la relación laboral de los </w:t>
      </w:r>
      <w:r>
        <w:rPr>
          <w:rStyle w:val="CharacterStyle2"/>
          <w:rFonts w:ascii="Tahoma" w:hAnsi="Tahoma" w:cs="Tahoma"/>
          <w:spacing w:val="8"/>
          <w:lang w:val="es-ES" w:eastAsia="es-ES"/>
        </w:rPr>
        <w:t>servidores públicos.</w:t>
      </w:r>
    </w:p>
    <w:p w:rsidR="008907A6" w:rsidRDefault="00E17519">
      <w:pPr>
        <w:pStyle w:val="Style11"/>
        <w:kinsoku w:val="0"/>
        <w:autoSpaceDE/>
        <w:autoSpaceDN/>
        <w:spacing w:before="216"/>
        <w:rPr>
          <w:rStyle w:val="CharacterStyle2"/>
          <w:rFonts w:ascii="Tahoma" w:hAnsi="Tahoma" w:cs="Tahoma"/>
          <w:spacing w:val="8"/>
          <w:lang w:val="es-ES" w:eastAsia="es-ES"/>
        </w:rPr>
      </w:pPr>
      <w:r>
        <w:rPr>
          <w:rStyle w:val="CharacterStyle2"/>
          <w:rFonts w:ascii="Tahoma" w:hAnsi="Tahoma" w:cs="Tahoma"/>
          <w:spacing w:val="16"/>
          <w:lang w:val="es-ES" w:eastAsia="es-ES"/>
        </w:rPr>
        <w:t xml:space="preserve">Siendo que la naturaleza del Tribunal, como se indicó anteriormente, es de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jerarca impropio, de contralor de legalidad, únicamente se conocerán las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alegaciones venidas en apelación; tesitura que deja entendido que el Tribunal </w:t>
      </w:r>
      <w:r>
        <w:rPr>
          <w:rStyle w:val="CharacterStyle2"/>
          <w:rFonts w:ascii="Tahoma" w:hAnsi="Tahoma" w:cs="Tahoma"/>
          <w:spacing w:val="11"/>
          <w:lang w:val="es-ES" w:eastAsia="es-ES"/>
        </w:rPr>
        <w:t xml:space="preserve">no es competente para conocer de la presente queja inherente de la jerarquía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 xml:space="preserve">propia, por lo que se declara la incompetencia de este Despacho y se envía al </w:t>
      </w:r>
      <w:r>
        <w:rPr>
          <w:rStyle w:val="CharacterStyle2"/>
          <w:rFonts w:ascii="Tahoma" w:hAnsi="Tahoma" w:cs="Tahoma"/>
          <w:spacing w:val="9"/>
          <w:lang w:val="es-ES" w:eastAsia="es-ES"/>
        </w:rPr>
        <w:t xml:space="preserve">órgano competente en materia disciplinaria, sea el Ministro de Obras Públicas y </w:t>
      </w:r>
      <w:r>
        <w:rPr>
          <w:rStyle w:val="CharacterStyle2"/>
          <w:rFonts w:ascii="Tahoma" w:hAnsi="Tahoma" w:cs="Tahoma"/>
          <w:spacing w:val="8"/>
          <w:lang w:val="es-ES" w:eastAsia="es-ES"/>
        </w:rPr>
        <w:t>Transportes.</w:t>
      </w:r>
    </w:p>
    <w:p w:rsidR="008907A6" w:rsidRDefault="00E17519">
      <w:pPr>
        <w:pStyle w:val="Style11"/>
        <w:kinsoku w:val="0"/>
        <w:autoSpaceDE/>
        <w:autoSpaceDN/>
        <w:rPr>
          <w:rStyle w:val="CharacterStyle2"/>
          <w:rFonts w:ascii="Verdana" w:hAnsi="Verdana" w:cs="Verdana"/>
          <w:b/>
          <w:bCs/>
          <w:spacing w:val="1"/>
          <w:w w:val="105"/>
          <w:lang w:val="es-ES" w:eastAsia="es-ES"/>
        </w:rPr>
      </w:pPr>
      <w:r>
        <w:rPr>
          <w:rStyle w:val="CharacterStyle2"/>
          <w:rFonts w:ascii="Tahoma" w:hAnsi="Tahoma" w:cs="Tahoma"/>
          <w:spacing w:val="22"/>
          <w:lang w:val="es-ES" w:eastAsia="es-ES"/>
        </w:rPr>
        <w:t xml:space="preserve">Tesis anterior que también emerge del criterio contenido en la reciente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resolución del Presidente de la República de Oficio N° PRE- 895- 05 del 6 de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 xml:space="preserve">junio del 2005, que resuelve precisamente el denominado "recurso de queja",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interpuesto ante ese ente por </w:t>
      </w:r>
      <w:r w:rsidR="00B21B5E">
        <w:rPr>
          <w:rStyle w:val="CharacterStyle2"/>
          <w:rFonts w:ascii="Tahoma" w:hAnsi="Tahoma" w:cs="Tahoma"/>
          <w:spacing w:val="15"/>
          <w:lang w:val="es-ES" w:eastAsia="es-ES"/>
        </w:rPr>
        <w:t>RAG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 contra miembros del </w:t>
      </w:r>
      <w:r>
        <w:rPr>
          <w:rStyle w:val="CharacterStyle2"/>
          <w:rFonts w:ascii="Tahoma" w:hAnsi="Tahoma" w:cs="Tahoma"/>
          <w:spacing w:val="1"/>
          <w:lang w:val="es-ES" w:eastAsia="es-ES"/>
        </w:rPr>
        <w:t xml:space="preserve">Consejo de Transporte Público. </w:t>
      </w:r>
      <w:r>
        <w:rPr>
          <w:rStyle w:val="CharacterStyle2"/>
          <w:rFonts w:ascii="Verdana" w:hAnsi="Verdana" w:cs="Verdana"/>
          <w:b/>
          <w:bCs/>
          <w:spacing w:val="1"/>
          <w:w w:val="105"/>
          <w:lang w:val="es-ES" w:eastAsia="es-ES"/>
        </w:rPr>
        <w:t xml:space="preserve">(Ver folio N° 74 a 75 de </w:t>
      </w:r>
      <w:proofErr w:type="spellStart"/>
      <w:r>
        <w:rPr>
          <w:rStyle w:val="CharacterStyle2"/>
          <w:rFonts w:ascii="Verdana" w:hAnsi="Verdana" w:cs="Verdana"/>
          <w:b/>
          <w:bCs/>
          <w:spacing w:val="1"/>
          <w:w w:val="105"/>
          <w:lang w:val="es-ES" w:eastAsia="es-ES"/>
        </w:rPr>
        <w:t>Exp</w:t>
      </w:r>
      <w:proofErr w:type="spellEnd"/>
      <w:r>
        <w:rPr>
          <w:rStyle w:val="CharacterStyle2"/>
          <w:rFonts w:ascii="Verdana" w:hAnsi="Verdana" w:cs="Verdana"/>
          <w:b/>
          <w:bCs/>
          <w:spacing w:val="1"/>
          <w:w w:val="105"/>
          <w:lang w:val="es-ES" w:eastAsia="es-ES"/>
        </w:rPr>
        <w:t>. 036- 05).</w:t>
      </w:r>
    </w:p>
    <w:p w:rsidR="008907A6" w:rsidRDefault="00E17519">
      <w:pPr>
        <w:pStyle w:val="Style11"/>
        <w:kinsoku w:val="0"/>
        <w:autoSpaceDE/>
        <w:autoSpaceDN/>
        <w:spacing w:before="252"/>
        <w:jc w:val="left"/>
        <w:rPr>
          <w:rStyle w:val="CharacterStyle2"/>
          <w:rFonts w:ascii="Tahoma" w:hAnsi="Tahoma" w:cs="Tahoma"/>
          <w:spacing w:val="11"/>
          <w:lang w:val="es-ES" w:eastAsia="es-ES"/>
        </w:rPr>
      </w:pPr>
      <w:r>
        <w:rPr>
          <w:rStyle w:val="CharacterStyle2"/>
          <w:rFonts w:ascii="Tahoma" w:hAnsi="Tahoma" w:cs="Tahoma"/>
          <w:spacing w:val="11"/>
          <w:lang w:val="es-ES" w:eastAsia="es-ES"/>
        </w:rPr>
        <w:t>No concurre al voto de mayoría la Licda. Marta Luz Pérez Peláez, quién salva el voto y así lo hace constar en documento que adjunta.</w:t>
      </w:r>
    </w:p>
    <w:p w:rsidR="008907A6" w:rsidRDefault="00E17519">
      <w:pPr>
        <w:pStyle w:val="Style16"/>
        <w:kinsoku w:val="0"/>
        <w:autoSpaceDE/>
        <w:autoSpaceDN/>
        <w:adjustRightInd/>
        <w:spacing w:before="324" w:line="192" w:lineRule="auto"/>
        <w:jc w:val="center"/>
        <w:rPr>
          <w:rStyle w:val="CharacterStyle3"/>
          <w:rFonts w:ascii="Verdana" w:hAnsi="Verdana" w:cs="Verdana"/>
          <w:b/>
          <w:bCs/>
          <w:spacing w:val="-14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14"/>
          <w:w w:val="105"/>
          <w:sz w:val="22"/>
          <w:szCs w:val="22"/>
          <w:lang w:val="es-ES" w:eastAsia="es-ES"/>
        </w:rPr>
        <w:t>POR TANTO</w:t>
      </w:r>
    </w:p>
    <w:p w:rsidR="008907A6" w:rsidRDefault="00E17519">
      <w:pPr>
        <w:pStyle w:val="Style11"/>
        <w:numPr>
          <w:ilvl w:val="0"/>
          <w:numId w:val="1"/>
        </w:numPr>
        <w:tabs>
          <w:tab w:val="clear" w:pos="432"/>
          <w:tab w:val="num" w:pos="576"/>
        </w:tabs>
        <w:kinsoku w:val="0"/>
        <w:autoSpaceDE/>
        <w:autoSpaceDN/>
        <w:rPr>
          <w:rStyle w:val="CharacterStyle2"/>
          <w:rFonts w:ascii="Tahoma" w:hAnsi="Tahoma" w:cs="Tahoma"/>
          <w:spacing w:val="12"/>
          <w:lang w:val="es-ES" w:eastAsia="es-ES"/>
        </w:rPr>
      </w:pPr>
      <w:r>
        <w:rPr>
          <w:rStyle w:val="CharacterStyle2"/>
          <w:rFonts w:ascii="Tahoma" w:hAnsi="Tahoma" w:cs="Tahoma"/>
          <w:spacing w:val="22"/>
          <w:lang w:val="es-ES" w:eastAsia="es-ES"/>
        </w:rPr>
        <w:t xml:space="preserve">Se declara la incompetencia del Tribunal para conocer de la QUEJA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>promovida por el señor D</w:t>
      </w:r>
      <w:r w:rsidR="00F36C14">
        <w:rPr>
          <w:rStyle w:val="CharacterStyle2"/>
          <w:rFonts w:ascii="Tahoma" w:hAnsi="Tahoma" w:cs="Tahoma"/>
          <w:spacing w:val="12"/>
          <w:lang w:val="es-ES" w:eastAsia="es-ES"/>
        </w:rPr>
        <w:t>.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>H</w:t>
      </w:r>
      <w:r w:rsidR="00F36C14">
        <w:rPr>
          <w:rStyle w:val="CharacterStyle2"/>
          <w:rFonts w:ascii="Tahoma" w:hAnsi="Tahoma" w:cs="Tahoma"/>
          <w:spacing w:val="12"/>
          <w:lang w:val="es-ES" w:eastAsia="es-ES"/>
        </w:rPr>
        <w:t>.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>C</w:t>
      </w:r>
      <w:r w:rsidR="00F36C14">
        <w:rPr>
          <w:rStyle w:val="CharacterStyle2"/>
          <w:rFonts w:ascii="Tahoma" w:hAnsi="Tahoma" w:cs="Tahoma"/>
          <w:spacing w:val="12"/>
          <w:lang w:val="es-ES" w:eastAsia="es-ES"/>
        </w:rPr>
        <w:t>.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 xml:space="preserve">, cédula de identidad </w:t>
      </w:r>
      <w:r w:rsidR="00F36C14">
        <w:rPr>
          <w:rStyle w:val="CharacterStyle2"/>
          <w:rFonts w:ascii="Tahoma" w:hAnsi="Tahoma" w:cs="Tahoma"/>
          <w:spacing w:val="12"/>
          <w:lang w:val="es-ES" w:eastAsia="es-ES"/>
        </w:rPr>
        <w:t>…</w:t>
      </w:r>
      <w:r>
        <w:rPr>
          <w:rStyle w:val="CharacterStyle2"/>
          <w:rFonts w:ascii="Tahoma" w:hAnsi="Tahoma" w:cs="Tahoma"/>
          <w:spacing w:val="11"/>
          <w:lang w:val="es-ES" w:eastAsia="es-ES"/>
        </w:rPr>
        <w:t xml:space="preserve">, en su calidad de Presidente con facultades de apoderado generalísimo sin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>límite de suma de la compañía E</w:t>
      </w:r>
      <w:r w:rsidR="00F36C14">
        <w:rPr>
          <w:rStyle w:val="CharacterStyle2"/>
          <w:rFonts w:ascii="Tahoma" w:hAnsi="Tahoma" w:cs="Tahoma"/>
          <w:spacing w:val="19"/>
          <w:lang w:val="es-ES" w:eastAsia="es-ES"/>
        </w:rPr>
        <w:t>.T.S.A.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, 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cédula de persona jurídica </w:t>
      </w:r>
      <w:r w:rsidR="00F36C14">
        <w:rPr>
          <w:rStyle w:val="CharacterStyle2"/>
          <w:rFonts w:ascii="Tahoma" w:hAnsi="Tahoma" w:cs="Tahoma"/>
          <w:spacing w:val="13"/>
          <w:lang w:val="es-ES" w:eastAsia="es-ES"/>
        </w:rPr>
        <w:t>…</w:t>
      </w:r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 contra los miembros de la Junta </w:t>
      </w:r>
      <w:r>
        <w:rPr>
          <w:rStyle w:val="CharacterStyle2"/>
          <w:rFonts w:ascii="Tahoma" w:hAnsi="Tahoma" w:cs="Tahoma"/>
          <w:spacing w:val="14"/>
          <w:lang w:val="es-ES" w:eastAsia="es-ES"/>
        </w:rPr>
        <w:t xml:space="preserve">Directiva del Consejo de Transporte Público: Roberto Arguedas Pérez, Rafael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>Chan ,</w:t>
      </w:r>
      <w:proofErr w:type="spellStart"/>
      <w:r>
        <w:rPr>
          <w:rStyle w:val="CharacterStyle2"/>
          <w:rFonts w:ascii="Tahoma" w:hAnsi="Tahoma" w:cs="Tahoma"/>
          <w:spacing w:val="15"/>
          <w:lang w:val="es-ES" w:eastAsia="es-ES"/>
        </w:rPr>
        <w:t>Jáen</w:t>
      </w:r>
      <w:proofErr w:type="spellEnd"/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, Eladio Campos </w:t>
      </w:r>
      <w:proofErr w:type="spellStart"/>
      <w:r>
        <w:rPr>
          <w:rStyle w:val="CharacterStyle2"/>
          <w:rFonts w:ascii="Tahoma" w:hAnsi="Tahoma" w:cs="Tahoma"/>
          <w:spacing w:val="15"/>
          <w:lang w:val="es-ES" w:eastAsia="es-ES"/>
        </w:rPr>
        <w:t>Campos</w:t>
      </w:r>
      <w:proofErr w:type="spellEnd"/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, Edwin Barboza Guzmán, Olman Bonilla </w:t>
      </w:r>
      <w:proofErr w:type="spellStart"/>
      <w:r>
        <w:rPr>
          <w:rStyle w:val="CharacterStyle2"/>
          <w:rFonts w:ascii="Tahoma" w:hAnsi="Tahoma" w:cs="Tahoma"/>
          <w:spacing w:val="13"/>
          <w:lang w:val="es-ES" w:eastAsia="es-ES"/>
        </w:rPr>
        <w:t>Oconitrillo</w:t>
      </w:r>
      <w:proofErr w:type="spellEnd"/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 y </w:t>
      </w:r>
      <w:proofErr w:type="spellStart"/>
      <w:r>
        <w:rPr>
          <w:rStyle w:val="CharacterStyle2"/>
          <w:rFonts w:ascii="Tahoma" w:hAnsi="Tahoma" w:cs="Tahoma"/>
          <w:spacing w:val="13"/>
          <w:lang w:val="es-ES" w:eastAsia="es-ES"/>
        </w:rPr>
        <w:t>Olger</w:t>
      </w:r>
      <w:proofErr w:type="spellEnd"/>
      <w:r>
        <w:rPr>
          <w:rStyle w:val="CharacterStyle2"/>
          <w:rFonts w:ascii="Tahoma" w:hAnsi="Tahoma" w:cs="Tahoma"/>
          <w:spacing w:val="13"/>
          <w:lang w:val="es-ES" w:eastAsia="es-ES"/>
        </w:rPr>
        <w:t xml:space="preserve"> Murillo Ramírez y se remite al órgano competente para su </w:t>
      </w:r>
      <w:r>
        <w:rPr>
          <w:rStyle w:val="CharacterStyle2"/>
          <w:rFonts w:ascii="Tahoma" w:hAnsi="Tahoma" w:cs="Tahoma"/>
          <w:spacing w:val="12"/>
          <w:lang w:val="es-ES" w:eastAsia="es-ES"/>
        </w:rPr>
        <w:t>conocimiento, sea el Ministro de Obras Públicas y Transportes.</w:t>
      </w:r>
    </w:p>
    <w:p w:rsidR="008907A6" w:rsidRPr="00F36C14" w:rsidRDefault="00E17519" w:rsidP="00F36C14">
      <w:pPr>
        <w:pStyle w:val="Style11"/>
        <w:numPr>
          <w:ilvl w:val="0"/>
          <w:numId w:val="1"/>
        </w:numPr>
        <w:tabs>
          <w:tab w:val="clear" w:pos="432"/>
          <w:tab w:val="num" w:pos="576"/>
          <w:tab w:val="left" w:pos="2718"/>
          <w:tab w:val="left" w:pos="3438"/>
        </w:tabs>
        <w:kinsoku w:val="0"/>
        <w:autoSpaceDE/>
        <w:autoSpaceDN/>
        <w:spacing w:before="252" w:after="72" w:line="213" w:lineRule="auto"/>
        <w:ind w:right="84"/>
        <w:rPr>
          <w:rStyle w:val="CharacterStyle2"/>
          <w:lang w:val="es-CR"/>
        </w:rPr>
      </w:pPr>
      <w:r w:rsidRPr="00F36C14">
        <w:rPr>
          <w:rStyle w:val="CharacterStyle2"/>
          <w:rFonts w:ascii="Tahoma" w:hAnsi="Tahoma" w:cs="Tahoma"/>
          <w:spacing w:val="17"/>
          <w:lang w:val="es-ES" w:eastAsia="es-ES"/>
        </w:rPr>
        <w:t xml:space="preserve">De conformidad con el artículo 22, inciso c), de la citada Ley 7969, la </w:t>
      </w:r>
      <w:r w:rsidRPr="00F36C14">
        <w:rPr>
          <w:rStyle w:val="CharacterStyle2"/>
          <w:rFonts w:ascii="Tahoma" w:hAnsi="Tahoma" w:cs="Tahoma"/>
          <w:spacing w:val="14"/>
          <w:lang w:val="es-ES" w:eastAsia="es-ES"/>
        </w:rPr>
        <w:t xml:space="preserve">presente resolución no tiene </w:t>
      </w:r>
      <w:r w:rsidR="00F36C14" w:rsidRPr="00F36C14">
        <w:rPr>
          <w:rStyle w:val="CharacterStyle2"/>
          <w:rFonts w:ascii="Tahoma" w:hAnsi="Tahoma" w:cs="Tahoma"/>
          <w:spacing w:val="14"/>
          <w:lang w:val="es-ES" w:eastAsia="es-ES"/>
        </w:rPr>
        <w:t xml:space="preserve">ulterior recurso </w:t>
      </w:r>
      <w:r w:rsidRPr="00F36C14">
        <w:rPr>
          <w:rStyle w:val="CharacterStyle2"/>
          <w:rFonts w:ascii="Tahoma" w:hAnsi="Tahoma" w:cs="Tahoma"/>
          <w:spacing w:val="14"/>
          <w:lang w:val="es-ES" w:eastAsia="es-ES"/>
        </w:rPr>
        <w:t xml:space="preserve">por lo que, se </w:t>
      </w:r>
      <w:r w:rsidRPr="00F36C14">
        <w:rPr>
          <w:rStyle w:val="CharacterStyle2"/>
          <w:rFonts w:ascii="Verdana" w:hAnsi="Verdana" w:cs="Verdana"/>
          <w:i/>
          <w:iCs/>
          <w:spacing w:val="14"/>
          <w:w w:val="95"/>
          <w:lang w:val="es-ES" w:eastAsia="es-ES"/>
        </w:rPr>
        <w:t xml:space="preserve">tiene por agotada </w:t>
      </w:r>
      <w:r w:rsidRPr="00F36C14">
        <w:rPr>
          <w:rStyle w:val="CharacterStyle2"/>
          <w:rFonts w:ascii="Verdana" w:hAnsi="Verdana" w:cs="Verdana"/>
          <w:i/>
          <w:iCs/>
          <w:w w:val="95"/>
          <w:lang w:val="es-ES" w:eastAsia="es-ES"/>
        </w:rPr>
        <w:t>la vía administrativ</w:t>
      </w:r>
      <w:r w:rsidR="00F36C14" w:rsidRPr="00F36C14">
        <w:rPr>
          <w:rStyle w:val="CharacterStyle2"/>
          <w:rFonts w:ascii="Verdana" w:hAnsi="Verdana" w:cs="Verdana"/>
          <w:i/>
          <w:iCs/>
          <w:w w:val="95"/>
          <w:lang w:val="es-ES" w:eastAsia="es-ES"/>
        </w:rPr>
        <w:t>a.</w:t>
      </w:r>
      <w:r w:rsidR="00206FD1">
        <w:rPr>
          <w:rStyle w:val="CharacterStyle2"/>
          <w:rFonts w:ascii="Verdana" w:hAnsi="Verdana" w:cs="Verdana"/>
          <w:i/>
          <w:iCs/>
          <w:w w:val="95"/>
          <w:lang w:val="es-ES" w:eastAsia="es-ES"/>
        </w:rPr>
        <w:t xml:space="preserve"> </w:t>
      </w:r>
      <w:r w:rsidR="00F36C14">
        <w:rPr>
          <w:rStyle w:val="CharacterStyle2"/>
          <w:rFonts w:ascii="Verdana" w:hAnsi="Verdana" w:cs="Verdana"/>
          <w:b/>
          <w:iCs/>
          <w:w w:val="95"/>
          <w:lang w:val="es-ES" w:eastAsia="es-ES"/>
        </w:rPr>
        <w:t>NOTIFÍQUESE</w:t>
      </w:r>
    </w:p>
    <w:p w:rsidR="00206FD1" w:rsidRDefault="00206FD1" w:rsidP="00206FD1">
      <w:pPr>
        <w:pStyle w:val="Sinespaciado"/>
        <w:ind w:left="144"/>
        <w:rPr>
          <w:rFonts w:ascii="Book Antiqua" w:hAnsi="Book Antiqua" w:cs="Tahoma"/>
          <w:b/>
          <w:sz w:val="22"/>
          <w:szCs w:val="22"/>
          <w:lang w:val="es-ES" w:eastAsia="es-ES"/>
        </w:rPr>
      </w:pPr>
    </w:p>
    <w:p w:rsidR="00206FD1" w:rsidRPr="00206FD1" w:rsidRDefault="00206FD1" w:rsidP="00206FD1">
      <w:pPr>
        <w:pStyle w:val="Sinespaciado"/>
        <w:ind w:left="144"/>
        <w:jc w:val="center"/>
        <w:rPr>
          <w:rStyle w:val="CharacterStyle2"/>
          <w:rFonts w:ascii="Tahoma" w:hAnsi="Tahoma"/>
          <w:b/>
          <w:spacing w:val="15"/>
          <w:sz w:val="20"/>
          <w:szCs w:val="20"/>
        </w:rPr>
      </w:pPr>
      <w:r w:rsidRPr="00206FD1">
        <w:rPr>
          <w:rStyle w:val="CharacterStyle2"/>
          <w:rFonts w:ascii="Tahoma" w:hAnsi="Tahoma"/>
          <w:b/>
          <w:spacing w:val="15"/>
          <w:sz w:val="20"/>
          <w:szCs w:val="20"/>
        </w:rPr>
        <w:t>Lic. Luis Gerardo Fallas Acosta</w:t>
      </w:r>
    </w:p>
    <w:p w:rsidR="00206FD1" w:rsidRPr="00206FD1" w:rsidRDefault="00206FD1" w:rsidP="00206FD1">
      <w:pPr>
        <w:pStyle w:val="Sinespaciado"/>
        <w:ind w:left="144"/>
        <w:jc w:val="center"/>
        <w:rPr>
          <w:rStyle w:val="CharacterStyle2"/>
          <w:rFonts w:ascii="Tahoma" w:hAnsi="Tahoma"/>
          <w:b/>
          <w:spacing w:val="15"/>
          <w:sz w:val="20"/>
          <w:szCs w:val="20"/>
        </w:rPr>
      </w:pPr>
      <w:r w:rsidRPr="00206FD1">
        <w:rPr>
          <w:rStyle w:val="CharacterStyle2"/>
          <w:rFonts w:ascii="Tahoma" w:hAnsi="Tahoma"/>
          <w:b/>
          <w:spacing w:val="15"/>
          <w:sz w:val="20"/>
          <w:szCs w:val="20"/>
        </w:rPr>
        <w:t>Presidente</w:t>
      </w:r>
    </w:p>
    <w:p w:rsidR="00206FD1" w:rsidRPr="00206FD1" w:rsidRDefault="00206FD1" w:rsidP="00206FD1">
      <w:pPr>
        <w:pStyle w:val="Sinespaciado"/>
        <w:ind w:left="144"/>
        <w:rPr>
          <w:rStyle w:val="CharacterStyle2"/>
          <w:rFonts w:ascii="Tahoma" w:hAnsi="Tahoma"/>
          <w:b/>
          <w:spacing w:val="15"/>
          <w:sz w:val="20"/>
          <w:szCs w:val="20"/>
        </w:rPr>
      </w:pPr>
    </w:p>
    <w:p w:rsidR="00206FD1" w:rsidRPr="00B21B5E" w:rsidRDefault="00206FD1" w:rsidP="00206FD1">
      <w:pPr>
        <w:pStyle w:val="Sinespaciado"/>
        <w:jc w:val="center"/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</w:pPr>
      <w:r w:rsidRPr="00206FD1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>Lic. Carlos Miguel Portuguez Méndez</w:t>
      </w:r>
      <w:r w:rsidRPr="00206FD1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  <w:t xml:space="preserve">Licda. </w:t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>Marta Luz Pérez Peláez</w:t>
      </w:r>
    </w:p>
    <w:p w:rsidR="00206FD1" w:rsidRPr="00B21B5E" w:rsidRDefault="00206FD1" w:rsidP="00206FD1">
      <w:pPr>
        <w:pStyle w:val="Sinespaciado"/>
        <w:jc w:val="center"/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</w:pP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>Juez</w:t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</w:r>
      <w:r w:rsidRPr="00B21B5E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ab/>
        <w:t>Jueza</w:t>
      </w:r>
    </w:p>
    <w:p w:rsidR="00F36C14" w:rsidRPr="00206FD1" w:rsidRDefault="00F36C14" w:rsidP="00F36C14">
      <w:pPr>
        <w:pStyle w:val="Style11"/>
        <w:tabs>
          <w:tab w:val="left" w:pos="2718"/>
          <w:tab w:val="left" w:pos="3438"/>
        </w:tabs>
        <w:kinsoku w:val="0"/>
        <w:autoSpaceDE/>
        <w:autoSpaceDN/>
        <w:spacing w:before="252" w:after="72" w:line="213" w:lineRule="auto"/>
        <w:ind w:left="144" w:right="84"/>
        <w:rPr>
          <w:rStyle w:val="CharacterStyle2"/>
          <w:rFonts w:ascii="Tahoma" w:hAnsi="Tahoma" w:cs="Tahoma"/>
          <w:b/>
          <w:spacing w:val="15"/>
          <w:sz w:val="20"/>
          <w:szCs w:val="20"/>
          <w:lang w:val="es-ES" w:eastAsia="es-ES"/>
        </w:rPr>
      </w:pPr>
    </w:p>
    <w:p w:rsidR="00F36C14" w:rsidRPr="00F36C14" w:rsidRDefault="00F36C14" w:rsidP="00F36C14">
      <w:pPr>
        <w:pStyle w:val="Style11"/>
        <w:tabs>
          <w:tab w:val="left" w:pos="2718"/>
          <w:tab w:val="left" w:pos="3438"/>
        </w:tabs>
        <w:kinsoku w:val="0"/>
        <w:autoSpaceDE/>
        <w:autoSpaceDN/>
        <w:spacing w:before="252" w:after="72" w:line="213" w:lineRule="auto"/>
        <w:ind w:right="84"/>
        <w:jc w:val="center"/>
        <w:rPr>
          <w:lang w:val="es-CR"/>
        </w:rPr>
      </w:pPr>
    </w:p>
    <w:p w:rsidR="008907A6" w:rsidRDefault="00E17519">
      <w:pPr>
        <w:pStyle w:val="Style12"/>
        <w:kinsoku w:val="0"/>
        <w:autoSpaceDE/>
        <w:autoSpaceDN/>
        <w:rPr>
          <w:rStyle w:val="CharacterStyle4"/>
          <w:rFonts w:ascii="Verdana" w:hAnsi="Verdana" w:cs="Verdana"/>
          <w:b/>
          <w:bCs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w w:val="105"/>
          <w:lang w:val="es-ES" w:eastAsia="es-ES"/>
        </w:rPr>
        <w:lastRenderedPageBreak/>
        <w:t>VOTO SALVADO</w:t>
      </w:r>
    </w:p>
    <w:p w:rsidR="008907A6" w:rsidRDefault="00E17519">
      <w:pPr>
        <w:pStyle w:val="Style11"/>
        <w:kinsoku w:val="0"/>
        <w:autoSpaceDE/>
        <w:autoSpaceDN/>
        <w:ind w:left="0" w:right="0"/>
        <w:rPr>
          <w:rStyle w:val="CharacterStyle2"/>
          <w:rFonts w:ascii="Tahoma" w:hAnsi="Tahoma" w:cs="Tahoma"/>
          <w:spacing w:val="16"/>
          <w:lang w:val="es-ES" w:eastAsia="es-ES"/>
        </w:rPr>
      </w:pPr>
      <w:r>
        <w:rPr>
          <w:rStyle w:val="CharacterStyle2"/>
          <w:rFonts w:ascii="Tahoma" w:hAnsi="Tahoma" w:cs="Tahoma"/>
          <w:spacing w:val="16"/>
          <w:lang w:val="es-ES" w:eastAsia="es-ES"/>
        </w:rPr>
        <w:t xml:space="preserve">En la decisión recaída, mediante resolución TAT-No. 1429-05, de las </w:t>
      </w:r>
      <w:r>
        <w:rPr>
          <w:rStyle w:val="CharacterStyle2"/>
          <w:rFonts w:ascii="Tahoma" w:hAnsi="Tahoma" w:cs="Tahoma"/>
          <w:spacing w:val="14"/>
          <w:lang w:val="es-ES" w:eastAsia="es-ES"/>
        </w:rPr>
        <w:t xml:space="preserve">catorce horas con veinte minutos del veintiséis de octubre del dos mil </w:t>
      </w:r>
      <w:r>
        <w:rPr>
          <w:rStyle w:val="CharacterStyle2"/>
          <w:rFonts w:ascii="Tahoma" w:hAnsi="Tahoma" w:cs="Tahoma"/>
          <w:spacing w:val="37"/>
          <w:lang w:val="es-ES" w:eastAsia="es-ES"/>
        </w:rPr>
        <w:t xml:space="preserve">cinco, que resuelve LA QUEJA presentada por </w:t>
      </w:r>
      <w:r w:rsidR="00206FD1">
        <w:rPr>
          <w:rStyle w:val="CharacterStyle2"/>
          <w:rFonts w:ascii="Tahoma" w:hAnsi="Tahoma" w:cs="Tahoma"/>
          <w:spacing w:val="37"/>
          <w:lang w:val="es-ES" w:eastAsia="es-ES"/>
        </w:rPr>
        <w:t>ETSA</w:t>
      </w:r>
      <w:r w:rsidR="00206FD1">
        <w:rPr>
          <w:rStyle w:val="CharacterStyle2"/>
          <w:rFonts w:ascii="Tahoma" w:hAnsi="Tahoma" w:cs="Tahoma"/>
          <w:spacing w:val="26"/>
          <w:lang w:val="es-ES" w:eastAsia="es-ES"/>
        </w:rPr>
        <w:t xml:space="preserve"> </w:t>
      </w:r>
      <w:r>
        <w:rPr>
          <w:rStyle w:val="CharacterStyle2"/>
          <w:rFonts w:ascii="Tahoma" w:hAnsi="Tahoma" w:cs="Tahoma"/>
          <w:spacing w:val="26"/>
          <w:lang w:val="es-ES" w:eastAsia="es-ES"/>
        </w:rPr>
        <w:t xml:space="preserve">S.A., en contra de los Miembros que </w:t>
      </w:r>
      <w:r>
        <w:rPr>
          <w:rStyle w:val="CharacterStyle2"/>
          <w:rFonts w:ascii="Tahoma" w:hAnsi="Tahoma" w:cs="Tahoma"/>
          <w:spacing w:val="17"/>
          <w:lang w:val="es-ES" w:eastAsia="es-ES"/>
        </w:rPr>
        <w:t xml:space="preserve">integran la Junta Directiva del Consejo de Transporte Público, señores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: Roberto Arguedas Pérez, Rafael Chan </w:t>
      </w:r>
      <w:proofErr w:type="spellStart"/>
      <w:r>
        <w:rPr>
          <w:rStyle w:val="CharacterStyle2"/>
          <w:rFonts w:ascii="Tahoma" w:hAnsi="Tahoma" w:cs="Tahoma"/>
          <w:spacing w:val="15"/>
          <w:lang w:val="es-ES" w:eastAsia="es-ES"/>
        </w:rPr>
        <w:t>Jáen</w:t>
      </w:r>
      <w:proofErr w:type="spellEnd"/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, Eladio Campos </w:t>
      </w:r>
      <w:proofErr w:type="spellStart"/>
      <w:r>
        <w:rPr>
          <w:rStyle w:val="CharacterStyle2"/>
          <w:rFonts w:ascii="Tahoma" w:hAnsi="Tahoma" w:cs="Tahoma"/>
          <w:spacing w:val="15"/>
          <w:lang w:val="es-ES" w:eastAsia="es-ES"/>
        </w:rPr>
        <w:t>Campos</w:t>
      </w:r>
      <w:proofErr w:type="spellEnd"/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, </w:t>
      </w:r>
      <w:r>
        <w:rPr>
          <w:rStyle w:val="CharacterStyle2"/>
          <w:rFonts w:ascii="Tahoma" w:hAnsi="Tahoma" w:cs="Tahoma"/>
          <w:spacing w:val="23"/>
          <w:lang w:val="es-ES" w:eastAsia="es-ES"/>
        </w:rPr>
        <w:t xml:space="preserve">Edwin Barboza Guzmán, Olman Bonilla </w:t>
      </w:r>
      <w:proofErr w:type="spellStart"/>
      <w:r>
        <w:rPr>
          <w:rStyle w:val="CharacterStyle2"/>
          <w:rFonts w:ascii="Tahoma" w:hAnsi="Tahoma" w:cs="Tahoma"/>
          <w:spacing w:val="23"/>
          <w:lang w:val="es-ES" w:eastAsia="es-ES"/>
        </w:rPr>
        <w:t>Oconitrillo</w:t>
      </w:r>
      <w:proofErr w:type="spellEnd"/>
      <w:r>
        <w:rPr>
          <w:rStyle w:val="CharacterStyle2"/>
          <w:rFonts w:ascii="Tahoma" w:hAnsi="Tahoma" w:cs="Tahoma"/>
          <w:spacing w:val="23"/>
          <w:lang w:val="es-ES" w:eastAsia="es-ES"/>
        </w:rPr>
        <w:t xml:space="preserve"> y </w:t>
      </w:r>
      <w:proofErr w:type="spellStart"/>
      <w:r>
        <w:rPr>
          <w:rStyle w:val="CharacterStyle2"/>
          <w:rFonts w:ascii="Tahoma" w:hAnsi="Tahoma" w:cs="Tahoma"/>
          <w:spacing w:val="23"/>
          <w:lang w:val="es-ES" w:eastAsia="es-ES"/>
        </w:rPr>
        <w:t>Olger</w:t>
      </w:r>
      <w:proofErr w:type="spellEnd"/>
      <w:r>
        <w:rPr>
          <w:rStyle w:val="CharacterStyle2"/>
          <w:rFonts w:ascii="Tahoma" w:hAnsi="Tahoma" w:cs="Tahoma"/>
          <w:spacing w:val="23"/>
          <w:lang w:val="es-ES" w:eastAsia="es-ES"/>
        </w:rPr>
        <w:t xml:space="preserve"> Murillo </w:t>
      </w:r>
      <w:r>
        <w:rPr>
          <w:rStyle w:val="CharacterStyle2"/>
          <w:rFonts w:ascii="Tahoma" w:hAnsi="Tahoma" w:cs="Tahoma"/>
          <w:spacing w:val="21"/>
          <w:lang w:val="es-ES" w:eastAsia="es-ES"/>
        </w:rPr>
        <w:t xml:space="preserve">Ramírez, en cuanto presentó Recurso de Revocatoria con Apelación </w:t>
      </w:r>
      <w:r>
        <w:rPr>
          <w:rStyle w:val="CharacterStyle2"/>
          <w:rFonts w:ascii="Tahoma" w:hAnsi="Tahoma" w:cs="Tahoma"/>
          <w:spacing w:val="24"/>
          <w:lang w:val="es-ES" w:eastAsia="es-ES"/>
        </w:rPr>
        <w:t xml:space="preserve">en Subsidio , Incidente de Suspensión del Acto Administrativo e </w:t>
      </w:r>
      <w:r>
        <w:rPr>
          <w:rStyle w:val="CharacterStyle2"/>
          <w:rFonts w:ascii="Tahoma" w:hAnsi="Tahoma" w:cs="Tahoma"/>
          <w:spacing w:val="15"/>
          <w:lang w:val="es-ES" w:eastAsia="es-ES"/>
        </w:rPr>
        <w:t xml:space="preserve">Incidente de Nulidad Absoluta en contra del artículo 4.1 de la Sesión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Ordinaria 18-2005 de la Junta Directiva del Consejo de Transporte </w:t>
      </w:r>
      <w:r>
        <w:rPr>
          <w:rStyle w:val="CharacterStyle2"/>
          <w:rFonts w:ascii="Tahoma" w:hAnsi="Tahoma" w:cs="Tahoma"/>
          <w:spacing w:val="22"/>
          <w:lang w:val="es-ES" w:eastAsia="es-ES"/>
        </w:rPr>
        <w:t xml:space="preserve">Público del 10 de marzo del 2005, recursos resueltos mediante el </w:t>
      </w:r>
      <w:r>
        <w:rPr>
          <w:rStyle w:val="CharacterStyle2"/>
          <w:rFonts w:ascii="Tahoma" w:hAnsi="Tahoma" w:cs="Tahoma"/>
          <w:spacing w:val="25"/>
          <w:lang w:val="es-ES" w:eastAsia="es-ES"/>
        </w:rPr>
        <w:t xml:space="preserve">artículo 5.2 de la Sesión ordinaria 45-2005 en que se acordó en </w:t>
      </w:r>
      <w:r>
        <w:rPr>
          <w:rStyle w:val="CharacterStyle2"/>
          <w:rFonts w:ascii="Tahoma" w:hAnsi="Tahoma" w:cs="Tahoma"/>
          <w:spacing w:val="23"/>
          <w:lang w:val="es-ES" w:eastAsia="es-ES"/>
        </w:rPr>
        <w:t xml:space="preserve">firme, en lo que interesa lo siguiente: "..2) Archivar por falta de </w:t>
      </w:r>
      <w:r>
        <w:rPr>
          <w:rStyle w:val="CharacterStyle2"/>
          <w:rFonts w:ascii="Tahoma" w:hAnsi="Tahoma" w:cs="Tahoma"/>
          <w:spacing w:val="22"/>
          <w:lang w:val="es-ES" w:eastAsia="es-ES"/>
        </w:rPr>
        <w:t xml:space="preserve">interés actual el recurso de Revocatoria con apelación subsidio y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nulidad presentado por ETSA S.A., en contra del artículo 4.1. </w:t>
      </w:r>
      <w:proofErr w:type="gramStart"/>
      <w:r>
        <w:rPr>
          <w:rStyle w:val="CharacterStyle2"/>
          <w:rFonts w:ascii="Tahoma" w:hAnsi="Tahoma" w:cs="Tahoma"/>
          <w:spacing w:val="19"/>
          <w:lang w:val="es-ES" w:eastAsia="es-ES"/>
        </w:rPr>
        <w:t>de</w:t>
      </w:r>
      <w:proofErr w:type="gramEnd"/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la Sesión ordinaria 18-2005 del 10 de marzo del 2005,.." . Ante lo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señalado por el quejoso se debe solicitar al Consejo de Transporte </w:t>
      </w:r>
      <w:r>
        <w:rPr>
          <w:rStyle w:val="CharacterStyle2"/>
          <w:rFonts w:ascii="Tahoma" w:hAnsi="Tahoma" w:cs="Tahoma"/>
          <w:spacing w:val="23"/>
          <w:lang w:val="es-ES" w:eastAsia="es-ES"/>
        </w:rPr>
        <w:t xml:space="preserve">Público el expediente que se refiere al Recurso de Apelación que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supuestamente se rechaza según lo indicado a efecto de determinar </w:t>
      </w:r>
      <w:r>
        <w:rPr>
          <w:rStyle w:val="CharacterStyle2"/>
          <w:rFonts w:ascii="Tahoma" w:hAnsi="Tahoma" w:cs="Tahoma"/>
          <w:spacing w:val="16"/>
          <w:lang w:val="es-ES" w:eastAsia="es-ES"/>
        </w:rPr>
        <w:t>lo que en derecho corresponda.</w:t>
      </w:r>
    </w:p>
    <w:p w:rsidR="008907A6" w:rsidRDefault="00E17519">
      <w:pPr>
        <w:pStyle w:val="Style13"/>
        <w:kinsoku w:val="0"/>
        <w:autoSpaceDE/>
        <w:autoSpaceDN/>
        <w:rPr>
          <w:rStyle w:val="CharacterStyle2"/>
          <w:rFonts w:ascii="Tahoma" w:hAnsi="Tahoma" w:cs="Tahoma"/>
          <w:spacing w:val="16"/>
          <w:lang w:val="es-ES" w:eastAsia="es-ES"/>
        </w:rPr>
      </w:pP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No concurrí con el voto de mayoría, toda vez que considero que la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queja planteada por el recurrente eventualmente podría establecer </w:t>
      </w:r>
      <w:r>
        <w:rPr>
          <w:rStyle w:val="CharacterStyle2"/>
          <w:rFonts w:ascii="Tahoma" w:hAnsi="Tahoma" w:cs="Tahoma"/>
          <w:spacing w:val="31"/>
          <w:lang w:val="es-ES" w:eastAsia="es-ES"/>
        </w:rPr>
        <w:t xml:space="preserve">irregularidades en el procedimiento y trámite del Recurso de </w:t>
      </w:r>
      <w:r>
        <w:rPr>
          <w:rStyle w:val="CharacterStyle2"/>
          <w:rFonts w:ascii="Tahoma" w:hAnsi="Tahoma" w:cs="Tahoma"/>
          <w:spacing w:val="27"/>
          <w:lang w:val="es-ES" w:eastAsia="es-ES"/>
        </w:rPr>
        <w:t xml:space="preserve">Apelación en subsidio planteado ante el Consejo de Transporte </w:t>
      </w:r>
      <w:r>
        <w:rPr>
          <w:rStyle w:val="CharacterStyle2"/>
          <w:rFonts w:ascii="Tahoma" w:hAnsi="Tahoma" w:cs="Tahoma"/>
          <w:spacing w:val="20"/>
          <w:lang w:val="es-ES" w:eastAsia="es-ES"/>
        </w:rPr>
        <w:t xml:space="preserve">Público, el cual según el reclamo presentado una vez rechazado el </w:t>
      </w:r>
      <w:r>
        <w:rPr>
          <w:rStyle w:val="CharacterStyle2"/>
          <w:rFonts w:ascii="Tahoma" w:hAnsi="Tahoma" w:cs="Tahoma"/>
          <w:spacing w:val="27"/>
          <w:lang w:val="es-ES" w:eastAsia="es-ES"/>
        </w:rPr>
        <w:t xml:space="preserve">Recurso de Revocatoria debía remitirse el de Apelación ante el </w:t>
      </w:r>
      <w:r>
        <w:rPr>
          <w:rStyle w:val="CharacterStyle2"/>
          <w:rFonts w:ascii="Tahoma" w:hAnsi="Tahoma" w:cs="Tahoma"/>
          <w:spacing w:val="19"/>
          <w:lang w:val="es-ES" w:eastAsia="es-ES"/>
        </w:rPr>
        <w:t xml:space="preserve">Tribunal Administrativo de Transporte, sin posibilidad alguna de la </w:t>
      </w:r>
      <w:r>
        <w:rPr>
          <w:rStyle w:val="CharacterStyle2"/>
          <w:rFonts w:ascii="Tahoma" w:hAnsi="Tahoma" w:cs="Tahoma"/>
          <w:spacing w:val="33"/>
          <w:lang w:val="es-ES" w:eastAsia="es-ES"/>
        </w:rPr>
        <w:t xml:space="preserve">Administración de actuar contrario a lo señalado, de ser así </w:t>
      </w:r>
      <w:r>
        <w:rPr>
          <w:rStyle w:val="CharacterStyle2"/>
          <w:rFonts w:ascii="Tahoma" w:hAnsi="Tahoma" w:cs="Tahoma"/>
          <w:spacing w:val="28"/>
          <w:lang w:val="es-ES" w:eastAsia="es-ES"/>
        </w:rPr>
        <w:t xml:space="preserve">efectivamente se actúa irregularmente. De conformidad con el </w:t>
      </w:r>
      <w:r>
        <w:rPr>
          <w:rStyle w:val="CharacterStyle2"/>
          <w:rFonts w:ascii="Tahoma" w:hAnsi="Tahoma" w:cs="Tahoma"/>
          <w:spacing w:val="18"/>
          <w:lang w:val="es-ES" w:eastAsia="es-ES"/>
        </w:rPr>
        <w:t xml:space="preserve">artículo 22 de la Ley Reguladora del Servicio Público de Transporte Remunerado de Personas en Vehículos en la Modalidad de Taxi, No. </w:t>
      </w:r>
      <w:r>
        <w:rPr>
          <w:rStyle w:val="CharacterStyle2"/>
          <w:rFonts w:ascii="Tahoma" w:hAnsi="Tahoma" w:cs="Tahoma"/>
          <w:spacing w:val="25"/>
          <w:lang w:val="es-ES" w:eastAsia="es-ES"/>
        </w:rPr>
        <w:t xml:space="preserve">7969 del 22 de diciembre de 1999, publicada el 28 de enero del </w:t>
      </w:r>
      <w:r>
        <w:rPr>
          <w:rStyle w:val="CharacterStyle2"/>
          <w:rFonts w:ascii="Tahoma" w:hAnsi="Tahoma" w:cs="Tahoma"/>
          <w:spacing w:val="24"/>
          <w:lang w:val="es-ES" w:eastAsia="es-ES"/>
        </w:rPr>
        <w:t xml:space="preserve">2000, y el Dictamen C 37-2000, del 25 de febrero de 2000 de la </w:t>
      </w:r>
      <w:r>
        <w:rPr>
          <w:rStyle w:val="CharacterStyle2"/>
          <w:rFonts w:ascii="Tahoma" w:hAnsi="Tahoma" w:cs="Tahoma"/>
          <w:spacing w:val="8"/>
          <w:lang w:val="es-ES" w:eastAsia="es-ES"/>
        </w:rPr>
        <w:t xml:space="preserve">Procuraduría General de la República, el TRIBUNAL ADMINISTRATIVO DE </w:t>
      </w:r>
      <w:r>
        <w:rPr>
          <w:rStyle w:val="CharacterStyle2"/>
          <w:rFonts w:ascii="Tahoma" w:hAnsi="Tahoma" w:cs="Tahoma"/>
          <w:spacing w:val="11"/>
          <w:lang w:val="es-ES" w:eastAsia="es-ES"/>
        </w:rPr>
        <w:t xml:space="preserve">TRANSPORTE es el competente para conocer y resolver los recursos de </w:t>
      </w:r>
      <w:r>
        <w:rPr>
          <w:rStyle w:val="CharacterStyle2"/>
          <w:rFonts w:ascii="Tahoma" w:hAnsi="Tahoma" w:cs="Tahoma"/>
          <w:spacing w:val="28"/>
          <w:lang w:val="es-ES" w:eastAsia="es-ES"/>
        </w:rPr>
        <w:t xml:space="preserve">apelación en subsidio que se presenten en contra de los actos </w:t>
      </w:r>
      <w:r>
        <w:rPr>
          <w:rStyle w:val="CharacterStyle2"/>
          <w:rFonts w:ascii="Tahoma" w:hAnsi="Tahoma" w:cs="Tahoma"/>
          <w:spacing w:val="16"/>
          <w:lang w:val="es-ES" w:eastAsia="es-ES"/>
        </w:rPr>
        <w:t>dictados por el Consejo de Transporte Público.</w:t>
      </w:r>
    </w:p>
    <w:p w:rsidR="008907A6" w:rsidRDefault="00E17519">
      <w:pPr>
        <w:pStyle w:val="Style11"/>
        <w:kinsoku w:val="0"/>
        <w:autoSpaceDE/>
        <w:autoSpaceDN/>
        <w:spacing w:before="0"/>
        <w:ind w:left="0" w:right="0"/>
        <w:jc w:val="left"/>
        <w:rPr>
          <w:rStyle w:val="CharacterStyle2"/>
          <w:rFonts w:ascii="Tahoma" w:hAnsi="Tahoma" w:cs="Tahoma"/>
          <w:spacing w:val="16"/>
          <w:lang w:val="es-ES" w:eastAsia="es-ES"/>
        </w:rPr>
      </w:pPr>
      <w:r>
        <w:rPr>
          <w:rStyle w:val="CharacterStyle2"/>
          <w:rFonts w:ascii="Tahoma" w:hAnsi="Tahoma" w:cs="Tahoma"/>
          <w:spacing w:val="17"/>
          <w:lang w:val="es-ES" w:eastAsia="es-ES"/>
        </w:rPr>
        <w:t xml:space="preserve">La Procuraduría General de la República, mediante </w:t>
      </w:r>
      <w:proofErr w:type="spellStart"/>
      <w:r>
        <w:rPr>
          <w:rStyle w:val="CharacterStyle2"/>
          <w:rFonts w:ascii="Tahoma" w:hAnsi="Tahoma" w:cs="Tahoma"/>
          <w:spacing w:val="17"/>
          <w:lang w:val="es-ES" w:eastAsia="es-ES"/>
        </w:rPr>
        <w:t>Dictamén</w:t>
      </w:r>
      <w:proofErr w:type="spellEnd"/>
      <w:r>
        <w:rPr>
          <w:rStyle w:val="CharacterStyle2"/>
          <w:rFonts w:ascii="Tahoma" w:hAnsi="Tahoma" w:cs="Tahoma"/>
          <w:spacing w:val="17"/>
          <w:lang w:val="es-ES" w:eastAsia="es-ES"/>
        </w:rPr>
        <w:t xml:space="preserve"> C-201- </w:t>
      </w:r>
      <w:r>
        <w:rPr>
          <w:rStyle w:val="CharacterStyle2"/>
          <w:rFonts w:ascii="Tahoma" w:hAnsi="Tahoma" w:cs="Tahoma"/>
          <w:spacing w:val="16"/>
          <w:lang w:val="es-ES" w:eastAsia="es-ES"/>
        </w:rPr>
        <w:t>2000, del 1 de setiembre del 2000, señaló sobre el tema lo siguiente:</w:t>
      </w:r>
    </w:p>
    <w:p w:rsidR="00206FD1" w:rsidRDefault="00206FD1">
      <w:pPr>
        <w:pStyle w:val="Style11"/>
        <w:kinsoku w:val="0"/>
        <w:autoSpaceDE/>
        <w:autoSpaceDN/>
        <w:spacing w:before="0"/>
        <w:ind w:left="0" w:right="0"/>
        <w:jc w:val="left"/>
        <w:rPr>
          <w:rStyle w:val="CharacterStyle2"/>
          <w:rFonts w:ascii="Tahoma" w:hAnsi="Tahoma" w:cs="Tahoma"/>
          <w:spacing w:val="16"/>
          <w:lang w:val="es-ES" w:eastAsia="es-ES"/>
        </w:rPr>
      </w:pPr>
    </w:p>
    <w:p w:rsidR="008907A6" w:rsidRDefault="00E17519">
      <w:pPr>
        <w:pStyle w:val="Style14"/>
        <w:kinsoku w:val="0"/>
        <w:autoSpaceDE/>
        <w:autoSpaceDN/>
        <w:rPr>
          <w:rStyle w:val="CharacterStyle6"/>
          <w:rFonts w:ascii="Tahoma" w:hAnsi="Tahoma" w:cs="Tahoma"/>
          <w:spacing w:val="10"/>
          <w:lang w:val="es-ES" w:eastAsia="es-ES"/>
        </w:rPr>
      </w:pPr>
      <w:r>
        <w:rPr>
          <w:rStyle w:val="CharacterStyle6"/>
          <w:rFonts w:ascii="Tahoma" w:hAnsi="Tahoma" w:cs="Tahoma"/>
          <w:spacing w:val="12"/>
          <w:lang w:val="es-ES" w:eastAsia="es-ES"/>
        </w:rPr>
        <w:t xml:space="preserve">"Podría considerarse que carece de relevancia el reconocer un </w:t>
      </w:r>
      <w:r>
        <w:rPr>
          <w:rStyle w:val="CharacterStyle6"/>
          <w:rFonts w:ascii="Tahoma" w:hAnsi="Tahoma" w:cs="Tahoma"/>
          <w:spacing w:val="17"/>
          <w:lang w:val="es-ES" w:eastAsia="es-ES"/>
        </w:rPr>
        <w:t xml:space="preserve">reclamo de queja contra actos del Regulador si no es posible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 xml:space="preserve">iniciar, por parte de la Junta, un procedimiento disciplinario. Pero </w:t>
      </w:r>
      <w:r>
        <w:rPr>
          <w:rStyle w:val="CharacterStyle6"/>
          <w:rFonts w:ascii="Tahoma" w:hAnsi="Tahoma" w:cs="Tahoma"/>
          <w:spacing w:val="11"/>
          <w:lang w:val="es-ES" w:eastAsia="es-ES"/>
        </w:rPr>
        <w:t xml:space="preserve">una conclusión en ese </w:t>
      </w:r>
      <w:r>
        <w:rPr>
          <w:rStyle w:val="CharacterStyle6"/>
          <w:rFonts w:ascii="Tahoma" w:hAnsi="Tahoma" w:cs="Tahoma"/>
          <w:spacing w:val="11"/>
          <w:lang w:val="es-ES" w:eastAsia="es-ES"/>
        </w:rPr>
        <w:lastRenderedPageBreak/>
        <w:t xml:space="preserve">sentido desconocería el objeto mismo del </w:t>
      </w:r>
      <w:r>
        <w:rPr>
          <w:rStyle w:val="CharacterStyle6"/>
          <w:rFonts w:ascii="Tahoma" w:hAnsi="Tahoma" w:cs="Tahoma"/>
          <w:spacing w:val="17"/>
          <w:lang w:val="es-ES" w:eastAsia="es-ES"/>
        </w:rPr>
        <w:t xml:space="preserve">recurso de queja. No existe una relación de causalidad entre </w:t>
      </w:r>
      <w:r>
        <w:rPr>
          <w:rStyle w:val="CharacterStyle6"/>
          <w:rFonts w:ascii="Tahoma" w:hAnsi="Tahoma" w:cs="Tahoma"/>
          <w:spacing w:val="14"/>
          <w:lang w:val="es-ES" w:eastAsia="es-ES"/>
        </w:rPr>
        <w:t xml:space="preserve">acoger el recurso de queja y el ejercicio del poder disciplinario, por lo que bien podría la Junta acoger el recurso, tomando las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 xml:space="preserve">medidas necesarias para que la situación Irregular sea subsanada, </w:t>
      </w:r>
      <w:r>
        <w:rPr>
          <w:rStyle w:val="CharacterStyle6"/>
          <w:rFonts w:ascii="Tahoma" w:hAnsi="Tahoma" w:cs="Tahoma"/>
          <w:spacing w:val="11"/>
          <w:lang w:val="es-ES" w:eastAsia="es-ES"/>
        </w:rPr>
        <w:t xml:space="preserve">sin necesidad de plantearse la conveniencia de abrir un proceso </w:t>
      </w:r>
      <w:r>
        <w:rPr>
          <w:rStyle w:val="CharacterStyle6"/>
          <w:rFonts w:ascii="Tahoma" w:hAnsi="Tahoma" w:cs="Tahoma"/>
          <w:spacing w:val="14"/>
          <w:lang w:val="es-ES" w:eastAsia="es-ES"/>
        </w:rPr>
        <w:t xml:space="preserve">disciplinario, el cual es -repetirnos- de la exclusiva competencia </w:t>
      </w:r>
      <w:r>
        <w:rPr>
          <w:rStyle w:val="CharacterStyle6"/>
          <w:rFonts w:ascii="Tahoma" w:hAnsi="Tahoma" w:cs="Tahoma"/>
          <w:spacing w:val="11"/>
          <w:lang w:val="es-ES" w:eastAsia="es-ES"/>
        </w:rPr>
        <w:t xml:space="preserve">del Consejo de Gobierno. No puede olvidarse, al efecto, que el fin </w:t>
      </w:r>
      <w:r>
        <w:rPr>
          <w:rStyle w:val="CharacterStyle6"/>
          <w:rFonts w:ascii="Tahoma" w:hAnsi="Tahoma" w:cs="Tahoma"/>
          <w:spacing w:val="9"/>
          <w:lang w:val="es-ES" w:eastAsia="es-ES"/>
        </w:rPr>
        <w:t xml:space="preserve">del recurso de queja es que se subsanen las faltas del inferior, de </w:t>
      </w:r>
      <w:r>
        <w:rPr>
          <w:rStyle w:val="CharacterStyle6"/>
          <w:rFonts w:ascii="Tahoma" w:hAnsi="Tahoma" w:cs="Tahoma"/>
          <w:spacing w:val="14"/>
          <w:lang w:val="es-ES" w:eastAsia="es-ES"/>
        </w:rPr>
        <w:t xml:space="preserve">modo que se tramite el procedimiento administrativo con arreglo </w:t>
      </w:r>
      <w:r>
        <w:rPr>
          <w:rStyle w:val="CharacterStyle6"/>
          <w:rFonts w:ascii="Tahoma" w:hAnsi="Tahoma" w:cs="Tahoma"/>
          <w:spacing w:val="19"/>
          <w:lang w:val="es-ES" w:eastAsia="es-ES"/>
        </w:rPr>
        <w:t xml:space="preserve">a las normas y principios que establece la ley, por lo que la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 xml:space="preserve">sanción al funcionario debe entenderse como subsidiaria. En ese </w:t>
      </w:r>
      <w:r>
        <w:rPr>
          <w:rStyle w:val="CharacterStyle6"/>
          <w:rFonts w:ascii="Tahoma" w:hAnsi="Tahoma" w:cs="Tahoma"/>
          <w:spacing w:val="20"/>
          <w:lang w:val="es-ES" w:eastAsia="es-ES"/>
        </w:rPr>
        <w:t xml:space="preserve">sentido, el interés del querellante no es que se sancione al </w:t>
      </w:r>
      <w:r>
        <w:rPr>
          <w:rStyle w:val="CharacterStyle6"/>
          <w:rFonts w:ascii="Tahoma" w:hAnsi="Tahoma" w:cs="Tahoma"/>
          <w:spacing w:val="7"/>
          <w:lang w:val="es-ES" w:eastAsia="es-ES"/>
        </w:rPr>
        <w:t xml:space="preserve">funcionario, sino que el procedimiento continúe su marcha, no sea </w:t>
      </w:r>
      <w:r>
        <w:rPr>
          <w:rStyle w:val="CharacterStyle6"/>
          <w:rFonts w:ascii="Tahoma" w:hAnsi="Tahoma" w:cs="Tahoma"/>
          <w:spacing w:val="21"/>
          <w:lang w:val="es-ES" w:eastAsia="es-ES"/>
        </w:rPr>
        <w:t xml:space="preserve">entorpecido por actuaciones administrativas innecesarias o </w:t>
      </w:r>
      <w:r>
        <w:rPr>
          <w:rStyle w:val="CharacterStyle6"/>
          <w:rFonts w:ascii="Tahoma" w:hAnsi="Tahoma" w:cs="Tahoma"/>
          <w:spacing w:val="18"/>
          <w:lang w:val="es-ES" w:eastAsia="es-ES"/>
        </w:rPr>
        <w:t xml:space="preserve">indebidas y concluya con la resolución del caso. La queja no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 xml:space="preserve">tiende siquiera a obtener que el procedimiento concluya con una </w:t>
      </w:r>
      <w:r>
        <w:rPr>
          <w:rStyle w:val="CharacterStyle6"/>
          <w:rFonts w:ascii="Tahoma" w:hAnsi="Tahoma" w:cs="Tahoma"/>
          <w:spacing w:val="19"/>
          <w:lang w:val="es-ES" w:eastAsia="es-ES"/>
        </w:rPr>
        <w:t xml:space="preserve">resolución favorable a lo solicitado, ya que para eso está el </w:t>
      </w:r>
      <w:r>
        <w:rPr>
          <w:rStyle w:val="CharacterStyle6"/>
          <w:rFonts w:ascii="Tahoma" w:hAnsi="Tahoma" w:cs="Tahoma"/>
          <w:spacing w:val="9"/>
          <w:lang w:val="es-ES" w:eastAsia="es-ES"/>
        </w:rPr>
        <w:t xml:space="preserve">recurso de apelación, sino a subsanar, repetimos, irregularidades </w:t>
      </w:r>
      <w:r>
        <w:rPr>
          <w:rStyle w:val="CharacterStyle6"/>
          <w:rFonts w:ascii="Tahoma" w:hAnsi="Tahoma" w:cs="Tahoma"/>
          <w:spacing w:val="22"/>
          <w:lang w:val="es-ES" w:eastAsia="es-ES"/>
        </w:rPr>
        <w:t xml:space="preserve">administrativas. Lo que se evidencia en el hecho de que el </w:t>
      </w:r>
      <w:r>
        <w:rPr>
          <w:rStyle w:val="CharacterStyle6"/>
          <w:rFonts w:ascii="Tahoma" w:hAnsi="Tahoma" w:cs="Tahoma"/>
          <w:spacing w:val="15"/>
          <w:lang w:val="es-ES" w:eastAsia="es-ES"/>
        </w:rPr>
        <w:t xml:space="preserve">legislador solo se refiera al procedimiento sancionatorio en los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>casos en que el funcionario sea reincidente o cometa falta grave."</w:t>
      </w:r>
    </w:p>
    <w:p w:rsidR="008907A6" w:rsidRDefault="00E17519">
      <w:pPr>
        <w:pStyle w:val="Style15"/>
        <w:kinsoku w:val="0"/>
        <w:autoSpaceDE/>
        <w:autoSpaceDN/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</w:pPr>
      <w:r>
        <w:rPr>
          <w:rStyle w:val="CharacterStyle6"/>
          <w:rFonts w:ascii="Tahoma" w:hAnsi="Tahoma" w:cs="Tahoma"/>
          <w:spacing w:val="15"/>
          <w:sz w:val="22"/>
          <w:szCs w:val="22"/>
          <w:lang w:val="es-ES" w:eastAsia="es-ES"/>
        </w:rPr>
        <w:t xml:space="preserve">Bajo la configuración de la naturaleza jurídica que ostenta el Órgano </w:t>
      </w:r>
      <w:r>
        <w:rPr>
          <w:rStyle w:val="CharacterStyle6"/>
          <w:rFonts w:ascii="Tahoma" w:hAnsi="Tahoma" w:cs="Tahoma"/>
          <w:spacing w:val="19"/>
          <w:sz w:val="22"/>
          <w:szCs w:val="22"/>
          <w:lang w:val="es-ES" w:eastAsia="es-ES"/>
        </w:rPr>
        <w:t xml:space="preserve">Colegiado en contra del cual se dirige la queja, respecto del señor </w:t>
      </w:r>
      <w:r>
        <w:rPr>
          <w:rStyle w:val="CharacterStyle6"/>
          <w:rFonts w:ascii="Tahoma" w:hAnsi="Tahoma" w:cs="Tahoma"/>
          <w:spacing w:val="14"/>
          <w:sz w:val="22"/>
          <w:szCs w:val="22"/>
          <w:lang w:val="es-ES" w:eastAsia="es-ES"/>
        </w:rPr>
        <w:t xml:space="preserve">Ministro de Obras Públicas y Transportes y de la materia objeto de la </w:t>
      </w:r>
      <w:r>
        <w:rPr>
          <w:rStyle w:val="CharacterStyle6"/>
          <w:rFonts w:ascii="Tahoma" w:hAnsi="Tahoma" w:cs="Tahoma"/>
          <w:spacing w:val="20"/>
          <w:sz w:val="22"/>
          <w:szCs w:val="22"/>
          <w:lang w:val="es-ES" w:eastAsia="es-ES"/>
        </w:rPr>
        <w:t xml:space="preserve">desconcentración, no hay relación de jerarquía, es decir no puede </w:t>
      </w:r>
      <w:r>
        <w:rPr>
          <w:rStyle w:val="CharacterStyle6"/>
          <w:rFonts w:ascii="Tahoma" w:hAnsi="Tahoma" w:cs="Tahoma"/>
          <w:spacing w:val="24"/>
          <w:sz w:val="22"/>
          <w:szCs w:val="22"/>
          <w:lang w:val="es-ES" w:eastAsia="es-ES"/>
        </w:rPr>
        <w:t xml:space="preserve">revisarle los actos. Sin embargo al Tribunal sí le corresponde la </w:t>
      </w:r>
      <w:r>
        <w:rPr>
          <w:rStyle w:val="CharacterStyle6"/>
          <w:rFonts w:ascii="Tahoma" w:hAnsi="Tahoma" w:cs="Tahoma"/>
          <w:spacing w:val="15"/>
          <w:sz w:val="22"/>
          <w:szCs w:val="22"/>
          <w:lang w:val="es-ES" w:eastAsia="es-ES"/>
        </w:rPr>
        <w:t xml:space="preserve">revisión de las decisiones que adopten, según lo dispuesto en la ley. </w:t>
      </w:r>
      <w:r>
        <w:rPr>
          <w:rStyle w:val="CharacterStyle6"/>
          <w:rFonts w:ascii="Tahoma" w:hAnsi="Tahoma" w:cs="Tahoma"/>
          <w:spacing w:val="32"/>
          <w:sz w:val="22"/>
          <w:szCs w:val="22"/>
          <w:lang w:val="es-ES" w:eastAsia="es-ES"/>
        </w:rPr>
        <w:t xml:space="preserve">Ciertamente el objeto del reclamo de queja es determinar la </w:t>
      </w:r>
      <w:r>
        <w:rPr>
          <w:rStyle w:val="CharacterStyle6"/>
          <w:rFonts w:ascii="Tahoma" w:hAnsi="Tahoma" w:cs="Tahoma"/>
          <w:spacing w:val="25"/>
          <w:sz w:val="22"/>
          <w:szCs w:val="22"/>
          <w:lang w:val="es-ES" w:eastAsia="es-ES"/>
        </w:rPr>
        <w:t xml:space="preserve">existencia o no de una irregularidad en el trámite de la gestión </w:t>
      </w:r>
      <w:r>
        <w:rPr>
          <w:rStyle w:val="CharacterStyle6"/>
          <w:rFonts w:ascii="Tahoma" w:hAnsi="Tahoma" w:cs="Tahoma"/>
          <w:spacing w:val="28"/>
          <w:sz w:val="22"/>
          <w:szCs w:val="22"/>
          <w:lang w:val="es-ES" w:eastAsia="es-ES"/>
        </w:rPr>
        <w:t xml:space="preserve">presentada y tomar las medidas necesarias para que el mismo </w:t>
      </w:r>
      <w:proofErr w:type="gramStart"/>
      <w:r>
        <w:rPr>
          <w:rStyle w:val="CharacterStyle6"/>
          <w:rFonts w:ascii="Tahoma" w:hAnsi="Tahoma" w:cs="Tahoma"/>
          <w:spacing w:val="13"/>
          <w:sz w:val="22"/>
          <w:szCs w:val="22"/>
          <w:lang w:val="es-ES" w:eastAsia="es-ES"/>
        </w:rPr>
        <w:t>continué</w:t>
      </w:r>
      <w:proofErr w:type="gramEnd"/>
      <w:r>
        <w:rPr>
          <w:rStyle w:val="CharacterStyle6"/>
          <w:rFonts w:ascii="Tahoma" w:hAnsi="Tahoma" w:cs="Tahoma"/>
          <w:spacing w:val="13"/>
          <w:sz w:val="22"/>
          <w:szCs w:val="22"/>
          <w:lang w:val="es-ES" w:eastAsia="es-ES"/>
        </w:rPr>
        <w:t xml:space="preserve"> conforme a derecho, que es fundamentalmente el interés del </w:t>
      </w:r>
      <w:r>
        <w:rPr>
          <w:rStyle w:val="CharacterStyle6"/>
          <w:rFonts w:ascii="Tahoma" w:hAnsi="Tahoma" w:cs="Tahoma"/>
          <w:spacing w:val="21"/>
          <w:sz w:val="22"/>
          <w:szCs w:val="22"/>
          <w:lang w:val="es-ES" w:eastAsia="es-ES"/>
        </w:rPr>
        <w:t xml:space="preserve">quejoso. Considerando que, en la materia dicha, el Tribunal es el </w:t>
      </w:r>
      <w:r>
        <w:rPr>
          <w:rStyle w:val="CharacterStyle6"/>
          <w:rFonts w:ascii="Tahoma" w:hAnsi="Tahoma" w:cs="Tahoma"/>
          <w:spacing w:val="19"/>
          <w:sz w:val="22"/>
          <w:szCs w:val="22"/>
          <w:lang w:val="es-ES" w:eastAsia="es-ES"/>
        </w:rPr>
        <w:t xml:space="preserve">Superior Jerárquico Impropio de ese órgano Colegiado y a quien le </w:t>
      </w:r>
      <w:r>
        <w:rPr>
          <w:rStyle w:val="CharacterStyle6"/>
          <w:rFonts w:ascii="Tahoma" w:hAnsi="Tahoma" w:cs="Tahoma"/>
          <w:spacing w:val="29"/>
          <w:sz w:val="22"/>
          <w:szCs w:val="22"/>
          <w:lang w:val="es-ES" w:eastAsia="es-ES"/>
        </w:rPr>
        <w:t xml:space="preserve">corresponde la resolución, en última instancia del Recurso de </w:t>
      </w:r>
      <w:r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  <w:t xml:space="preserve">Apelación planteado, se le debe dar trámite a la queja presentada y </w:t>
      </w:r>
      <w:r>
        <w:rPr>
          <w:rStyle w:val="CharacterStyle6"/>
          <w:rFonts w:ascii="Tahoma" w:hAnsi="Tahoma" w:cs="Tahoma"/>
          <w:spacing w:val="18"/>
          <w:sz w:val="22"/>
          <w:szCs w:val="22"/>
          <w:lang w:val="es-ES" w:eastAsia="es-ES"/>
        </w:rPr>
        <w:t xml:space="preserve">solicitarle al Consejo de Transporte Público que sí fue rechazado el </w:t>
      </w:r>
      <w:r>
        <w:rPr>
          <w:rStyle w:val="CharacterStyle6"/>
          <w:rFonts w:ascii="Tahoma" w:hAnsi="Tahoma" w:cs="Tahoma"/>
          <w:spacing w:val="28"/>
          <w:sz w:val="22"/>
          <w:szCs w:val="22"/>
          <w:lang w:val="es-ES" w:eastAsia="es-ES"/>
        </w:rPr>
        <w:t xml:space="preserve">Recurso de Revocatoria planteado remita sin mayor dilación el </w:t>
      </w:r>
      <w:r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  <w:t>Recurso de Apelación incoado sub</w:t>
      </w:r>
      <w:r w:rsidR="00206FD1"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  <w:t>s</w:t>
      </w:r>
      <w:r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  <w:t>idiariamente, po</w:t>
      </w:r>
      <w:r w:rsidR="00206FD1"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  <w:t>r la rec</w:t>
      </w:r>
      <w:r>
        <w:rPr>
          <w:rStyle w:val="CharacterStyle6"/>
          <w:rFonts w:ascii="Tahoma" w:hAnsi="Tahoma" w:cs="Tahoma"/>
          <w:spacing w:val="17"/>
          <w:sz w:val="22"/>
          <w:szCs w:val="22"/>
          <w:lang w:val="es-ES" w:eastAsia="es-ES"/>
        </w:rPr>
        <w:t>urrente.</w:t>
      </w:r>
    </w:p>
    <w:p w:rsidR="00206FD1" w:rsidRDefault="00206FD1" w:rsidP="00206FD1">
      <w:pPr>
        <w:pStyle w:val="Sinespaciado"/>
        <w:jc w:val="center"/>
        <w:rPr>
          <w:rStyle w:val="CharacterStyle2"/>
          <w:rFonts w:ascii="Tahoma" w:hAnsi="Tahoma"/>
          <w:b/>
          <w:spacing w:val="15"/>
          <w:sz w:val="20"/>
          <w:szCs w:val="20"/>
          <w:lang w:val="es-ES"/>
        </w:rPr>
      </w:pPr>
    </w:p>
    <w:p w:rsidR="00206FD1" w:rsidRPr="00206FD1" w:rsidRDefault="00206FD1" w:rsidP="00206FD1">
      <w:pPr>
        <w:pStyle w:val="Sinespaciado"/>
        <w:jc w:val="center"/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</w:pPr>
      <w:r w:rsidRPr="00206FD1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>Licda. Marta Luz Pérez Peláez</w:t>
      </w:r>
    </w:p>
    <w:p w:rsidR="00E17519" w:rsidRPr="00206FD1" w:rsidRDefault="00206FD1" w:rsidP="00206FD1">
      <w:pPr>
        <w:jc w:val="center"/>
        <w:rPr>
          <w:lang w:val="es-CR"/>
        </w:rPr>
      </w:pPr>
      <w:r w:rsidRPr="00206FD1">
        <w:rPr>
          <w:rStyle w:val="CharacterStyle2"/>
          <w:rFonts w:ascii="Tahoma" w:hAnsi="Tahoma"/>
          <w:b/>
          <w:spacing w:val="15"/>
          <w:sz w:val="20"/>
          <w:szCs w:val="20"/>
          <w:lang w:val="es-CR"/>
        </w:rPr>
        <w:t>Juez</w:t>
      </w:r>
    </w:p>
    <w:sectPr w:rsidR="00E17519" w:rsidRPr="00206FD1" w:rsidSect="008E6322">
      <w:pgSz w:w="12134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D45F"/>
    <w:multiLevelType w:val="singleLevel"/>
    <w:tmpl w:val="2AC4EFF0"/>
    <w:lvl w:ilvl="0">
      <w:start w:val="1"/>
      <w:numFmt w:val="decimal"/>
      <w:lvlText w:val="%1.-"/>
      <w:lvlJc w:val="left"/>
      <w:pPr>
        <w:tabs>
          <w:tab w:val="num" w:pos="432"/>
        </w:tabs>
        <w:ind w:left="72" w:firstLine="72"/>
      </w:pPr>
      <w:rPr>
        <w:rFonts w:ascii="Tahoma" w:hAnsi="Tahoma" w:cs="Tahoma"/>
        <w:snapToGrid/>
        <w:spacing w:val="22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B73A80"/>
    <w:rsid w:val="00206FD1"/>
    <w:rsid w:val="008907A6"/>
    <w:rsid w:val="008E6322"/>
    <w:rsid w:val="00B21B5E"/>
    <w:rsid w:val="00B73A80"/>
    <w:rsid w:val="00CE4C74"/>
    <w:rsid w:val="00D25B3B"/>
    <w:rsid w:val="00E17519"/>
    <w:rsid w:val="00E902B8"/>
    <w:rsid w:val="00E91CBF"/>
    <w:rsid w:val="00F3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A6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907A6"/>
    <w:pPr>
      <w:kinsoku/>
      <w:autoSpaceDE w:val="0"/>
      <w:autoSpaceDN w:val="0"/>
      <w:adjustRightInd w:val="0"/>
    </w:pPr>
  </w:style>
  <w:style w:type="paragraph" w:customStyle="1" w:styleId="Style9">
    <w:name w:val="Style 9"/>
    <w:basedOn w:val="Normal"/>
    <w:uiPriority w:val="99"/>
    <w:rsid w:val="008907A6"/>
    <w:pPr>
      <w:kinsoku/>
      <w:autoSpaceDE w:val="0"/>
      <w:autoSpaceDN w:val="0"/>
      <w:spacing w:line="180" w:lineRule="exact"/>
    </w:pPr>
    <w:rPr>
      <w:b/>
      <w:bCs/>
      <w:sz w:val="23"/>
      <w:szCs w:val="23"/>
    </w:rPr>
  </w:style>
  <w:style w:type="paragraph" w:customStyle="1" w:styleId="Style10">
    <w:name w:val="Style 10"/>
    <w:basedOn w:val="Normal"/>
    <w:uiPriority w:val="99"/>
    <w:rsid w:val="008907A6"/>
    <w:pPr>
      <w:kinsoku/>
      <w:autoSpaceDE w:val="0"/>
      <w:autoSpaceDN w:val="0"/>
      <w:adjustRightInd w:val="0"/>
    </w:pPr>
  </w:style>
  <w:style w:type="paragraph" w:customStyle="1" w:styleId="Style11">
    <w:name w:val="Style 11"/>
    <w:basedOn w:val="Normal"/>
    <w:uiPriority w:val="99"/>
    <w:rsid w:val="008907A6"/>
    <w:pPr>
      <w:kinsoku/>
      <w:autoSpaceDE w:val="0"/>
      <w:autoSpaceDN w:val="0"/>
      <w:spacing w:before="288"/>
      <w:ind w:left="72" w:right="72"/>
      <w:jc w:val="both"/>
    </w:pPr>
    <w:rPr>
      <w:sz w:val="22"/>
      <w:szCs w:val="22"/>
    </w:rPr>
  </w:style>
  <w:style w:type="paragraph" w:customStyle="1" w:styleId="Style12">
    <w:name w:val="Style 12"/>
    <w:basedOn w:val="Normal"/>
    <w:uiPriority w:val="99"/>
    <w:rsid w:val="008907A6"/>
    <w:pPr>
      <w:kinsoku/>
      <w:autoSpaceDE w:val="0"/>
      <w:autoSpaceDN w:val="0"/>
      <w:spacing w:line="196" w:lineRule="auto"/>
      <w:jc w:val="center"/>
    </w:pPr>
    <w:rPr>
      <w:b/>
      <w:bCs/>
      <w:sz w:val="22"/>
      <w:szCs w:val="22"/>
    </w:rPr>
  </w:style>
  <w:style w:type="paragraph" w:customStyle="1" w:styleId="Style13">
    <w:name w:val="Style 13"/>
    <w:basedOn w:val="Normal"/>
    <w:uiPriority w:val="99"/>
    <w:rsid w:val="008907A6"/>
    <w:pPr>
      <w:kinsoku/>
      <w:autoSpaceDE w:val="0"/>
      <w:autoSpaceDN w:val="0"/>
      <w:spacing w:before="504" w:after="288"/>
      <w:jc w:val="both"/>
    </w:pPr>
    <w:rPr>
      <w:sz w:val="22"/>
      <w:szCs w:val="22"/>
    </w:rPr>
  </w:style>
  <w:style w:type="paragraph" w:customStyle="1" w:styleId="Style14">
    <w:name w:val="Style 14"/>
    <w:basedOn w:val="Normal"/>
    <w:uiPriority w:val="99"/>
    <w:rsid w:val="008907A6"/>
    <w:pPr>
      <w:kinsoku/>
      <w:autoSpaceDE w:val="0"/>
      <w:autoSpaceDN w:val="0"/>
      <w:ind w:left="504" w:right="576" w:firstLine="144"/>
      <w:jc w:val="both"/>
    </w:pPr>
    <w:rPr>
      <w:sz w:val="21"/>
      <w:szCs w:val="21"/>
    </w:rPr>
  </w:style>
  <w:style w:type="paragraph" w:customStyle="1" w:styleId="Style15">
    <w:name w:val="Style 15"/>
    <w:basedOn w:val="Normal"/>
    <w:uiPriority w:val="99"/>
    <w:rsid w:val="008907A6"/>
    <w:pPr>
      <w:kinsoku/>
      <w:autoSpaceDE w:val="0"/>
      <w:autoSpaceDN w:val="0"/>
      <w:spacing w:before="216" w:after="72"/>
      <w:jc w:val="both"/>
    </w:pPr>
    <w:rPr>
      <w:sz w:val="21"/>
      <w:szCs w:val="21"/>
    </w:rPr>
  </w:style>
  <w:style w:type="paragraph" w:customStyle="1" w:styleId="Style16">
    <w:name w:val="Style 16"/>
    <w:basedOn w:val="Normal"/>
    <w:uiPriority w:val="99"/>
    <w:rsid w:val="008907A6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8907A6"/>
    <w:rPr>
      <w:sz w:val="22"/>
      <w:szCs w:val="22"/>
    </w:rPr>
  </w:style>
  <w:style w:type="character" w:customStyle="1" w:styleId="CharacterStyle5">
    <w:name w:val="Character Style 5"/>
    <w:uiPriority w:val="99"/>
    <w:rsid w:val="008907A6"/>
    <w:rPr>
      <w:b/>
      <w:bCs/>
      <w:sz w:val="23"/>
      <w:szCs w:val="23"/>
    </w:rPr>
  </w:style>
  <w:style w:type="character" w:customStyle="1" w:styleId="CharacterStyle3">
    <w:name w:val="Character Style 3"/>
    <w:uiPriority w:val="99"/>
    <w:rsid w:val="008907A6"/>
    <w:rPr>
      <w:sz w:val="20"/>
      <w:szCs w:val="20"/>
    </w:rPr>
  </w:style>
  <w:style w:type="character" w:customStyle="1" w:styleId="CharacterStyle4">
    <w:name w:val="Character Style 4"/>
    <w:uiPriority w:val="99"/>
    <w:rsid w:val="008907A6"/>
    <w:rPr>
      <w:b/>
      <w:bCs/>
      <w:sz w:val="22"/>
      <w:szCs w:val="22"/>
    </w:rPr>
  </w:style>
  <w:style w:type="character" w:customStyle="1" w:styleId="CharacterStyle6">
    <w:name w:val="Character Style 6"/>
    <w:uiPriority w:val="99"/>
    <w:rsid w:val="008907A6"/>
    <w:rPr>
      <w:sz w:val="21"/>
      <w:szCs w:val="21"/>
    </w:rPr>
  </w:style>
  <w:style w:type="character" w:customStyle="1" w:styleId="CharacterStyle7">
    <w:name w:val="Character Style 7"/>
    <w:uiPriority w:val="99"/>
    <w:rsid w:val="008907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3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322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06FD1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1853</Words>
  <Characters>10192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6</cp:revision>
  <dcterms:created xsi:type="dcterms:W3CDTF">2012-10-01T17:12:00Z</dcterms:created>
  <dcterms:modified xsi:type="dcterms:W3CDTF">2012-10-09T18:01:00Z</dcterms:modified>
</cp:coreProperties>
</file>