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F03">
      <w:pPr>
        <w:pStyle w:val="Style1"/>
        <w:kinsoku w:val="0"/>
        <w:autoSpaceDE/>
        <w:autoSpaceDN/>
        <w:rPr>
          <w:rStyle w:val="CharacterStyle1"/>
          <w:b/>
          <w:bCs/>
          <w:spacing w:val="2"/>
          <w:lang w:val="es-ES" w:eastAsia="es-ES"/>
        </w:rPr>
      </w:pPr>
      <w:r>
        <w:rPr>
          <w:rStyle w:val="CharacterStyle1"/>
          <w:b/>
          <w:bCs/>
          <w:spacing w:val="2"/>
          <w:lang w:val="es-ES" w:eastAsia="es-ES"/>
        </w:rPr>
        <w:t>RESOLUCION TAT- No.1434-05</w:t>
      </w:r>
    </w:p>
    <w:p w:rsidR="00000000" w:rsidRDefault="00B84F03" w:rsidP="00AE7661">
      <w:pPr>
        <w:pStyle w:val="Style2"/>
        <w:kinsoku w:val="0"/>
        <w:autoSpaceDE/>
        <w:autoSpaceDN/>
        <w:adjustRightInd/>
        <w:spacing w:before="252"/>
        <w:ind w:left="72" w:right="72"/>
        <w:jc w:val="both"/>
        <w:rPr>
          <w:spacing w:val="-1"/>
          <w:sz w:val="23"/>
          <w:szCs w:val="23"/>
          <w:lang w:val="es-ES" w:eastAsia="es-ES"/>
        </w:rPr>
      </w:pPr>
      <w:r>
        <w:rPr>
          <w:b/>
          <w:bCs/>
          <w:spacing w:val="7"/>
          <w:sz w:val="22"/>
          <w:szCs w:val="22"/>
          <w:lang w:val="es-ES" w:eastAsia="es-ES"/>
        </w:rPr>
        <w:t xml:space="preserve">TRIBUNAL ADMINISTRATIVO DE TRANSPORTE. </w:t>
      </w:r>
      <w:r>
        <w:rPr>
          <w:spacing w:val="7"/>
          <w:sz w:val="23"/>
          <w:szCs w:val="23"/>
          <w:lang w:val="es-ES" w:eastAsia="es-ES"/>
        </w:rPr>
        <w:t xml:space="preserve">San José, a las catorce </w:t>
      </w:r>
      <w:r>
        <w:rPr>
          <w:spacing w:val="-1"/>
          <w:sz w:val="23"/>
          <w:szCs w:val="23"/>
          <w:lang w:val="es-ES" w:eastAsia="es-ES"/>
        </w:rPr>
        <w:t>horas treinta minutos del veintisé</w:t>
      </w:r>
      <w:r>
        <w:rPr>
          <w:spacing w:val="-1"/>
          <w:sz w:val="23"/>
          <w:szCs w:val="23"/>
          <w:lang w:val="es-ES" w:eastAsia="es-ES"/>
        </w:rPr>
        <w:t>is de octubre del dos mil cinco.-</w:t>
      </w:r>
    </w:p>
    <w:p w:rsidR="00000000" w:rsidRDefault="00B84F03">
      <w:pPr>
        <w:pStyle w:val="Style1"/>
        <w:kinsoku w:val="0"/>
        <w:autoSpaceDE/>
        <w:autoSpaceDN/>
        <w:ind w:left="72" w:right="72"/>
        <w:jc w:val="both"/>
        <w:rPr>
          <w:rStyle w:val="CharacterStyle1"/>
          <w:b/>
          <w:bCs/>
          <w:spacing w:val="3"/>
          <w:lang w:val="es-ES" w:eastAsia="es-ES"/>
        </w:rPr>
      </w:pPr>
      <w:r>
        <w:rPr>
          <w:rStyle w:val="CharacterStyle1"/>
          <w:spacing w:val="-11"/>
          <w:sz w:val="23"/>
          <w:szCs w:val="23"/>
          <w:lang w:val="es-ES" w:eastAsia="es-ES"/>
        </w:rPr>
        <w:t xml:space="preserve">Se conoce </w:t>
      </w:r>
      <w:r>
        <w:rPr>
          <w:rStyle w:val="CharacterStyle1"/>
          <w:b/>
          <w:bCs/>
          <w:spacing w:val="-11"/>
          <w:sz w:val="19"/>
          <w:szCs w:val="19"/>
          <w:lang w:val="es-ES" w:eastAsia="es-ES"/>
        </w:rPr>
        <w:t xml:space="preserve">RECURSO DE APELACIÓN </w:t>
      </w:r>
      <w:r>
        <w:rPr>
          <w:rStyle w:val="CharacterStyle1"/>
          <w:b/>
          <w:bCs/>
          <w:spacing w:val="-11"/>
          <w:lang w:val="es-ES" w:eastAsia="es-ES"/>
        </w:rPr>
        <w:t xml:space="preserve">E INCIDENTES DE </w:t>
      </w:r>
      <w:r>
        <w:rPr>
          <w:rStyle w:val="CharacterStyle1"/>
          <w:b/>
          <w:bCs/>
          <w:spacing w:val="-11"/>
          <w:sz w:val="19"/>
          <w:szCs w:val="19"/>
          <w:lang w:val="es-ES" w:eastAsia="es-ES"/>
        </w:rPr>
        <w:t xml:space="preserve">NULIDAD </w:t>
      </w:r>
      <w:r>
        <w:rPr>
          <w:rStyle w:val="CharacterStyle1"/>
          <w:b/>
          <w:bCs/>
          <w:spacing w:val="-11"/>
          <w:lang w:val="es-ES" w:eastAsia="es-ES"/>
        </w:rPr>
        <w:t xml:space="preserve">CONCOMITANTE </w:t>
      </w:r>
      <w:r>
        <w:rPr>
          <w:rStyle w:val="CharacterStyle1"/>
          <w:b/>
          <w:bCs/>
          <w:spacing w:val="-11"/>
          <w:sz w:val="19"/>
          <w:szCs w:val="19"/>
          <w:lang w:val="es-ES" w:eastAsia="es-ES"/>
        </w:rPr>
        <w:t xml:space="preserve">Y </w:t>
      </w:r>
      <w:r>
        <w:rPr>
          <w:rStyle w:val="CharacterStyle1"/>
          <w:b/>
          <w:bCs/>
          <w:spacing w:val="-10"/>
          <w:lang w:val="es-ES" w:eastAsia="es-ES"/>
        </w:rPr>
        <w:t xml:space="preserve">SUSPENSIÓN DEL ACTO </w:t>
      </w:r>
      <w:r>
        <w:rPr>
          <w:rStyle w:val="CharacterStyle1"/>
          <w:spacing w:val="-10"/>
          <w:sz w:val="23"/>
          <w:szCs w:val="23"/>
          <w:lang w:val="es-ES" w:eastAsia="es-ES"/>
        </w:rPr>
        <w:t>interpuesto por el señor J</w:t>
      </w:r>
      <w:r w:rsidR="00AE7661">
        <w:rPr>
          <w:rStyle w:val="CharacterStyle1"/>
          <w:spacing w:val="-10"/>
          <w:sz w:val="23"/>
          <w:szCs w:val="23"/>
          <w:lang w:val="es-ES" w:eastAsia="es-ES"/>
        </w:rPr>
        <w:t>FCA</w:t>
      </w:r>
      <w:r>
        <w:rPr>
          <w:rStyle w:val="CharacterStyle1"/>
          <w:spacing w:val="-10"/>
          <w:sz w:val="19"/>
          <w:szCs w:val="19"/>
          <w:lang w:val="es-ES" w:eastAsia="es-ES"/>
        </w:rPr>
        <w:t xml:space="preserve">, </w:t>
      </w:r>
      <w:r>
        <w:rPr>
          <w:rStyle w:val="CharacterStyle1"/>
          <w:spacing w:val="-2"/>
          <w:sz w:val="23"/>
          <w:szCs w:val="23"/>
          <w:lang w:val="es-ES" w:eastAsia="es-ES"/>
        </w:rPr>
        <w:t xml:space="preserve">cédula de identidad </w:t>
      </w:r>
      <w:proofErr w:type="gramStart"/>
      <w:r>
        <w:rPr>
          <w:rStyle w:val="CharacterStyle1"/>
          <w:spacing w:val="-2"/>
          <w:sz w:val="23"/>
          <w:szCs w:val="23"/>
          <w:lang w:val="es-ES" w:eastAsia="es-ES"/>
        </w:rPr>
        <w:t xml:space="preserve">número </w:t>
      </w:r>
      <w:r w:rsidR="00AE7661">
        <w:rPr>
          <w:rStyle w:val="CharacterStyle1"/>
          <w:spacing w:val="-2"/>
          <w:sz w:val="23"/>
          <w:szCs w:val="23"/>
          <w:lang w:val="es-ES" w:eastAsia="es-ES"/>
        </w:rPr>
        <w:t>…</w:t>
      </w:r>
      <w:proofErr w:type="gramEnd"/>
      <w:r>
        <w:rPr>
          <w:rStyle w:val="CharacterStyle1"/>
          <w:spacing w:val="-2"/>
          <w:sz w:val="23"/>
          <w:szCs w:val="23"/>
          <w:lang w:val="es-ES" w:eastAsia="es-ES"/>
        </w:rPr>
        <w:t>, en su condició</w:t>
      </w:r>
      <w:r>
        <w:rPr>
          <w:rStyle w:val="CharacterStyle1"/>
          <w:spacing w:val="-2"/>
          <w:sz w:val="23"/>
          <w:szCs w:val="23"/>
          <w:lang w:val="es-ES" w:eastAsia="es-ES"/>
        </w:rPr>
        <w:t xml:space="preserve">n de permisionario de la ruta 403, </w:t>
      </w:r>
      <w:r>
        <w:rPr>
          <w:rStyle w:val="CharacterStyle1"/>
          <w:sz w:val="23"/>
          <w:szCs w:val="23"/>
          <w:lang w:val="es-ES" w:eastAsia="es-ES"/>
        </w:rPr>
        <w:t xml:space="preserve">en contra del acuerdo número 16 de la sesión 3022, celebrada el día 07 de febrero de </w:t>
      </w:r>
      <w:r>
        <w:rPr>
          <w:rStyle w:val="CharacterStyle1"/>
          <w:spacing w:val="1"/>
          <w:sz w:val="23"/>
          <w:szCs w:val="23"/>
          <w:lang w:val="es-ES" w:eastAsia="es-ES"/>
        </w:rPr>
        <w:t xml:space="preserve">1996, dictado por la </w:t>
      </w:r>
      <w:r>
        <w:rPr>
          <w:rStyle w:val="CharacterStyle1"/>
          <w:spacing w:val="1"/>
          <w:sz w:val="19"/>
          <w:szCs w:val="19"/>
          <w:lang w:val="es-ES" w:eastAsia="es-ES"/>
        </w:rPr>
        <w:t xml:space="preserve">COMISIÓN TÉCNICA DE </w:t>
      </w:r>
      <w:r>
        <w:rPr>
          <w:rStyle w:val="CharacterStyle1"/>
          <w:spacing w:val="1"/>
          <w:sz w:val="23"/>
          <w:szCs w:val="23"/>
          <w:lang w:val="es-ES" w:eastAsia="es-ES"/>
        </w:rPr>
        <w:t xml:space="preserve">TRANSPORTES, y tramitado en este </w:t>
      </w:r>
      <w:r>
        <w:rPr>
          <w:rStyle w:val="CharacterStyle1"/>
          <w:spacing w:val="3"/>
          <w:sz w:val="23"/>
          <w:szCs w:val="23"/>
          <w:lang w:val="es-ES" w:eastAsia="es-ES"/>
        </w:rPr>
        <w:t xml:space="preserve">Despacho bajo </w:t>
      </w:r>
      <w:r>
        <w:rPr>
          <w:rStyle w:val="CharacterStyle1"/>
          <w:b/>
          <w:bCs/>
          <w:spacing w:val="3"/>
          <w:lang w:val="es-ES" w:eastAsia="es-ES"/>
        </w:rPr>
        <w:t>Expediente Administrativo No. TAT-056-00.</w:t>
      </w:r>
    </w:p>
    <w:p w:rsidR="00000000" w:rsidRDefault="00B84F03">
      <w:pPr>
        <w:pStyle w:val="Style1"/>
        <w:kinsoku w:val="0"/>
        <w:autoSpaceDE/>
        <w:autoSpaceDN/>
        <w:spacing w:line="208" w:lineRule="auto"/>
        <w:rPr>
          <w:rStyle w:val="CharacterStyle1"/>
          <w:b/>
          <w:bCs/>
          <w:lang w:val="es-ES" w:eastAsia="es-ES"/>
        </w:rPr>
      </w:pPr>
      <w:r>
        <w:rPr>
          <w:rStyle w:val="CharacterStyle1"/>
          <w:b/>
          <w:bCs/>
          <w:lang w:val="es-ES" w:eastAsia="es-ES"/>
        </w:rPr>
        <w:t>RESULT</w:t>
      </w:r>
      <w:r>
        <w:rPr>
          <w:rStyle w:val="CharacterStyle1"/>
          <w:b/>
          <w:bCs/>
          <w:lang w:val="es-ES" w:eastAsia="es-ES"/>
        </w:rPr>
        <w:t>ANDO</w:t>
      </w:r>
    </w:p>
    <w:p w:rsidR="00000000" w:rsidRDefault="00B84F03">
      <w:pPr>
        <w:pStyle w:val="Style3"/>
        <w:kinsoku w:val="0"/>
        <w:autoSpaceDE/>
        <w:autoSpaceDN/>
        <w:rPr>
          <w:rStyle w:val="CharacterStyle2"/>
          <w:lang w:val="es-ES" w:eastAsia="es-ES"/>
        </w:rPr>
      </w:pPr>
      <w:r>
        <w:rPr>
          <w:rStyle w:val="CharacterStyle2"/>
          <w:b/>
          <w:bCs/>
          <w:spacing w:val="-1"/>
          <w:sz w:val="22"/>
          <w:szCs w:val="22"/>
          <w:lang w:val="es-ES" w:eastAsia="es-ES"/>
        </w:rPr>
        <w:t xml:space="preserve">PRIMERO: </w:t>
      </w:r>
      <w:r>
        <w:rPr>
          <w:rStyle w:val="CharacterStyle2"/>
          <w:spacing w:val="-1"/>
          <w:lang w:val="es-ES" w:eastAsia="es-ES"/>
        </w:rPr>
        <w:t xml:space="preserve">Que el acuerdo número 16 de la sesión 3022 celebrada el día 07 de febrero de 1996 dictado por la </w:t>
      </w:r>
      <w:r>
        <w:rPr>
          <w:rStyle w:val="CharacterStyle2"/>
          <w:spacing w:val="-1"/>
          <w:sz w:val="19"/>
          <w:szCs w:val="19"/>
          <w:lang w:val="es-ES" w:eastAsia="es-ES"/>
        </w:rPr>
        <w:t xml:space="preserve">COMISIÓN TÉCNICA DE TRANSPORTES, </w:t>
      </w:r>
      <w:r>
        <w:rPr>
          <w:rStyle w:val="CharacterStyle2"/>
          <w:spacing w:val="-1"/>
          <w:lang w:val="es-ES" w:eastAsia="es-ES"/>
        </w:rPr>
        <w:t xml:space="preserve">establece que en atención </w:t>
      </w:r>
      <w:r>
        <w:rPr>
          <w:rStyle w:val="CharacterStyle2"/>
          <w:spacing w:val="-5"/>
          <w:lang w:val="es-ES" w:eastAsia="es-ES"/>
        </w:rPr>
        <w:t xml:space="preserve">al voto Número 5369-95 Recurso de Amparo número 4284-A95 interpuesto por el señor </w:t>
      </w:r>
      <w:r>
        <w:rPr>
          <w:rStyle w:val="CharacterStyle2"/>
          <w:spacing w:val="-2"/>
          <w:lang w:val="es-ES" w:eastAsia="es-ES"/>
        </w:rPr>
        <w:t>B</w:t>
      </w:r>
      <w:r w:rsidR="00AE7661">
        <w:rPr>
          <w:rStyle w:val="CharacterStyle2"/>
          <w:spacing w:val="-2"/>
          <w:lang w:val="es-ES" w:eastAsia="es-ES"/>
        </w:rPr>
        <w:t>CL</w:t>
      </w:r>
      <w:r>
        <w:rPr>
          <w:rStyle w:val="CharacterStyle2"/>
          <w:spacing w:val="-2"/>
          <w:lang w:val="es-ES" w:eastAsia="es-ES"/>
        </w:rPr>
        <w:t xml:space="preserve"> contra el acuerdo 14 de la sesión 2992 del 9 de agosto de 1995 </w:t>
      </w:r>
      <w:r>
        <w:rPr>
          <w:rStyle w:val="CharacterStyle2"/>
          <w:spacing w:val="-1"/>
          <w:lang w:val="es-ES" w:eastAsia="es-ES"/>
        </w:rPr>
        <w:t xml:space="preserve">de la Comisión Técnica de Transportes, que autoriza al señor </w:t>
      </w:r>
      <w:r w:rsidR="00AE7661" w:rsidRPr="00AE7661">
        <w:rPr>
          <w:rStyle w:val="CharacterStyle1"/>
          <w:b w:val="0"/>
          <w:spacing w:val="-10"/>
          <w:sz w:val="23"/>
          <w:szCs w:val="23"/>
          <w:lang w:val="es-ES" w:eastAsia="es-ES"/>
        </w:rPr>
        <w:t>JFCA</w:t>
      </w:r>
      <w:r w:rsidR="00AE7661" w:rsidRPr="00AE7661">
        <w:rPr>
          <w:rStyle w:val="CharacterStyle2"/>
          <w:b/>
          <w:spacing w:val="-1"/>
          <w:lang w:val="es-ES" w:eastAsia="es-ES"/>
        </w:rPr>
        <w:t xml:space="preserve"> </w:t>
      </w:r>
      <w:r>
        <w:rPr>
          <w:rStyle w:val="CharacterStyle2"/>
          <w:spacing w:val="-1"/>
          <w:lang w:val="es-ES" w:eastAsia="es-ES"/>
        </w:rPr>
        <w:t xml:space="preserve">como permisionario de la ruta 403, instalar de inmediato como permisionario </w:t>
      </w:r>
      <w:r>
        <w:rPr>
          <w:rStyle w:val="CharacterStyle2"/>
          <w:spacing w:val="-3"/>
          <w:lang w:val="es-ES" w:eastAsia="es-ES"/>
        </w:rPr>
        <w:t xml:space="preserve">de la ruta 403 descrita como San José- Santo Domingo- Barrio Lourdes-Quebradas y </w:t>
      </w:r>
      <w:r>
        <w:rPr>
          <w:rStyle w:val="CharacterStyle2"/>
          <w:spacing w:val="-2"/>
          <w:lang w:val="es-ES" w:eastAsia="es-ES"/>
        </w:rPr>
        <w:t xml:space="preserve">viceversa al señor </w:t>
      </w:r>
      <w:r w:rsidR="00AE7661">
        <w:rPr>
          <w:rStyle w:val="CharacterStyle2"/>
          <w:spacing w:val="-2"/>
          <w:lang w:val="es-ES" w:eastAsia="es-ES"/>
        </w:rPr>
        <w:t>BCL</w:t>
      </w:r>
      <w:r>
        <w:rPr>
          <w:rStyle w:val="CharacterStyle2"/>
          <w:spacing w:val="-2"/>
          <w:lang w:val="es-ES" w:eastAsia="es-ES"/>
        </w:rPr>
        <w:t xml:space="preserve"> mientras se resuelve el proceso licitatorio de </w:t>
      </w:r>
      <w:r>
        <w:rPr>
          <w:rStyle w:val="CharacterStyle2"/>
          <w:lang w:val="es-ES" w:eastAsia="es-ES"/>
        </w:rPr>
        <w:t>la citada ruta ( Véase Folio 70 del expediente administrativo).</w:t>
      </w:r>
    </w:p>
    <w:p w:rsidR="00000000" w:rsidRDefault="00B84F03" w:rsidP="00AE7661">
      <w:pPr>
        <w:pStyle w:val="Style3"/>
        <w:kinsoku w:val="0"/>
        <w:autoSpaceDE/>
        <w:autoSpaceDN/>
        <w:spacing w:before="216"/>
        <w:ind w:left="0" w:right="0"/>
        <w:rPr>
          <w:rStyle w:val="CharacterStyle2"/>
          <w:spacing w:val="-2"/>
          <w:sz w:val="19"/>
          <w:szCs w:val="19"/>
          <w:lang w:val="es-ES" w:eastAsia="es-ES"/>
        </w:rPr>
      </w:pPr>
      <w:r>
        <w:rPr>
          <w:rStyle w:val="CharacterStyle2"/>
          <w:b/>
          <w:bCs/>
          <w:spacing w:val="3"/>
          <w:sz w:val="22"/>
          <w:szCs w:val="22"/>
          <w:lang w:val="es-ES" w:eastAsia="es-ES"/>
        </w:rPr>
        <w:t xml:space="preserve">SEGUNDO: </w:t>
      </w:r>
      <w:r>
        <w:rPr>
          <w:rStyle w:val="CharacterStyle2"/>
          <w:spacing w:val="3"/>
          <w:lang w:val="es-ES" w:eastAsia="es-ES"/>
        </w:rPr>
        <w:t>Que el señor</w:t>
      </w:r>
      <w:r>
        <w:rPr>
          <w:rStyle w:val="CharacterStyle2"/>
          <w:spacing w:val="3"/>
          <w:lang w:val="es-ES" w:eastAsia="es-ES"/>
        </w:rPr>
        <w:t xml:space="preserve"> </w:t>
      </w:r>
      <w:r w:rsidR="00AE7661" w:rsidRPr="00AE7661">
        <w:rPr>
          <w:rStyle w:val="CharacterStyle1"/>
          <w:b w:val="0"/>
          <w:spacing w:val="-10"/>
          <w:sz w:val="23"/>
          <w:szCs w:val="23"/>
          <w:lang w:val="es-ES" w:eastAsia="es-ES"/>
        </w:rPr>
        <w:t>JFCA</w:t>
      </w:r>
      <w:r w:rsidRPr="00AE7661">
        <w:rPr>
          <w:rStyle w:val="CharacterStyle2"/>
          <w:b/>
          <w:spacing w:val="3"/>
          <w:sz w:val="19"/>
          <w:szCs w:val="19"/>
          <w:lang w:val="es-ES" w:eastAsia="es-ES"/>
        </w:rPr>
        <w:t>,</w:t>
      </w:r>
      <w:r>
        <w:rPr>
          <w:rStyle w:val="CharacterStyle2"/>
          <w:spacing w:val="3"/>
          <w:sz w:val="19"/>
          <w:szCs w:val="19"/>
          <w:lang w:val="es-ES" w:eastAsia="es-ES"/>
        </w:rPr>
        <w:t xml:space="preserve"> </w:t>
      </w:r>
      <w:r>
        <w:rPr>
          <w:rStyle w:val="CharacterStyle2"/>
          <w:spacing w:val="3"/>
          <w:lang w:val="es-ES" w:eastAsia="es-ES"/>
        </w:rPr>
        <w:t>cédula de identidad</w:t>
      </w:r>
      <w:r w:rsidR="00AE7661">
        <w:rPr>
          <w:rStyle w:val="CharacterStyle2"/>
          <w:spacing w:val="3"/>
          <w:lang w:val="es-ES" w:eastAsia="es-ES"/>
        </w:rPr>
        <w:t xml:space="preserve"> </w:t>
      </w:r>
      <w:r>
        <w:rPr>
          <w:rStyle w:val="CharacterStyle2"/>
          <w:spacing w:val="8"/>
          <w:lang w:val="es-ES" w:eastAsia="es-ES"/>
        </w:rPr>
        <w:t xml:space="preserve">número </w:t>
      </w:r>
      <w:r w:rsidR="00AE7661">
        <w:rPr>
          <w:rStyle w:val="CharacterStyle2"/>
          <w:spacing w:val="8"/>
          <w:lang w:val="es-ES" w:eastAsia="es-ES"/>
        </w:rPr>
        <w:t>…</w:t>
      </w:r>
      <w:r>
        <w:rPr>
          <w:rStyle w:val="CharacterStyle2"/>
          <w:spacing w:val="8"/>
          <w:lang w:val="es-ES" w:eastAsia="es-ES"/>
        </w:rPr>
        <w:t>, en su condición DE PERMISIONARIO DE LA RUTA 403,</w:t>
      </w:r>
      <w:r w:rsidR="00AE7661">
        <w:rPr>
          <w:rStyle w:val="CharacterStyle2"/>
          <w:spacing w:val="8"/>
          <w:lang w:val="es-ES" w:eastAsia="es-ES"/>
        </w:rPr>
        <w:t xml:space="preserve"> </w:t>
      </w:r>
      <w:r>
        <w:rPr>
          <w:rStyle w:val="CharacterStyle2"/>
          <w:spacing w:val="-8"/>
          <w:lang w:val="es-ES" w:eastAsia="es-ES"/>
        </w:rPr>
        <w:t xml:space="preserve">presenta </w:t>
      </w:r>
      <w:r>
        <w:rPr>
          <w:rStyle w:val="CharacterStyle2"/>
          <w:spacing w:val="-8"/>
          <w:sz w:val="19"/>
          <w:szCs w:val="19"/>
          <w:lang w:val="es-ES" w:eastAsia="es-ES"/>
        </w:rPr>
        <w:t xml:space="preserve">RECURSO DE APELACIÓN EN SUBSIDIO E INCIDENTE NULIDAD CONCOMITANTE </w:t>
      </w:r>
      <w:r>
        <w:rPr>
          <w:rStyle w:val="CharacterStyle2"/>
          <w:spacing w:val="-8"/>
          <w:lang w:val="es-ES" w:eastAsia="es-ES"/>
        </w:rPr>
        <w:t xml:space="preserve">Y </w:t>
      </w:r>
      <w:r>
        <w:rPr>
          <w:rStyle w:val="CharacterStyle2"/>
          <w:spacing w:val="-1"/>
          <w:sz w:val="19"/>
          <w:szCs w:val="19"/>
          <w:lang w:val="es-ES" w:eastAsia="es-ES"/>
        </w:rPr>
        <w:t xml:space="preserve">SUSPENSIÓN DEL </w:t>
      </w:r>
      <w:r>
        <w:rPr>
          <w:rStyle w:val="CharacterStyle2"/>
          <w:spacing w:val="-1"/>
          <w:lang w:val="es-ES" w:eastAsia="es-ES"/>
        </w:rPr>
        <w:t xml:space="preserve">ACTO contra el acuerdo número 16 de la sesión </w:t>
      </w:r>
      <w:r>
        <w:rPr>
          <w:rStyle w:val="CharacterStyle2"/>
          <w:spacing w:val="-1"/>
          <w:lang w:val="es-ES" w:eastAsia="es-ES"/>
        </w:rPr>
        <w:t xml:space="preserve">3022 celebrada el día </w:t>
      </w:r>
      <w:r>
        <w:rPr>
          <w:rStyle w:val="CharacterStyle2"/>
          <w:spacing w:val="-2"/>
          <w:lang w:val="es-ES" w:eastAsia="es-ES"/>
        </w:rPr>
        <w:t xml:space="preserve">07 de febrero de 1996 dictado por la </w:t>
      </w:r>
      <w:r>
        <w:rPr>
          <w:rStyle w:val="CharacterStyle2"/>
          <w:spacing w:val="-2"/>
          <w:sz w:val="19"/>
          <w:szCs w:val="19"/>
          <w:lang w:val="es-ES" w:eastAsia="es-ES"/>
        </w:rPr>
        <w:t>COMISIÓN TÉCNICA DE TRANSPORTES</w:t>
      </w:r>
    </w:p>
    <w:p w:rsidR="00000000" w:rsidRDefault="00B84F03">
      <w:pPr>
        <w:pStyle w:val="Style3"/>
        <w:kinsoku w:val="0"/>
        <w:autoSpaceDE/>
        <w:autoSpaceDN/>
        <w:rPr>
          <w:rStyle w:val="CharacterStyle2"/>
          <w:spacing w:val="-2"/>
          <w:lang w:val="es-ES" w:eastAsia="es-ES"/>
        </w:rPr>
      </w:pPr>
      <w:r>
        <w:rPr>
          <w:rStyle w:val="CharacterStyle2"/>
          <w:b/>
          <w:bCs/>
          <w:spacing w:val="-1"/>
          <w:sz w:val="22"/>
          <w:szCs w:val="22"/>
          <w:lang w:val="es-ES" w:eastAsia="es-ES"/>
        </w:rPr>
        <w:t xml:space="preserve">CUARTO: </w:t>
      </w:r>
      <w:r>
        <w:rPr>
          <w:rStyle w:val="CharacterStyle2"/>
          <w:spacing w:val="-1"/>
          <w:lang w:val="es-ES" w:eastAsia="es-ES"/>
        </w:rPr>
        <w:t xml:space="preserve">Que el recurrente fue notificado del acto impugnado el día 26 de marzo de </w:t>
      </w:r>
      <w:r>
        <w:rPr>
          <w:rStyle w:val="CharacterStyle2"/>
          <w:spacing w:val="1"/>
          <w:lang w:val="es-ES" w:eastAsia="es-ES"/>
        </w:rPr>
        <w:t>1996 a las 9:35 horas y presenta el recurso de apelación el 21 de enero de 1999 a l</w:t>
      </w:r>
      <w:r>
        <w:rPr>
          <w:rStyle w:val="CharacterStyle2"/>
          <w:spacing w:val="1"/>
          <w:lang w:val="es-ES" w:eastAsia="es-ES"/>
        </w:rPr>
        <w:t xml:space="preserve">as </w:t>
      </w:r>
      <w:r>
        <w:rPr>
          <w:rStyle w:val="CharacterStyle2"/>
          <w:spacing w:val="-1"/>
          <w:lang w:val="es-ES" w:eastAsia="es-ES"/>
        </w:rPr>
        <w:t xml:space="preserve">8:30 horas sea dos años y diez meses después de haber sido notificado. (Véase folios 16 </w:t>
      </w:r>
      <w:r>
        <w:rPr>
          <w:rStyle w:val="CharacterStyle2"/>
          <w:spacing w:val="-2"/>
          <w:lang w:val="es-ES" w:eastAsia="es-ES"/>
        </w:rPr>
        <w:t>y 70 anverso del expediente administrativo)</w:t>
      </w:r>
    </w:p>
    <w:p w:rsidR="00AE7661" w:rsidRDefault="00B84F03" w:rsidP="00AE7661">
      <w:pPr>
        <w:pStyle w:val="Style2"/>
        <w:kinsoku w:val="0"/>
        <w:autoSpaceDE/>
        <w:autoSpaceDN/>
        <w:adjustRightInd/>
        <w:spacing w:before="252" w:line="480" w:lineRule="auto"/>
        <w:ind w:left="72" w:right="144"/>
        <w:jc w:val="both"/>
        <w:rPr>
          <w:spacing w:val="-5"/>
          <w:sz w:val="23"/>
          <w:szCs w:val="23"/>
          <w:lang w:val="es-ES" w:eastAsia="es-ES"/>
        </w:rPr>
      </w:pPr>
      <w:r>
        <w:rPr>
          <w:b/>
          <w:bCs/>
          <w:spacing w:val="-5"/>
          <w:sz w:val="22"/>
          <w:szCs w:val="22"/>
          <w:lang w:val="es-ES" w:eastAsia="es-ES"/>
        </w:rPr>
        <w:t xml:space="preserve">QUINTO: </w:t>
      </w:r>
      <w:r>
        <w:rPr>
          <w:spacing w:val="-5"/>
          <w:sz w:val="23"/>
          <w:szCs w:val="23"/>
          <w:lang w:val="es-ES" w:eastAsia="es-ES"/>
        </w:rPr>
        <w:t xml:space="preserve">En los procedimientos seguidos se han observado las prescripciones legales. </w:t>
      </w:r>
    </w:p>
    <w:p w:rsidR="00000000" w:rsidRDefault="00B84F03" w:rsidP="00AE7661">
      <w:pPr>
        <w:pStyle w:val="Style2"/>
        <w:kinsoku w:val="0"/>
        <w:autoSpaceDE/>
        <w:autoSpaceDN/>
        <w:adjustRightInd/>
        <w:spacing w:before="252" w:line="480" w:lineRule="auto"/>
        <w:ind w:left="72" w:right="144"/>
        <w:jc w:val="both"/>
        <w:rPr>
          <w:b/>
          <w:bCs/>
          <w:spacing w:val="2"/>
          <w:sz w:val="22"/>
          <w:szCs w:val="22"/>
          <w:lang w:val="es-ES" w:eastAsia="es-ES"/>
        </w:rPr>
      </w:pPr>
      <w:r>
        <w:rPr>
          <w:b/>
          <w:bCs/>
          <w:spacing w:val="2"/>
          <w:sz w:val="22"/>
          <w:szCs w:val="22"/>
          <w:lang w:val="es-ES" w:eastAsia="es-ES"/>
        </w:rPr>
        <w:t>Redacta la Juez Pérez Peláez; y,</w:t>
      </w:r>
    </w:p>
    <w:p w:rsidR="00000000" w:rsidRDefault="00B84F03">
      <w:pPr>
        <w:pStyle w:val="Style1"/>
        <w:kinsoku w:val="0"/>
        <w:autoSpaceDE/>
        <w:autoSpaceDN/>
        <w:spacing w:before="180" w:line="213" w:lineRule="auto"/>
        <w:rPr>
          <w:rStyle w:val="CharacterStyle1"/>
          <w:b/>
          <w:bCs/>
          <w:lang w:val="es-ES" w:eastAsia="es-ES"/>
        </w:rPr>
      </w:pPr>
      <w:r>
        <w:rPr>
          <w:rStyle w:val="CharacterStyle1"/>
          <w:b/>
          <w:bCs/>
          <w:lang w:val="es-ES" w:eastAsia="es-ES"/>
        </w:rPr>
        <w:t>CONSIDERANDO:</w:t>
      </w:r>
    </w:p>
    <w:p w:rsidR="00000000" w:rsidRDefault="00B84F03">
      <w:pPr>
        <w:pStyle w:val="Style2"/>
        <w:kinsoku w:val="0"/>
        <w:autoSpaceDE/>
        <w:autoSpaceDN/>
        <w:adjustRightInd/>
        <w:spacing w:before="180" w:after="504"/>
        <w:ind w:left="72" w:right="72"/>
        <w:jc w:val="both"/>
        <w:rPr>
          <w:spacing w:val="-1"/>
          <w:sz w:val="23"/>
          <w:szCs w:val="23"/>
          <w:lang w:val="es-ES" w:eastAsia="es-ES"/>
        </w:rPr>
      </w:pPr>
      <w:r>
        <w:rPr>
          <w:b/>
          <w:bCs/>
          <w:spacing w:val="4"/>
          <w:sz w:val="22"/>
          <w:szCs w:val="22"/>
          <w:lang w:val="es-ES" w:eastAsia="es-ES"/>
        </w:rPr>
        <w:t xml:space="preserve">1.- SOBRE LA COMPETENCIA: </w:t>
      </w:r>
      <w:r>
        <w:rPr>
          <w:spacing w:val="4"/>
          <w:sz w:val="23"/>
          <w:szCs w:val="23"/>
          <w:lang w:val="es-ES" w:eastAsia="es-ES"/>
        </w:rPr>
        <w:t xml:space="preserve">De conformidad con el artículo 22 de la Ley </w:t>
      </w:r>
      <w:r>
        <w:rPr>
          <w:spacing w:val="-1"/>
          <w:sz w:val="23"/>
          <w:szCs w:val="23"/>
          <w:lang w:val="es-ES" w:eastAsia="es-ES"/>
        </w:rPr>
        <w:t xml:space="preserve">Reguladora del Servicio Público de Transporte Remunerado de Personas en Vehículos </w:t>
      </w:r>
      <w:r>
        <w:rPr>
          <w:sz w:val="23"/>
          <w:szCs w:val="23"/>
          <w:lang w:val="es-ES" w:eastAsia="es-ES"/>
        </w:rPr>
        <w:t xml:space="preserve">en la Modalidad de Taxi, No. 7969 del 22 de diciembre de 1999, el </w:t>
      </w:r>
      <w:r>
        <w:rPr>
          <w:sz w:val="19"/>
          <w:szCs w:val="19"/>
          <w:lang w:val="es-ES" w:eastAsia="es-ES"/>
        </w:rPr>
        <w:t xml:space="preserve">TRIBUNAL </w:t>
      </w:r>
      <w:r>
        <w:rPr>
          <w:spacing w:val="-1"/>
          <w:sz w:val="19"/>
          <w:szCs w:val="19"/>
          <w:lang w:val="es-ES" w:eastAsia="es-ES"/>
        </w:rPr>
        <w:t xml:space="preserve">ADMINISTRATIVO </w:t>
      </w:r>
      <w:r>
        <w:rPr>
          <w:spacing w:val="-1"/>
          <w:sz w:val="19"/>
          <w:szCs w:val="19"/>
          <w:lang w:val="es-ES" w:eastAsia="es-ES"/>
        </w:rPr>
        <w:t xml:space="preserve">DE TRANSPORTE </w:t>
      </w:r>
      <w:r>
        <w:rPr>
          <w:spacing w:val="-1"/>
          <w:sz w:val="23"/>
          <w:szCs w:val="23"/>
          <w:lang w:val="es-ES" w:eastAsia="es-ES"/>
        </w:rPr>
        <w:t>es el competente para conocer y resolver el presente</w:t>
      </w:r>
    </w:p>
    <w:p w:rsidR="00000000" w:rsidRDefault="00B84F03">
      <w:pPr>
        <w:pStyle w:val="Style4"/>
        <w:kinsoku w:val="0"/>
        <w:autoSpaceDE/>
        <w:autoSpaceDN/>
        <w:rPr>
          <w:rStyle w:val="CharacterStyle2"/>
          <w:b/>
          <w:bCs/>
          <w:spacing w:val="-8"/>
          <w:sz w:val="22"/>
          <w:szCs w:val="22"/>
          <w:lang w:val="es-ES" w:eastAsia="es-ES"/>
        </w:rPr>
      </w:pPr>
      <w:r>
        <w:rPr>
          <w:rStyle w:val="CharacterStyle2"/>
          <w:b/>
          <w:bCs/>
          <w:spacing w:val="-23"/>
          <w:sz w:val="22"/>
          <w:szCs w:val="22"/>
          <w:lang w:val="es-ES" w:eastAsia="es-ES"/>
        </w:rPr>
        <w:lastRenderedPageBreak/>
        <w:t xml:space="preserve">RECURSO DE APELACIÓN E INCIDENTES DE NULIDAD CONCOMITANTE Y SUSPENSIÓN </w:t>
      </w:r>
      <w:r>
        <w:rPr>
          <w:rStyle w:val="CharacterStyle2"/>
          <w:b/>
          <w:bCs/>
          <w:spacing w:val="-8"/>
          <w:sz w:val="22"/>
          <w:szCs w:val="22"/>
          <w:lang w:val="es-ES" w:eastAsia="es-ES"/>
        </w:rPr>
        <w:t>DEL ACTO.</w:t>
      </w:r>
    </w:p>
    <w:p w:rsidR="00000000" w:rsidRDefault="00B84F03">
      <w:pPr>
        <w:pStyle w:val="Style2"/>
        <w:kinsoku w:val="0"/>
        <w:autoSpaceDE/>
        <w:autoSpaceDN/>
        <w:adjustRightInd/>
        <w:spacing w:before="252"/>
        <w:ind w:right="648"/>
        <w:jc w:val="both"/>
        <w:rPr>
          <w:spacing w:val="-2"/>
          <w:sz w:val="23"/>
          <w:szCs w:val="23"/>
          <w:lang w:val="es-ES" w:eastAsia="es-ES"/>
        </w:rPr>
      </w:pPr>
      <w:r w:rsidRPr="00AE7661">
        <w:rPr>
          <w:b/>
          <w:spacing w:val="-2"/>
          <w:sz w:val="23"/>
          <w:szCs w:val="23"/>
          <w:lang w:val="es-ES" w:eastAsia="es-ES"/>
        </w:rPr>
        <w:t xml:space="preserve">2.- </w:t>
      </w:r>
      <w:r w:rsidRPr="00AE7661">
        <w:rPr>
          <w:b/>
          <w:bCs/>
          <w:spacing w:val="-2"/>
          <w:sz w:val="22"/>
          <w:szCs w:val="22"/>
          <w:lang w:val="es-ES" w:eastAsia="es-ES"/>
        </w:rPr>
        <w:t>SOBRE</w:t>
      </w:r>
      <w:r>
        <w:rPr>
          <w:b/>
          <w:bCs/>
          <w:spacing w:val="-2"/>
          <w:sz w:val="22"/>
          <w:szCs w:val="22"/>
          <w:lang w:val="es-ES" w:eastAsia="es-ES"/>
        </w:rPr>
        <w:t xml:space="preserve"> LA ADMISIBILIDAD DEL RECURSO: En</w:t>
      </w:r>
      <w:r>
        <w:rPr>
          <w:b/>
          <w:bCs/>
          <w:spacing w:val="-2"/>
          <w:sz w:val="23"/>
          <w:szCs w:val="23"/>
          <w:u w:val="single"/>
          <w:lang w:val="es-ES" w:eastAsia="es-ES"/>
        </w:rPr>
        <w:t xml:space="preserve"> cuanto a la Legitimación</w:t>
      </w:r>
      <w:proofErr w:type="gramStart"/>
      <w:r>
        <w:rPr>
          <w:b/>
          <w:bCs/>
          <w:spacing w:val="-2"/>
          <w:sz w:val="23"/>
          <w:szCs w:val="23"/>
          <w:u w:val="single"/>
          <w:lang w:val="es-ES" w:eastAsia="es-ES"/>
        </w:rPr>
        <w:t xml:space="preserve">:  </w:t>
      </w:r>
      <w:r>
        <w:rPr>
          <w:spacing w:val="-12"/>
          <w:sz w:val="23"/>
          <w:szCs w:val="23"/>
          <w:lang w:val="es-ES" w:eastAsia="es-ES"/>
        </w:rPr>
        <w:t>Estima</w:t>
      </w:r>
      <w:proofErr w:type="gramEnd"/>
      <w:r>
        <w:rPr>
          <w:spacing w:val="-12"/>
          <w:sz w:val="23"/>
          <w:szCs w:val="23"/>
          <w:lang w:val="es-ES" w:eastAsia="es-ES"/>
        </w:rPr>
        <w:t xml:space="preserve"> este Tribunal, que el </w:t>
      </w:r>
      <w:r w:rsidRPr="00AE7661">
        <w:rPr>
          <w:spacing w:val="-12"/>
          <w:sz w:val="23"/>
          <w:szCs w:val="23"/>
          <w:lang w:val="es-ES" w:eastAsia="es-ES"/>
        </w:rPr>
        <w:t xml:space="preserve">señor </w:t>
      </w:r>
      <w:r w:rsidR="00AE7661" w:rsidRPr="00AE7661">
        <w:rPr>
          <w:rStyle w:val="CharacterStyle1"/>
          <w:b w:val="0"/>
          <w:spacing w:val="-10"/>
          <w:sz w:val="23"/>
          <w:szCs w:val="23"/>
          <w:lang w:val="es-ES" w:eastAsia="es-ES"/>
        </w:rPr>
        <w:t>JFCA</w:t>
      </w:r>
      <w:r>
        <w:rPr>
          <w:spacing w:val="-12"/>
          <w:sz w:val="23"/>
          <w:szCs w:val="23"/>
          <w:lang w:val="es-ES" w:eastAsia="es-ES"/>
        </w:rPr>
        <w:t xml:space="preserve">, cuenta con la </w:t>
      </w:r>
      <w:r>
        <w:rPr>
          <w:spacing w:val="-4"/>
          <w:sz w:val="23"/>
          <w:szCs w:val="23"/>
          <w:lang w:val="es-ES" w:eastAsia="es-ES"/>
        </w:rPr>
        <w:t xml:space="preserve">legitimación para actuar en el presente caso. </w:t>
      </w:r>
      <w:r>
        <w:rPr>
          <w:b/>
          <w:bCs/>
          <w:spacing w:val="-4"/>
          <w:sz w:val="23"/>
          <w:szCs w:val="23"/>
          <w:u w:val="single"/>
          <w:lang w:val="es-ES" w:eastAsia="es-ES"/>
        </w:rPr>
        <w:t xml:space="preserve">En cuanto al plazo de presentación del  </w:t>
      </w:r>
      <w:r>
        <w:rPr>
          <w:b/>
          <w:bCs/>
          <w:spacing w:val="-1"/>
          <w:sz w:val="23"/>
          <w:szCs w:val="23"/>
          <w:u w:val="single"/>
          <w:lang w:val="es-ES" w:eastAsia="es-ES"/>
        </w:rPr>
        <w:t>recurso:</w:t>
      </w:r>
      <w:r>
        <w:rPr>
          <w:spacing w:val="-1"/>
          <w:sz w:val="23"/>
          <w:szCs w:val="23"/>
          <w:lang w:val="es-ES" w:eastAsia="es-ES"/>
        </w:rPr>
        <w:t xml:space="preserve"> Conforme al estudio efectuado el Recurso de Apelación fue presentado fuera </w:t>
      </w:r>
      <w:r>
        <w:rPr>
          <w:spacing w:val="3"/>
          <w:sz w:val="23"/>
          <w:szCs w:val="23"/>
          <w:lang w:val="es-ES" w:eastAsia="es-ES"/>
        </w:rPr>
        <w:t>del pla</w:t>
      </w:r>
      <w:r>
        <w:rPr>
          <w:spacing w:val="3"/>
          <w:sz w:val="23"/>
          <w:szCs w:val="23"/>
          <w:lang w:val="es-ES" w:eastAsia="es-ES"/>
        </w:rPr>
        <w:t>zo legal establecido para tal f</w:t>
      </w:r>
      <w:r w:rsidR="00AE7661">
        <w:rPr>
          <w:spacing w:val="3"/>
          <w:sz w:val="23"/>
          <w:szCs w:val="23"/>
          <w:lang w:val="es-ES" w:eastAsia="es-ES"/>
        </w:rPr>
        <w:t>in</w:t>
      </w:r>
      <w:r>
        <w:rPr>
          <w:spacing w:val="3"/>
          <w:sz w:val="23"/>
          <w:szCs w:val="23"/>
          <w:lang w:val="es-ES" w:eastAsia="es-ES"/>
        </w:rPr>
        <w:t xml:space="preserve"> en los términos del artículo 11 de la Ley </w:t>
      </w:r>
      <w:r>
        <w:rPr>
          <w:sz w:val="23"/>
          <w:szCs w:val="23"/>
          <w:lang w:val="es-ES" w:eastAsia="es-ES"/>
        </w:rPr>
        <w:t xml:space="preserve">Reguladora del Servicio Público de Transporte Remunerado de Personas en vehículos </w:t>
      </w:r>
      <w:r>
        <w:rPr>
          <w:spacing w:val="-1"/>
          <w:sz w:val="23"/>
          <w:szCs w:val="23"/>
          <w:lang w:val="es-ES" w:eastAsia="es-ES"/>
        </w:rPr>
        <w:t xml:space="preserve">en la modalidad de taxi, Ley N°7969, del 28 de enero del 2000, toda vez que a la fecha </w:t>
      </w:r>
      <w:r>
        <w:rPr>
          <w:spacing w:val="3"/>
          <w:sz w:val="23"/>
          <w:szCs w:val="23"/>
          <w:lang w:val="es-ES" w:eastAsia="es-ES"/>
        </w:rPr>
        <w:t>de presenta</w:t>
      </w:r>
      <w:r>
        <w:rPr>
          <w:spacing w:val="3"/>
          <w:sz w:val="23"/>
          <w:szCs w:val="23"/>
          <w:lang w:val="es-ES" w:eastAsia="es-ES"/>
        </w:rPr>
        <w:t xml:space="preserve">ción del escrito de apelación, sea ésta 21 de enero de 1999, ya había </w:t>
      </w:r>
      <w:r>
        <w:rPr>
          <w:spacing w:val="-2"/>
          <w:sz w:val="23"/>
          <w:szCs w:val="23"/>
          <w:lang w:val="es-ES" w:eastAsia="es-ES"/>
        </w:rPr>
        <w:t>transcurrido el plazo establecido por ley para recurrir dicho acto.</w:t>
      </w:r>
    </w:p>
    <w:p w:rsidR="00000000" w:rsidRDefault="00B84F03" w:rsidP="00AE7661">
      <w:pPr>
        <w:pStyle w:val="Style2"/>
        <w:kinsoku w:val="0"/>
        <w:autoSpaceDE/>
        <w:autoSpaceDN/>
        <w:adjustRightInd/>
        <w:spacing w:before="216"/>
        <w:jc w:val="both"/>
        <w:rPr>
          <w:spacing w:val="-2"/>
          <w:sz w:val="23"/>
          <w:szCs w:val="23"/>
          <w:lang w:val="es-ES" w:eastAsia="es-ES"/>
        </w:rPr>
      </w:pPr>
      <w:r>
        <w:rPr>
          <w:spacing w:val="-2"/>
          <w:sz w:val="23"/>
          <w:szCs w:val="23"/>
          <w:lang w:val="es-ES" w:eastAsia="es-ES"/>
        </w:rPr>
        <w:t>En este sentido, el artículo 11 de la Ley N° 7969, establece en lo que interesa:</w:t>
      </w:r>
    </w:p>
    <w:p w:rsidR="00000000" w:rsidRDefault="00B84F03">
      <w:pPr>
        <w:pStyle w:val="Style2"/>
        <w:kinsoku w:val="0"/>
        <w:autoSpaceDE/>
        <w:autoSpaceDN/>
        <w:adjustRightInd/>
        <w:spacing w:before="252"/>
        <w:ind w:left="504" w:right="1152"/>
        <w:jc w:val="both"/>
        <w:rPr>
          <w:b/>
          <w:bCs/>
          <w:spacing w:val="2"/>
          <w:sz w:val="22"/>
          <w:szCs w:val="22"/>
          <w:lang w:val="es-ES" w:eastAsia="es-ES"/>
        </w:rPr>
      </w:pPr>
      <w:r>
        <w:rPr>
          <w:b/>
          <w:bCs/>
          <w:spacing w:val="6"/>
          <w:sz w:val="22"/>
          <w:szCs w:val="22"/>
          <w:lang w:val="es-ES" w:eastAsia="es-ES"/>
        </w:rPr>
        <w:t>"...Contra las resoluciones del Conse</w:t>
      </w:r>
      <w:r>
        <w:rPr>
          <w:b/>
          <w:bCs/>
          <w:spacing w:val="6"/>
          <w:sz w:val="22"/>
          <w:szCs w:val="22"/>
          <w:lang w:val="es-ES" w:eastAsia="es-ES"/>
        </w:rPr>
        <w:t xml:space="preserve">jo cabrá recurso de revocatoria </w:t>
      </w:r>
      <w:r>
        <w:rPr>
          <w:b/>
          <w:bCs/>
          <w:sz w:val="22"/>
          <w:szCs w:val="22"/>
          <w:lang w:val="es-ES" w:eastAsia="es-ES"/>
        </w:rPr>
        <w:t xml:space="preserve">ante el órgano que dictó el acto, con apelación en subsidio para ante el </w:t>
      </w:r>
      <w:r w:rsidR="00AE7661">
        <w:rPr>
          <w:b/>
          <w:bCs/>
          <w:spacing w:val="5"/>
          <w:sz w:val="22"/>
          <w:szCs w:val="22"/>
          <w:lang w:val="es-ES" w:eastAsia="es-ES"/>
        </w:rPr>
        <w:t>Tribunal. Am</w:t>
      </w:r>
      <w:r>
        <w:rPr>
          <w:b/>
          <w:bCs/>
          <w:spacing w:val="5"/>
          <w:sz w:val="22"/>
          <w:szCs w:val="22"/>
          <w:lang w:val="es-ES" w:eastAsia="es-ES"/>
        </w:rPr>
        <w:t xml:space="preserve">bos recursos deberán interponerse dentro del plazo de </w:t>
      </w:r>
      <w:r>
        <w:rPr>
          <w:b/>
          <w:bCs/>
          <w:spacing w:val="2"/>
          <w:sz w:val="22"/>
          <w:szCs w:val="22"/>
          <w:lang w:val="es-ES" w:eastAsia="es-ES"/>
        </w:rPr>
        <w:t>cinco días hábiles, contados a partir de la notificación".</w:t>
      </w:r>
    </w:p>
    <w:p w:rsidR="00000000" w:rsidRDefault="00B84F03" w:rsidP="00B84F03">
      <w:pPr>
        <w:pStyle w:val="Style4"/>
        <w:kinsoku w:val="0"/>
        <w:autoSpaceDE/>
        <w:autoSpaceDN/>
        <w:spacing w:before="288"/>
        <w:ind w:right="85"/>
        <w:jc w:val="both"/>
        <w:rPr>
          <w:rStyle w:val="CharacterStyle2"/>
          <w:lang w:val="es-ES" w:eastAsia="es-ES"/>
        </w:rPr>
      </w:pPr>
      <w:r>
        <w:rPr>
          <w:rStyle w:val="CharacterStyle2"/>
          <w:spacing w:val="-3"/>
          <w:lang w:val="es-ES" w:eastAsia="es-ES"/>
        </w:rPr>
        <w:t xml:space="preserve">De conformidad con la norma transcrita, el recurso de apelación ha sido presentado de </w:t>
      </w:r>
      <w:r>
        <w:rPr>
          <w:rStyle w:val="CharacterStyle2"/>
          <w:lang w:val="es-ES" w:eastAsia="es-ES"/>
        </w:rPr>
        <w:t>manera extemporánea y ello obliga al rechazo.</w:t>
      </w:r>
    </w:p>
    <w:p w:rsidR="00000000" w:rsidRDefault="00B84F03" w:rsidP="00B84F03">
      <w:pPr>
        <w:pStyle w:val="Style4"/>
        <w:kinsoku w:val="0"/>
        <w:autoSpaceDE/>
        <w:autoSpaceDN/>
        <w:spacing w:before="360"/>
        <w:ind w:right="85"/>
        <w:jc w:val="both"/>
        <w:rPr>
          <w:rStyle w:val="CharacterStyle2"/>
          <w:lang w:val="es-ES" w:eastAsia="es-ES"/>
        </w:rPr>
      </w:pPr>
      <w:r>
        <w:rPr>
          <w:rStyle w:val="CharacterStyle2"/>
          <w:lang w:val="es-ES" w:eastAsia="es-ES"/>
        </w:rPr>
        <w:t>El Lic. Fallas Acosta salva el voto y ordena conocer el recurso, en los términos que indicará.</w:t>
      </w:r>
    </w:p>
    <w:p w:rsidR="00000000" w:rsidRDefault="00B84F03">
      <w:pPr>
        <w:pStyle w:val="Style2"/>
        <w:kinsoku w:val="0"/>
        <w:autoSpaceDE/>
        <w:autoSpaceDN/>
        <w:adjustRightInd/>
        <w:spacing w:before="144" w:line="208" w:lineRule="auto"/>
        <w:ind w:left="3240"/>
        <w:rPr>
          <w:b/>
          <w:bCs/>
          <w:sz w:val="22"/>
          <w:szCs w:val="22"/>
          <w:lang w:val="es-ES" w:eastAsia="es-ES"/>
        </w:rPr>
      </w:pPr>
      <w:r>
        <w:rPr>
          <w:b/>
          <w:bCs/>
          <w:sz w:val="22"/>
          <w:szCs w:val="22"/>
          <w:lang w:val="es-ES" w:eastAsia="es-ES"/>
        </w:rPr>
        <w:t>POR TANTO:</w:t>
      </w:r>
    </w:p>
    <w:p w:rsidR="00000000" w:rsidRPr="00AE7661" w:rsidRDefault="00B84F03" w:rsidP="00B84F03">
      <w:pPr>
        <w:pStyle w:val="Style2"/>
        <w:numPr>
          <w:ilvl w:val="0"/>
          <w:numId w:val="1"/>
        </w:numPr>
        <w:tabs>
          <w:tab w:val="clear" w:pos="360"/>
          <w:tab w:val="num" w:pos="426"/>
        </w:tabs>
        <w:kinsoku w:val="0"/>
        <w:autoSpaceDE/>
        <w:autoSpaceDN/>
        <w:adjustRightInd/>
        <w:spacing w:before="324" w:after="216"/>
        <w:ind w:right="-57" w:firstLine="0"/>
        <w:jc w:val="both"/>
        <w:rPr>
          <w:spacing w:val="-18"/>
          <w:sz w:val="23"/>
          <w:szCs w:val="23"/>
          <w:lang w:val="es-ES" w:eastAsia="es-ES"/>
        </w:rPr>
      </w:pPr>
      <w:r>
        <w:rPr>
          <w:spacing w:val="-4"/>
          <w:sz w:val="23"/>
          <w:szCs w:val="23"/>
          <w:lang w:val="es-ES" w:eastAsia="es-ES"/>
        </w:rPr>
        <w:t>Se declara i</w:t>
      </w:r>
      <w:r>
        <w:rPr>
          <w:spacing w:val="-4"/>
          <w:sz w:val="23"/>
          <w:szCs w:val="23"/>
          <w:lang w:val="es-ES" w:eastAsia="es-ES"/>
        </w:rPr>
        <w:t xml:space="preserve">nadmisible por extemporáneo el RECURSO DE </w:t>
      </w:r>
      <w:r>
        <w:rPr>
          <w:spacing w:val="-4"/>
          <w:sz w:val="19"/>
          <w:szCs w:val="19"/>
          <w:lang w:val="es-ES" w:eastAsia="es-ES"/>
        </w:rPr>
        <w:t xml:space="preserve">APELACIÓN, </w:t>
      </w:r>
      <w:r>
        <w:rPr>
          <w:spacing w:val="-4"/>
          <w:sz w:val="23"/>
          <w:szCs w:val="23"/>
          <w:lang w:val="es-ES" w:eastAsia="es-ES"/>
        </w:rPr>
        <w:t xml:space="preserve">interpuesto </w:t>
      </w:r>
      <w:r>
        <w:rPr>
          <w:spacing w:val="-11"/>
          <w:sz w:val="23"/>
          <w:szCs w:val="23"/>
          <w:lang w:val="es-ES" w:eastAsia="es-ES"/>
        </w:rPr>
        <w:t xml:space="preserve">por </w:t>
      </w:r>
      <w:r w:rsidR="00AE7661" w:rsidRPr="00AE7661">
        <w:rPr>
          <w:rStyle w:val="CharacterStyle1"/>
          <w:b w:val="0"/>
          <w:spacing w:val="-10"/>
          <w:sz w:val="23"/>
          <w:szCs w:val="23"/>
          <w:lang w:val="es-ES" w:eastAsia="es-ES"/>
        </w:rPr>
        <w:t>JFCA</w:t>
      </w:r>
      <w:r>
        <w:rPr>
          <w:spacing w:val="-11"/>
          <w:sz w:val="23"/>
          <w:szCs w:val="23"/>
          <w:lang w:val="es-ES" w:eastAsia="es-ES"/>
        </w:rPr>
        <w:t xml:space="preserve">, cédula de identidad número </w:t>
      </w:r>
      <w:r w:rsidR="00AE7661">
        <w:rPr>
          <w:spacing w:val="-11"/>
          <w:sz w:val="23"/>
          <w:szCs w:val="23"/>
          <w:lang w:val="es-ES" w:eastAsia="es-ES"/>
        </w:rPr>
        <w:t>…</w:t>
      </w:r>
      <w:r>
        <w:rPr>
          <w:spacing w:val="-11"/>
          <w:sz w:val="23"/>
          <w:szCs w:val="23"/>
          <w:lang w:val="es-ES" w:eastAsia="es-ES"/>
        </w:rPr>
        <w:t xml:space="preserve">, en su </w:t>
      </w:r>
      <w:r>
        <w:rPr>
          <w:spacing w:val="-1"/>
          <w:sz w:val="23"/>
          <w:szCs w:val="23"/>
          <w:lang w:val="es-ES" w:eastAsia="es-ES"/>
        </w:rPr>
        <w:t xml:space="preserve">condición de permisionario de la ruta 403, en contra el acuerdo número 16 de la sesión </w:t>
      </w:r>
      <w:r>
        <w:rPr>
          <w:spacing w:val="-7"/>
          <w:sz w:val="23"/>
          <w:szCs w:val="23"/>
          <w:lang w:val="es-ES" w:eastAsia="es-ES"/>
        </w:rPr>
        <w:t xml:space="preserve">N° 3022, celebrada el día </w:t>
      </w:r>
      <w:r>
        <w:rPr>
          <w:spacing w:val="-7"/>
          <w:sz w:val="23"/>
          <w:szCs w:val="23"/>
          <w:lang w:val="es-ES" w:eastAsia="es-ES"/>
        </w:rPr>
        <w:t xml:space="preserve">07 de febrero de 1996, dictado por la </w:t>
      </w:r>
      <w:r>
        <w:rPr>
          <w:spacing w:val="-7"/>
          <w:sz w:val="19"/>
          <w:szCs w:val="19"/>
          <w:lang w:val="es-ES" w:eastAsia="es-ES"/>
        </w:rPr>
        <w:t xml:space="preserve">COMISIÓN </w:t>
      </w:r>
      <w:r w:rsidRPr="00AE7661">
        <w:rPr>
          <w:spacing w:val="-7"/>
          <w:sz w:val="19"/>
          <w:szCs w:val="19"/>
          <w:lang w:val="es-ES" w:eastAsia="es-ES"/>
        </w:rPr>
        <w:t xml:space="preserve">TÉCNICA DE </w:t>
      </w:r>
      <w:r w:rsidRPr="00AE7661">
        <w:rPr>
          <w:spacing w:val="-18"/>
          <w:sz w:val="19"/>
          <w:szCs w:val="19"/>
          <w:lang w:val="es-ES" w:eastAsia="es-ES"/>
        </w:rPr>
        <w:t>TRANSPORTES</w:t>
      </w:r>
    </w:p>
    <w:p w:rsidR="00AE7661" w:rsidRPr="00AE7661" w:rsidRDefault="00AE7661" w:rsidP="00AE7661">
      <w:pPr>
        <w:pStyle w:val="Style2"/>
        <w:numPr>
          <w:ilvl w:val="0"/>
          <w:numId w:val="1"/>
        </w:numPr>
        <w:tabs>
          <w:tab w:val="clear" w:pos="360"/>
          <w:tab w:val="num" w:pos="426"/>
        </w:tabs>
        <w:kinsoku w:val="0"/>
        <w:autoSpaceDE/>
        <w:autoSpaceDN/>
        <w:adjustRightInd/>
        <w:spacing w:before="216" w:after="324"/>
        <w:ind w:right="72" w:firstLine="0"/>
        <w:jc w:val="both"/>
        <w:rPr>
          <w:rStyle w:val="CharacterStyle3"/>
          <w:i/>
          <w:iCs/>
          <w:spacing w:val="-4"/>
          <w:w w:val="105"/>
          <w:lang w:val="es-CR" w:eastAsia="es-ES"/>
        </w:rPr>
      </w:pPr>
      <w:r w:rsidRPr="00AE7661">
        <w:rPr>
          <w:rStyle w:val="CharacterStyle3"/>
          <w:w w:val="105"/>
          <w:lang w:val="es-CR" w:eastAsia="es-ES"/>
        </w:rPr>
        <w:t xml:space="preserve">De conformidad con el artículo 22, inciso c), de la citada Ley 7969, la presente </w:t>
      </w:r>
      <w:r w:rsidRPr="00AE7661">
        <w:rPr>
          <w:rStyle w:val="CharacterStyle3"/>
          <w:spacing w:val="-4"/>
          <w:w w:val="105"/>
          <w:lang w:val="es-CR" w:eastAsia="es-ES"/>
        </w:rPr>
        <w:t xml:space="preserve">resolución no tiene ulterior recurso por lo que, se </w:t>
      </w:r>
      <w:r w:rsidRPr="00AE7661">
        <w:rPr>
          <w:rStyle w:val="CharacterStyle3"/>
          <w:i/>
          <w:iCs/>
          <w:spacing w:val="-4"/>
          <w:w w:val="105"/>
          <w:lang w:val="es-CR" w:eastAsia="es-ES"/>
        </w:rPr>
        <w:t>tiene por agotada la vía administrativa.</w:t>
      </w:r>
      <w:r w:rsidRPr="00AE7661">
        <w:rPr>
          <w:rStyle w:val="CharacterStyle3"/>
          <w:iCs/>
          <w:spacing w:val="-4"/>
          <w:w w:val="105"/>
          <w:lang w:val="es-CR" w:eastAsia="es-ES"/>
        </w:rPr>
        <w:t xml:space="preserve"> </w:t>
      </w:r>
      <w:r w:rsidRPr="00AE7661">
        <w:rPr>
          <w:rStyle w:val="CharacterStyle3"/>
          <w:b/>
          <w:iCs/>
          <w:spacing w:val="-4"/>
          <w:w w:val="105"/>
          <w:lang w:eastAsia="es-ES"/>
        </w:rPr>
        <w:t>NOTIFIQUESE</w:t>
      </w:r>
      <w:r>
        <w:rPr>
          <w:rStyle w:val="CharacterStyle3"/>
          <w:b/>
          <w:iCs/>
          <w:spacing w:val="-4"/>
          <w:w w:val="105"/>
          <w:lang w:eastAsia="es-ES"/>
        </w:rPr>
        <w:t>.-</w:t>
      </w:r>
    </w:p>
    <w:p w:rsidR="00AE7661" w:rsidRPr="00AE7661" w:rsidRDefault="00AE7661" w:rsidP="00AE7661">
      <w:pPr>
        <w:pStyle w:val="Sinespaciado"/>
        <w:jc w:val="center"/>
        <w:rPr>
          <w:rFonts w:ascii="Book Antiqua" w:hAnsi="Book Antiqua" w:cs="Tahoma"/>
          <w:i/>
          <w:sz w:val="22"/>
          <w:szCs w:val="22"/>
          <w:lang w:val="es-ES" w:eastAsia="es-ES"/>
        </w:rPr>
      </w:pPr>
      <w:r w:rsidRPr="00AE7661">
        <w:rPr>
          <w:rFonts w:ascii="Book Antiqua" w:hAnsi="Book Antiqua" w:cs="Tahoma"/>
          <w:sz w:val="22"/>
          <w:szCs w:val="22"/>
          <w:lang w:val="es-ES" w:eastAsia="es-ES"/>
        </w:rPr>
        <w:t>Lic. Luis Gerardo Fallas Acosta</w:t>
      </w:r>
    </w:p>
    <w:p w:rsidR="00AE7661" w:rsidRPr="00AE7661" w:rsidRDefault="00AE7661" w:rsidP="00AE7661">
      <w:pPr>
        <w:pStyle w:val="Sinespaciado"/>
        <w:jc w:val="center"/>
        <w:rPr>
          <w:rFonts w:ascii="Book Antiqua" w:hAnsi="Book Antiqua" w:cs="Tahoma"/>
          <w:sz w:val="22"/>
          <w:szCs w:val="22"/>
          <w:lang w:val="es-ES" w:eastAsia="es-ES"/>
        </w:rPr>
      </w:pPr>
      <w:r w:rsidRPr="00AE7661">
        <w:rPr>
          <w:rFonts w:ascii="Book Antiqua" w:hAnsi="Book Antiqua" w:cs="Tahoma"/>
          <w:sz w:val="22"/>
          <w:szCs w:val="22"/>
          <w:lang w:val="es-ES" w:eastAsia="es-ES"/>
        </w:rPr>
        <w:t>Presidente</w:t>
      </w:r>
    </w:p>
    <w:p w:rsidR="00AE7661" w:rsidRPr="00AE7661" w:rsidRDefault="00AE7661" w:rsidP="00AE7661">
      <w:pPr>
        <w:pStyle w:val="Sinespaciado"/>
        <w:jc w:val="center"/>
        <w:rPr>
          <w:rFonts w:ascii="Book Antiqua" w:hAnsi="Book Antiqua" w:cs="Tahoma"/>
          <w:sz w:val="22"/>
          <w:szCs w:val="22"/>
          <w:lang w:val="es-ES" w:eastAsia="es-ES"/>
        </w:rPr>
      </w:pPr>
    </w:p>
    <w:p w:rsidR="00AE7661" w:rsidRPr="00AE7661" w:rsidRDefault="00AE7661" w:rsidP="00AE7661">
      <w:pPr>
        <w:pStyle w:val="Sinespaciado"/>
        <w:jc w:val="center"/>
        <w:rPr>
          <w:rFonts w:ascii="Book Antiqua" w:hAnsi="Book Antiqua" w:cs="Tahoma"/>
          <w:sz w:val="22"/>
          <w:szCs w:val="22"/>
          <w:lang w:val="es-ES" w:eastAsia="es-ES"/>
        </w:rPr>
      </w:pPr>
    </w:p>
    <w:p w:rsidR="00AE7661" w:rsidRPr="00AE7661" w:rsidRDefault="00AE7661" w:rsidP="00AE7661">
      <w:pPr>
        <w:pStyle w:val="Sinespaciado"/>
        <w:rPr>
          <w:rFonts w:ascii="Book Antiqua" w:hAnsi="Book Antiqua" w:cs="Tahoma"/>
          <w:sz w:val="22"/>
          <w:szCs w:val="22"/>
          <w:lang w:val="es-ES" w:eastAsia="es-ES"/>
        </w:rPr>
      </w:pPr>
      <w:r w:rsidRPr="00AE7661">
        <w:rPr>
          <w:rFonts w:ascii="Book Antiqua" w:hAnsi="Book Antiqua" w:cs="Tahoma"/>
          <w:sz w:val="22"/>
          <w:szCs w:val="22"/>
          <w:lang w:val="es-ES" w:eastAsia="es-ES"/>
        </w:rPr>
        <w:t>Licda. Marta Luz Pérez Peláez</w:t>
      </w:r>
      <w:r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>Lic. Carlos Miguel Portuguez</w:t>
      </w:r>
      <w:r>
        <w:rPr>
          <w:rFonts w:ascii="Book Antiqua" w:hAnsi="Book Antiqua" w:cs="Tahoma"/>
          <w:sz w:val="22"/>
          <w:szCs w:val="22"/>
          <w:lang w:val="es-ES" w:eastAsia="es-ES"/>
        </w:rPr>
        <w:t xml:space="preserve"> </w:t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>Méndez</w:t>
      </w:r>
    </w:p>
    <w:p w:rsidR="00AE7661" w:rsidRPr="00AE7661" w:rsidRDefault="00AE7661" w:rsidP="00AE7661">
      <w:pPr>
        <w:pStyle w:val="Sinespaciado"/>
        <w:jc w:val="center"/>
        <w:rPr>
          <w:rStyle w:val="CharacterStyle5"/>
          <w:rFonts w:ascii="Book Antiqua" w:hAnsi="Book Antiqua"/>
          <w:sz w:val="22"/>
          <w:szCs w:val="22"/>
          <w:lang w:val="es-ES" w:eastAsia="es-ES"/>
        </w:rPr>
      </w:pPr>
      <w:r w:rsidRPr="00AE7661">
        <w:rPr>
          <w:rFonts w:ascii="Book Antiqua" w:hAnsi="Book Antiqua" w:cs="Tahoma"/>
          <w:sz w:val="22"/>
          <w:szCs w:val="22"/>
          <w:lang w:val="es-ES" w:eastAsia="es-ES"/>
        </w:rPr>
        <w:t>Juez</w:t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sz w:val="22"/>
          <w:szCs w:val="22"/>
          <w:lang w:val="es-ES" w:eastAsia="es-ES"/>
        </w:rPr>
        <w:tab/>
      </w:r>
      <w:r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 xml:space="preserve">  Juez</w:t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  <w:t xml:space="preserve">     </w:t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  <w:r w:rsidRPr="00AE7661">
        <w:rPr>
          <w:rFonts w:ascii="Book Antiqua" w:hAnsi="Book Antiqua" w:cs="Tahoma"/>
          <w:sz w:val="22"/>
          <w:szCs w:val="22"/>
          <w:lang w:val="es-ES" w:eastAsia="es-ES"/>
        </w:rPr>
        <w:tab/>
      </w:r>
    </w:p>
    <w:p w:rsidR="00AE7661" w:rsidRPr="00AE7661" w:rsidRDefault="00AE7661" w:rsidP="00AE7661">
      <w:pPr>
        <w:pStyle w:val="Sinespaciado"/>
        <w:jc w:val="center"/>
        <w:rPr>
          <w:rStyle w:val="CharacterStyle5"/>
          <w:rFonts w:ascii="Book Antiqua" w:hAnsi="Book Antiqua"/>
          <w:sz w:val="22"/>
          <w:szCs w:val="22"/>
          <w:lang w:val="es-ES" w:eastAsia="es-ES"/>
        </w:rPr>
      </w:pPr>
    </w:p>
    <w:p w:rsidR="00AE7661" w:rsidRPr="00AE7661" w:rsidRDefault="00AE7661" w:rsidP="00AE7661">
      <w:pPr>
        <w:rPr>
          <w:lang w:val="es-ES"/>
        </w:rPr>
      </w:pPr>
    </w:p>
    <w:p w:rsidR="00AE7661" w:rsidRDefault="00AE7661" w:rsidP="00AE7661">
      <w:pPr>
        <w:pStyle w:val="Style2"/>
        <w:kinsoku w:val="0"/>
        <w:autoSpaceDE/>
        <w:autoSpaceDN/>
        <w:adjustRightInd/>
        <w:spacing w:before="324" w:after="216"/>
        <w:ind w:right="648"/>
        <w:jc w:val="both"/>
        <w:rPr>
          <w:spacing w:val="-18"/>
          <w:sz w:val="23"/>
          <w:szCs w:val="23"/>
          <w:lang w:val="es-ES" w:eastAsia="es-ES"/>
        </w:rPr>
      </w:pPr>
    </w:p>
    <w:p w:rsidR="00000000" w:rsidRDefault="00B84F03">
      <w:pPr>
        <w:pStyle w:val="Style5"/>
        <w:kinsoku w:val="0"/>
        <w:autoSpaceDE/>
        <w:autoSpaceDN/>
        <w:spacing w:before="0" w:line="460" w:lineRule="auto"/>
        <w:ind w:left="0" w:right="0"/>
        <w:jc w:val="center"/>
        <w:rPr>
          <w:rStyle w:val="CharacterStyle4"/>
          <w:rFonts w:ascii="Garamond" w:hAnsi="Garamond" w:cs="Garamond"/>
          <w:spacing w:val="-8"/>
          <w:lang w:val="es-ES" w:eastAsia="es-ES"/>
        </w:rPr>
      </w:pPr>
      <w:r>
        <w:rPr>
          <w:rStyle w:val="CharacterStyle4"/>
          <w:rFonts w:ascii="Garamond" w:hAnsi="Garamond" w:cs="Garamond"/>
          <w:spacing w:val="-6"/>
          <w:lang w:val="es-ES" w:eastAsia="es-ES"/>
        </w:rPr>
        <w:lastRenderedPageBreak/>
        <w:t>TRIBUNAL ADMINISTRATIVO DE TRANSPORTE</w:t>
      </w:r>
      <w:r>
        <w:rPr>
          <w:rStyle w:val="CharacterStyle4"/>
          <w:rFonts w:ascii="Garamond" w:hAnsi="Garamond" w:cs="Garamond"/>
          <w:spacing w:val="-6"/>
          <w:lang w:val="es-ES" w:eastAsia="es-ES"/>
        </w:rPr>
        <w:br/>
      </w:r>
      <w:r>
        <w:rPr>
          <w:rStyle w:val="CharacterStyle4"/>
          <w:rFonts w:ascii="Garamond" w:hAnsi="Garamond" w:cs="Garamond"/>
          <w:spacing w:val="-8"/>
          <w:lang w:val="es-ES" w:eastAsia="es-ES"/>
        </w:rPr>
        <w:t>EXPEDIENTE No. 56-00</w:t>
      </w:r>
    </w:p>
    <w:p w:rsidR="00000000" w:rsidRDefault="00B84F03">
      <w:pPr>
        <w:pStyle w:val="Style5"/>
        <w:kinsoku w:val="0"/>
        <w:autoSpaceDE/>
        <w:autoSpaceDN/>
        <w:ind w:left="0" w:right="0"/>
        <w:jc w:val="center"/>
        <w:rPr>
          <w:rStyle w:val="CharacterStyle4"/>
          <w:rFonts w:ascii="Garamond" w:hAnsi="Garamond" w:cs="Garamond"/>
          <w:lang w:val="es-ES" w:eastAsia="es-ES"/>
        </w:rPr>
      </w:pPr>
      <w:r>
        <w:rPr>
          <w:rStyle w:val="CharacterStyle4"/>
          <w:rFonts w:ascii="Garamond" w:hAnsi="Garamond" w:cs="Garamond"/>
          <w:spacing w:val="-7"/>
          <w:lang w:val="es-ES" w:eastAsia="es-ES"/>
        </w:rPr>
        <w:t>RECURSO DE APELACIÓN PRESENTADO POR JOSE FAUSTO CARMONA</w:t>
      </w:r>
      <w:r>
        <w:rPr>
          <w:rStyle w:val="CharacterStyle4"/>
          <w:rFonts w:ascii="Garamond" w:hAnsi="Garamond" w:cs="Garamond"/>
          <w:spacing w:val="-7"/>
          <w:lang w:val="es-ES" w:eastAsia="es-ES"/>
        </w:rPr>
        <w:br/>
      </w:r>
      <w:r>
        <w:rPr>
          <w:rStyle w:val="CharacterStyle4"/>
          <w:rFonts w:ascii="Garamond" w:hAnsi="Garamond" w:cs="Garamond"/>
          <w:lang w:val="es-ES" w:eastAsia="es-ES"/>
        </w:rPr>
        <w:t>ALVARADO</w:t>
      </w:r>
    </w:p>
    <w:p w:rsidR="00000000" w:rsidRDefault="00B84F03">
      <w:pPr>
        <w:pStyle w:val="Style5"/>
        <w:kinsoku w:val="0"/>
        <w:autoSpaceDE/>
        <w:autoSpaceDN/>
        <w:spacing w:line="211" w:lineRule="auto"/>
        <w:ind w:left="0" w:right="0"/>
        <w:jc w:val="center"/>
        <w:rPr>
          <w:rStyle w:val="CharacterStyle4"/>
          <w:rFonts w:ascii="Garamond" w:hAnsi="Garamond" w:cs="Garamond"/>
          <w:spacing w:val="-4"/>
          <w:lang w:val="es-ES" w:eastAsia="es-ES"/>
        </w:rPr>
      </w:pPr>
      <w:r>
        <w:rPr>
          <w:rStyle w:val="CharacterStyle4"/>
          <w:rFonts w:ascii="Garamond" w:hAnsi="Garamond" w:cs="Garamond"/>
          <w:spacing w:val="-4"/>
          <w:lang w:val="es-ES" w:eastAsia="es-ES"/>
        </w:rPr>
        <w:t>VOTO SALVADO DEL LIC. LUIS GERARDO FALLAS ACOSTA.</w:t>
      </w:r>
    </w:p>
    <w:p w:rsidR="00000000" w:rsidRDefault="00B84F03">
      <w:pPr>
        <w:pStyle w:val="Style5"/>
        <w:kinsoku w:val="0"/>
        <w:autoSpaceDE/>
        <w:autoSpaceDN/>
        <w:spacing w:before="216" w:line="230" w:lineRule="auto"/>
        <w:rPr>
          <w:rStyle w:val="CharacterStyle4"/>
          <w:rFonts w:ascii="Garamond" w:hAnsi="Garamond" w:cs="Garamond"/>
          <w:spacing w:val="-1"/>
          <w:lang w:val="es-ES" w:eastAsia="es-ES"/>
        </w:rPr>
      </w:pPr>
      <w:r>
        <w:rPr>
          <w:rStyle w:val="CharacterStyle4"/>
          <w:rFonts w:ascii="Garamond" w:hAnsi="Garamond" w:cs="Garamond"/>
          <w:lang w:val="es-ES" w:eastAsia="es-ES"/>
        </w:rPr>
        <w:t>El suscrito, se aparta del criterio de mayorí</w:t>
      </w:r>
      <w:r>
        <w:rPr>
          <w:rStyle w:val="CharacterStyle4"/>
          <w:rFonts w:ascii="Garamond" w:hAnsi="Garamond" w:cs="Garamond"/>
          <w:lang w:val="es-ES" w:eastAsia="es-ES"/>
        </w:rPr>
        <w:t xml:space="preserve">a, en virtud de estimar que en el presente </w:t>
      </w:r>
      <w:r>
        <w:rPr>
          <w:rStyle w:val="CharacterStyle4"/>
          <w:rFonts w:ascii="Garamond" w:hAnsi="Garamond" w:cs="Garamond"/>
          <w:spacing w:val="4"/>
          <w:lang w:val="es-ES" w:eastAsia="es-ES"/>
        </w:rPr>
        <w:t xml:space="preserve">asunto, el voto desconoce los alcances del numeral 175 de la Ley General de la </w:t>
      </w:r>
      <w:r>
        <w:rPr>
          <w:rStyle w:val="CharacterStyle4"/>
          <w:rFonts w:ascii="Garamond" w:hAnsi="Garamond" w:cs="Garamond"/>
          <w:spacing w:val="-1"/>
          <w:lang w:val="es-ES" w:eastAsia="es-ES"/>
        </w:rPr>
        <w:t>Administración Pública, al rechazar por extemporánea la gestión presentada por el recurrente Carmona Alvarado, sin entrar a valorar la</w:t>
      </w:r>
      <w:r>
        <w:rPr>
          <w:rStyle w:val="CharacterStyle4"/>
          <w:rFonts w:ascii="Garamond" w:hAnsi="Garamond" w:cs="Garamond"/>
          <w:spacing w:val="-1"/>
          <w:lang w:val="es-ES" w:eastAsia="es-ES"/>
        </w:rPr>
        <w:t xml:space="preserve"> nulidad absoluta por él alegada.</w:t>
      </w:r>
    </w:p>
    <w:p w:rsidR="00000000" w:rsidRDefault="00B84F03">
      <w:pPr>
        <w:pStyle w:val="Style5"/>
        <w:kinsoku w:val="0"/>
        <w:autoSpaceDE/>
        <w:autoSpaceDN/>
        <w:spacing w:before="216" w:line="228" w:lineRule="auto"/>
        <w:rPr>
          <w:rStyle w:val="CharacterStyle4"/>
          <w:rFonts w:ascii="Garamond" w:hAnsi="Garamond" w:cs="Garamond"/>
          <w:spacing w:val="-2"/>
          <w:lang w:val="es-ES" w:eastAsia="es-ES"/>
        </w:rPr>
      </w:pPr>
      <w:r>
        <w:rPr>
          <w:rStyle w:val="CharacterStyle4"/>
          <w:rFonts w:ascii="Garamond" w:hAnsi="Garamond" w:cs="Garamond"/>
          <w:spacing w:val="2"/>
          <w:lang w:val="es-ES" w:eastAsia="es-ES"/>
        </w:rPr>
        <w:t xml:space="preserve">Según la tesis del suscrito, misma que tiene fundamento en jurisprudencia de los </w:t>
      </w:r>
      <w:r>
        <w:rPr>
          <w:rStyle w:val="CharacterStyle4"/>
          <w:rFonts w:ascii="Garamond" w:hAnsi="Garamond" w:cs="Garamond"/>
          <w:spacing w:val="3"/>
          <w:lang w:val="es-ES" w:eastAsia="es-ES"/>
        </w:rPr>
        <w:t xml:space="preserve">Tribunales Contencioso Administrativos, cuando los impugnantes alegan en sus </w:t>
      </w:r>
      <w:r>
        <w:rPr>
          <w:rStyle w:val="CharacterStyle4"/>
          <w:rFonts w:ascii="Garamond" w:hAnsi="Garamond" w:cs="Garamond"/>
          <w:spacing w:val="-3"/>
          <w:lang w:val="es-ES" w:eastAsia="es-ES"/>
        </w:rPr>
        <w:t>recursos ordinarios la existencia de nulidades absolutas,</w:t>
      </w:r>
      <w:r>
        <w:rPr>
          <w:rStyle w:val="CharacterStyle4"/>
          <w:rFonts w:ascii="Garamond" w:hAnsi="Garamond" w:cs="Garamond"/>
          <w:spacing w:val="-3"/>
          <w:lang w:val="es-ES" w:eastAsia="es-ES"/>
        </w:rPr>
        <w:t xml:space="preserve"> este</w:t>
      </w:r>
      <w:r>
        <w:rPr>
          <w:rStyle w:val="CharacterStyle4"/>
          <w:rFonts w:ascii="Garamond" w:hAnsi="Garamond" w:cs="Garamond"/>
          <w:spacing w:val="-3"/>
          <w:lang w:val="es-ES" w:eastAsia="es-ES"/>
        </w:rPr>
        <w:t xml:space="preserve"> argumento obliga a--la </w:t>
      </w:r>
      <w:r>
        <w:rPr>
          <w:rStyle w:val="CharacterStyle4"/>
          <w:rFonts w:ascii="Garamond" w:hAnsi="Garamond" w:cs="Garamond"/>
          <w:spacing w:val="1"/>
          <w:lang w:val="es-ES" w:eastAsia="es-ES"/>
        </w:rPr>
        <w:t>Administración a valorar la existencia o no de ésta,</w:t>
      </w:r>
      <w:r>
        <w:rPr>
          <w:rStyle w:val="CharacterStyle4"/>
          <w:rFonts w:ascii="Bookman Old Style" w:hAnsi="Bookman Old Style" w:cs="Bookman Old Style"/>
          <w:spacing w:val="1"/>
          <w:vertAlign w:val="superscript"/>
          <w:lang w:val="es-ES" w:eastAsia="es-ES"/>
        </w:rPr>
        <w:t>-</w:t>
      </w:r>
      <w:r>
        <w:rPr>
          <w:rStyle w:val="CharacterStyle4"/>
          <w:rFonts w:ascii="Garamond" w:hAnsi="Garamond" w:cs="Garamond"/>
          <w:spacing w:val="1"/>
          <w:lang w:val="es-ES" w:eastAsia="es-ES"/>
        </w:rPr>
        <w:t xml:space="preserve">toda vez que en aplicación del </w:t>
      </w:r>
      <w:r>
        <w:rPr>
          <w:rStyle w:val="CharacterStyle4"/>
          <w:rFonts w:ascii="Garamond" w:hAnsi="Garamond" w:cs="Garamond"/>
          <w:lang w:val="es-ES" w:eastAsia="es-ES"/>
        </w:rPr>
        <w:t>numeral 175 de la Ley General de la Administración Pú</w:t>
      </w:r>
      <w:r>
        <w:rPr>
          <w:rStyle w:val="CharacterStyle4"/>
          <w:rFonts w:ascii="Garamond" w:hAnsi="Garamond" w:cs="Garamond"/>
          <w:lang w:val="es-ES" w:eastAsia="es-ES"/>
        </w:rPr>
        <w:t xml:space="preserve">blica, si existiera la nulidad absoluta alegada, el plazo para interponer los recursos se extiende por los cuatro años </w:t>
      </w:r>
      <w:r>
        <w:rPr>
          <w:rStyle w:val="CharacterStyle4"/>
          <w:rFonts w:ascii="Garamond" w:hAnsi="Garamond" w:cs="Garamond"/>
          <w:spacing w:val="2"/>
          <w:lang w:val="es-ES" w:eastAsia="es-ES"/>
        </w:rPr>
        <w:t xml:space="preserve">que establece la norma. Ahora bien, si la nulidad no fuese absoluta sino relativa, </w:t>
      </w:r>
      <w:r>
        <w:rPr>
          <w:rStyle w:val="CharacterStyle4"/>
          <w:rFonts w:ascii="Garamond" w:hAnsi="Garamond" w:cs="Garamond"/>
          <w:spacing w:val="-5"/>
          <w:lang w:val="es-ES" w:eastAsia="es-ES"/>
        </w:rPr>
        <w:t xml:space="preserve">entonces se puede declarar la extemporaneidad, ya que </w:t>
      </w:r>
      <w:r>
        <w:rPr>
          <w:rStyle w:val="CharacterStyle4"/>
          <w:rFonts w:ascii="Garamond" w:hAnsi="Garamond" w:cs="Garamond"/>
          <w:spacing w:val="-5"/>
          <w:lang w:val="es-ES" w:eastAsia="es-ES"/>
        </w:rPr>
        <w:t xml:space="preserve">la posibilidad de subsanación y </w:t>
      </w:r>
      <w:r>
        <w:rPr>
          <w:rStyle w:val="CharacterStyle4"/>
          <w:rFonts w:ascii="Garamond" w:hAnsi="Garamond" w:cs="Garamond"/>
          <w:spacing w:val="-3"/>
          <w:lang w:val="es-ES" w:eastAsia="es-ES"/>
        </w:rPr>
        <w:t xml:space="preserve">saneamiento de este tipo de vicio, depende de que los recursos sean interpuestos en los </w:t>
      </w:r>
      <w:r>
        <w:rPr>
          <w:rStyle w:val="CharacterStyle4"/>
          <w:rFonts w:ascii="Garamond" w:hAnsi="Garamond" w:cs="Garamond"/>
          <w:spacing w:val="-2"/>
          <w:lang w:val="es-ES" w:eastAsia="es-ES"/>
        </w:rPr>
        <w:t>plazos ordinarios señalados.</w:t>
      </w:r>
    </w:p>
    <w:p w:rsidR="00000000" w:rsidRDefault="00B84F03">
      <w:pPr>
        <w:pStyle w:val="Style5"/>
        <w:kinsoku w:val="0"/>
        <w:autoSpaceDE/>
        <w:autoSpaceDN/>
        <w:spacing w:before="288" w:line="230" w:lineRule="auto"/>
        <w:rPr>
          <w:rStyle w:val="CharacterStyle4"/>
          <w:rFonts w:ascii="Garamond" w:hAnsi="Garamond" w:cs="Garamond"/>
          <w:spacing w:val="-1"/>
          <w:lang w:val="es-ES" w:eastAsia="es-ES"/>
        </w:rPr>
      </w:pPr>
      <w:r>
        <w:rPr>
          <w:rStyle w:val="CharacterStyle4"/>
          <w:rFonts w:ascii="Garamond" w:hAnsi="Garamond" w:cs="Garamond"/>
          <w:spacing w:val="-4"/>
          <w:lang w:val="es-ES" w:eastAsia="es-ES"/>
        </w:rPr>
        <w:t xml:space="preserve">Ahora bien, dentro de esta línea de análisis, cuando en un recurso ordinario se alega la </w:t>
      </w:r>
      <w:r>
        <w:rPr>
          <w:rStyle w:val="CharacterStyle4"/>
          <w:rFonts w:ascii="Garamond" w:hAnsi="Garamond" w:cs="Garamond"/>
          <w:spacing w:val="1"/>
          <w:lang w:val="es-ES" w:eastAsia="es-ES"/>
        </w:rPr>
        <w:t xml:space="preserve">existencia de una </w:t>
      </w:r>
      <w:r>
        <w:rPr>
          <w:rStyle w:val="CharacterStyle4"/>
          <w:rFonts w:ascii="Garamond" w:hAnsi="Garamond" w:cs="Garamond"/>
          <w:spacing w:val="1"/>
          <w:lang w:val="es-ES" w:eastAsia="es-ES"/>
        </w:rPr>
        <w:t xml:space="preserve">nulidad absoluta, surge la necesidad para la Administración de hacer </w:t>
      </w:r>
      <w:r>
        <w:rPr>
          <w:rStyle w:val="CharacterStyle4"/>
          <w:rFonts w:ascii="Garamond" w:hAnsi="Garamond" w:cs="Garamond"/>
          <w:lang w:val="es-ES" w:eastAsia="es-ES"/>
        </w:rPr>
        <w:t xml:space="preserve">el análisis supra indicado y no limitarse a afirmar que el recurso es extemporáneo, ya </w:t>
      </w:r>
      <w:r>
        <w:rPr>
          <w:rStyle w:val="CharacterStyle4"/>
          <w:rFonts w:ascii="Garamond" w:hAnsi="Garamond" w:cs="Garamond"/>
          <w:spacing w:val="-2"/>
          <w:lang w:val="es-ES" w:eastAsia="es-ES"/>
        </w:rPr>
        <w:t xml:space="preserve">que de lo contrario el acto administrativo que así lo declara, carecería de motivación </w:t>
      </w:r>
      <w:r>
        <w:rPr>
          <w:rStyle w:val="CharacterStyle4"/>
          <w:rFonts w:ascii="Garamond" w:hAnsi="Garamond" w:cs="Garamond"/>
          <w:spacing w:val="-1"/>
          <w:lang w:val="es-ES" w:eastAsia="es-ES"/>
        </w:rPr>
        <w:t>suficiente, e</w:t>
      </w:r>
      <w:r>
        <w:rPr>
          <w:rStyle w:val="CharacterStyle4"/>
          <w:rFonts w:ascii="Garamond" w:hAnsi="Garamond" w:cs="Garamond"/>
          <w:spacing w:val="-1"/>
          <w:lang w:val="es-ES" w:eastAsia="es-ES"/>
        </w:rPr>
        <w:t>n detrimento de los derechos legales y constitucionales del recurrente.</w:t>
      </w:r>
    </w:p>
    <w:p w:rsidR="00000000" w:rsidRDefault="00B84F03">
      <w:pPr>
        <w:pStyle w:val="Style5"/>
        <w:kinsoku w:val="0"/>
        <w:autoSpaceDE/>
        <w:autoSpaceDN/>
        <w:spacing w:before="288"/>
        <w:rPr>
          <w:rStyle w:val="CharacterStyle4"/>
          <w:rFonts w:ascii="Garamond" w:hAnsi="Garamond" w:cs="Garamond"/>
          <w:lang w:val="es-ES" w:eastAsia="es-ES"/>
        </w:rPr>
      </w:pPr>
      <w:r>
        <w:rPr>
          <w:rStyle w:val="CharacterStyle4"/>
          <w:rFonts w:ascii="Garamond" w:hAnsi="Garamond" w:cs="Garamond"/>
          <w:spacing w:val="-1"/>
          <w:lang w:val="es-ES" w:eastAsia="es-ES"/>
        </w:rPr>
        <w:t xml:space="preserve">La Sala Primera de la Corte Suprema de Justicia, en jurisprudencia reiterada ha ofrecido </w:t>
      </w:r>
      <w:r>
        <w:rPr>
          <w:rStyle w:val="CharacterStyle4"/>
          <w:rFonts w:ascii="Garamond" w:hAnsi="Garamond" w:cs="Garamond"/>
          <w:spacing w:val="-3"/>
          <w:lang w:val="es-ES" w:eastAsia="es-ES"/>
        </w:rPr>
        <w:t xml:space="preserve">la interpretación que pretendemos a lo establecido en el numeral 175 citado, veamos una </w:t>
      </w:r>
      <w:r>
        <w:rPr>
          <w:rStyle w:val="CharacterStyle4"/>
          <w:rFonts w:ascii="Garamond" w:hAnsi="Garamond" w:cs="Garamond"/>
          <w:lang w:val="es-ES" w:eastAsia="es-ES"/>
        </w:rPr>
        <w:t>de esta</w:t>
      </w:r>
      <w:r>
        <w:rPr>
          <w:rStyle w:val="CharacterStyle4"/>
          <w:rFonts w:ascii="Garamond" w:hAnsi="Garamond" w:cs="Garamond"/>
          <w:lang w:val="es-ES" w:eastAsia="es-ES"/>
        </w:rPr>
        <w:t>s resoluciones:</w:t>
      </w:r>
    </w:p>
    <w:p w:rsidR="00000000" w:rsidRDefault="00B84F03" w:rsidP="00AE7661">
      <w:pPr>
        <w:pStyle w:val="Style6"/>
        <w:tabs>
          <w:tab w:val="right" w:pos="7504"/>
        </w:tabs>
        <w:kinsoku w:val="0"/>
        <w:autoSpaceDE/>
        <w:autoSpaceDN/>
        <w:adjustRightInd/>
        <w:ind w:left="851" w:right="851"/>
        <w:jc w:val="both"/>
        <w:rPr>
          <w:rStyle w:val="CharacterStyle5"/>
          <w:rFonts w:ascii="Garamond" w:hAnsi="Garamond" w:cs="Garamond"/>
          <w:spacing w:val="-2"/>
          <w:sz w:val="24"/>
          <w:szCs w:val="24"/>
          <w:lang w:val="es-ES" w:eastAsia="es-ES"/>
        </w:rPr>
      </w:pPr>
      <w:r>
        <w:rPr>
          <w:rStyle w:val="CharacterStyle5"/>
          <w:rFonts w:ascii="Garamond" w:hAnsi="Garamond" w:cs="Garamond"/>
          <w:spacing w:val="-6"/>
          <w:sz w:val="24"/>
          <w:szCs w:val="24"/>
          <w:lang w:val="es-ES" w:eastAsia="es-ES"/>
        </w:rPr>
        <w:t>"III.-</w:t>
      </w:r>
      <w:r>
        <w:rPr>
          <w:rStyle w:val="CharacterStyle5"/>
          <w:rFonts w:ascii="Garamond" w:hAnsi="Garamond" w:cs="Garamond"/>
          <w:spacing w:val="-6"/>
          <w:sz w:val="24"/>
          <w:szCs w:val="24"/>
          <w:lang w:val="es-ES" w:eastAsia="es-ES"/>
        </w:rPr>
        <w:tab/>
      </w:r>
      <w:r>
        <w:rPr>
          <w:rStyle w:val="CharacterStyle5"/>
          <w:rFonts w:ascii="Garamond" w:hAnsi="Garamond" w:cs="Garamond"/>
          <w:spacing w:val="16"/>
          <w:sz w:val="24"/>
          <w:szCs w:val="24"/>
          <w:lang w:val="es-ES" w:eastAsia="es-ES"/>
        </w:rPr>
        <w:t>El artículo 21.2 de la ley de comentario, permite la</w:t>
      </w:r>
      <w:r w:rsidR="00AE7661">
        <w:rPr>
          <w:rStyle w:val="CharacterStyle5"/>
          <w:rFonts w:ascii="Garamond" w:hAnsi="Garamond" w:cs="Garamond"/>
          <w:spacing w:val="16"/>
          <w:sz w:val="24"/>
          <w:szCs w:val="24"/>
          <w:lang w:val="es-ES" w:eastAsia="es-ES"/>
        </w:rPr>
        <w:t xml:space="preserve"> </w:t>
      </w:r>
      <w:r>
        <w:rPr>
          <w:rStyle w:val="CharacterStyle5"/>
          <w:rFonts w:ascii="Garamond" w:hAnsi="Garamond" w:cs="Garamond"/>
          <w:spacing w:val="-5"/>
          <w:sz w:val="24"/>
          <w:szCs w:val="24"/>
          <w:lang w:val="es-ES" w:eastAsia="es-ES"/>
        </w:rPr>
        <w:t xml:space="preserve">impugnación de los actos consentidos, confirmatorios y </w:t>
      </w:r>
      <w:proofErr w:type="spellStart"/>
      <w:r>
        <w:rPr>
          <w:rStyle w:val="CharacterStyle5"/>
          <w:rFonts w:ascii="Garamond" w:hAnsi="Garamond" w:cs="Garamond"/>
          <w:spacing w:val="-5"/>
          <w:sz w:val="24"/>
          <w:szCs w:val="24"/>
          <w:lang w:val="es-ES" w:eastAsia="es-ES"/>
        </w:rPr>
        <w:t>reproductorios</w:t>
      </w:r>
      <w:proofErr w:type="spellEnd"/>
      <w:r>
        <w:rPr>
          <w:rStyle w:val="CharacterStyle5"/>
          <w:rFonts w:ascii="Garamond" w:hAnsi="Garamond" w:cs="Garamond"/>
          <w:spacing w:val="-5"/>
          <w:sz w:val="24"/>
          <w:szCs w:val="24"/>
          <w:lang w:val="es-ES" w:eastAsia="es-ES"/>
        </w:rPr>
        <w:t xml:space="preserve">, que </w:t>
      </w:r>
      <w:r>
        <w:rPr>
          <w:rStyle w:val="CharacterStyle5"/>
          <w:rFonts w:ascii="Garamond" w:hAnsi="Garamond" w:cs="Garamond"/>
          <w:spacing w:val="-4"/>
          <w:sz w:val="24"/>
          <w:szCs w:val="24"/>
          <w:lang w:val="es-ES" w:eastAsia="es-ES"/>
        </w:rPr>
        <w:t>menciona el inciso a) del párrafo 1°, cuando fueron nulos de pleno derecho y está</w:t>
      </w:r>
      <w:r>
        <w:rPr>
          <w:rStyle w:val="CharacterStyle5"/>
          <w:rFonts w:ascii="Garamond" w:hAnsi="Garamond" w:cs="Garamond"/>
          <w:spacing w:val="-4"/>
          <w:sz w:val="24"/>
          <w:szCs w:val="24"/>
          <w:lang w:val="es-ES" w:eastAsia="es-ES"/>
        </w:rPr>
        <w:t xml:space="preserve">n surtiendo efectos. Por su parte el artículo 175 de la Ley General de la </w:t>
      </w:r>
      <w:r>
        <w:rPr>
          <w:rStyle w:val="CharacterStyle5"/>
          <w:rFonts w:ascii="Garamond" w:hAnsi="Garamond" w:cs="Garamond"/>
          <w:spacing w:val="-2"/>
          <w:sz w:val="24"/>
          <w:szCs w:val="24"/>
          <w:lang w:val="es-ES" w:eastAsia="es-ES"/>
        </w:rPr>
        <w:t xml:space="preserve">Administración Pública, establece un plazo de cuatro años para impugnar en </w:t>
      </w:r>
      <w:r>
        <w:rPr>
          <w:rStyle w:val="CharacterStyle5"/>
          <w:rFonts w:ascii="Garamond" w:hAnsi="Garamond" w:cs="Garamond"/>
          <w:sz w:val="24"/>
          <w:szCs w:val="24"/>
          <w:lang w:val="es-ES" w:eastAsia="es-ES"/>
        </w:rPr>
        <w:t xml:space="preserve">vía administrativa o judicial el acto absolutamente nulo, sin que se apliquen </w:t>
      </w:r>
      <w:r>
        <w:rPr>
          <w:rStyle w:val="CharacterStyle5"/>
          <w:rFonts w:ascii="Garamond" w:hAnsi="Garamond" w:cs="Garamond"/>
          <w:spacing w:val="-1"/>
          <w:sz w:val="24"/>
          <w:szCs w:val="24"/>
          <w:lang w:val="es-ES" w:eastAsia="es-ES"/>
        </w:rPr>
        <w:t>al respecto los plazos normal</w:t>
      </w:r>
      <w:r>
        <w:rPr>
          <w:rStyle w:val="CharacterStyle5"/>
          <w:rFonts w:ascii="Garamond" w:hAnsi="Garamond" w:cs="Garamond"/>
          <w:spacing w:val="-1"/>
          <w:sz w:val="24"/>
          <w:szCs w:val="24"/>
          <w:lang w:val="es-ES" w:eastAsia="es-ES"/>
        </w:rPr>
        <w:t xml:space="preserve">es de caducidad (dos meses y un año, artículo </w:t>
      </w:r>
      <w:r>
        <w:rPr>
          <w:rStyle w:val="CharacterStyle5"/>
          <w:rFonts w:ascii="Garamond" w:hAnsi="Garamond" w:cs="Garamond"/>
          <w:spacing w:val="-3"/>
          <w:sz w:val="24"/>
          <w:szCs w:val="24"/>
          <w:lang w:val="es-ES" w:eastAsia="es-ES"/>
        </w:rPr>
        <w:t xml:space="preserve">37). Si los actos que se pretende impugnar se encuentran en los supuestos </w:t>
      </w:r>
      <w:r>
        <w:rPr>
          <w:rStyle w:val="CharacterStyle5"/>
          <w:rFonts w:ascii="Garamond" w:hAnsi="Garamond" w:cs="Garamond"/>
          <w:sz w:val="24"/>
          <w:szCs w:val="24"/>
          <w:lang w:val="es-ES" w:eastAsia="es-ES"/>
        </w:rPr>
        <w:t xml:space="preserve">anteriores, porque caducaron los plazos normales para su impugnación, no </w:t>
      </w:r>
      <w:r>
        <w:rPr>
          <w:rStyle w:val="CharacterStyle5"/>
          <w:rFonts w:ascii="Garamond" w:hAnsi="Garamond" w:cs="Garamond"/>
          <w:spacing w:val="1"/>
          <w:sz w:val="24"/>
          <w:szCs w:val="24"/>
          <w:lang w:val="es-ES" w:eastAsia="es-ES"/>
        </w:rPr>
        <w:t xml:space="preserve">es posible utilizar la ampliación de la demanda prevista en el </w:t>
      </w:r>
      <w:r>
        <w:rPr>
          <w:rStyle w:val="CharacterStyle5"/>
          <w:rFonts w:ascii="Garamond" w:hAnsi="Garamond" w:cs="Garamond"/>
          <w:spacing w:val="1"/>
          <w:sz w:val="24"/>
          <w:szCs w:val="24"/>
          <w:lang w:val="es-ES" w:eastAsia="es-ES"/>
        </w:rPr>
        <w:t xml:space="preserve">artículo 27.1 </w:t>
      </w:r>
      <w:r>
        <w:rPr>
          <w:rStyle w:val="CharacterStyle5"/>
          <w:rFonts w:ascii="Garamond" w:hAnsi="Garamond" w:cs="Garamond"/>
          <w:spacing w:val="-4"/>
          <w:sz w:val="24"/>
          <w:szCs w:val="24"/>
          <w:lang w:val="es-ES" w:eastAsia="es-ES"/>
        </w:rPr>
        <w:t xml:space="preserve">sino que, deben impugnarse mediante proceso autónomo. Por esa razón no </w:t>
      </w:r>
      <w:r>
        <w:rPr>
          <w:rStyle w:val="CharacterStyle5"/>
          <w:rFonts w:ascii="Garamond" w:hAnsi="Garamond" w:cs="Garamond"/>
          <w:spacing w:val="-1"/>
          <w:sz w:val="24"/>
          <w:szCs w:val="24"/>
          <w:lang w:val="es-ES" w:eastAsia="es-ES"/>
        </w:rPr>
        <w:t xml:space="preserve">resulta violado el artículo 21.2 al denegarse la solicitud de la actora en la </w:t>
      </w:r>
      <w:r>
        <w:rPr>
          <w:rStyle w:val="CharacterStyle5"/>
          <w:rFonts w:ascii="Garamond" w:hAnsi="Garamond" w:cs="Garamond"/>
          <w:spacing w:val="4"/>
          <w:sz w:val="24"/>
          <w:szCs w:val="24"/>
          <w:lang w:val="es-ES" w:eastAsia="es-ES"/>
        </w:rPr>
        <w:t xml:space="preserve">resolución..." </w:t>
      </w:r>
      <w:r w:rsidRPr="00AE7661">
        <w:rPr>
          <w:rStyle w:val="CharacterStyle5"/>
          <w:rFonts w:ascii="Garamond" w:hAnsi="Garamond" w:cs="Garamond"/>
          <w:b/>
          <w:spacing w:val="4"/>
          <w:sz w:val="24"/>
          <w:szCs w:val="24"/>
          <w:lang w:val="es-ES" w:eastAsia="es-ES"/>
        </w:rPr>
        <w:t xml:space="preserve">Resolución No. 124 SALA PRIMERA DE LA CORTE </w:t>
      </w:r>
      <w:r w:rsidRPr="00AE7661">
        <w:rPr>
          <w:rStyle w:val="CharacterStyle5"/>
          <w:rFonts w:ascii="Garamond" w:hAnsi="Garamond" w:cs="Garamond"/>
          <w:b/>
          <w:spacing w:val="1"/>
          <w:sz w:val="24"/>
          <w:szCs w:val="24"/>
          <w:lang w:val="es-ES" w:eastAsia="es-ES"/>
        </w:rPr>
        <w:t xml:space="preserve">SUPREMA DE JUSTICIA.- </w:t>
      </w:r>
      <w:r>
        <w:rPr>
          <w:rStyle w:val="CharacterStyle5"/>
          <w:rFonts w:ascii="Garamond" w:hAnsi="Garamond" w:cs="Garamond"/>
          <w:spacing w:val="1"/>
          <w:sz w:val="24"/>
          <w:szCs w:val="24"/>
          <w:lang w:val="es-ES" w:eastAsia="es-ES"/>
        </w:rPr>
        <w:t xml:space="preserve">San José, a </w:t>
      </w:r>
      <w:r>
        <w:rPr>
          <w:rStyle w:val="CharacterStyle5"/>
          <w:rFonts w:ascii="Garamond" w:hAnsi="Garamond" w:cs="Garamond"/>
          <w:spacing w:val="1"/>
          <w:sz w:val="24"/>
          <w:szCs w:val="24"/>
          <w:lang w:val="es-ES" w:eastAsia="es-ES"/>
        </w:rPr>
        <w:t xml:space="preserve">las catorce horas treinta </w:t>
      </w:r>
      <w:r>
        <w:rPr>
          <w:rStyle w:val="CharacterStyle5"/>
          <w:rFonts w:ascii="Garamond" w:hAnsi="Garamond" w:cs="Garamond"/>
          <w:spacing w:val="1"/>
          <w:sz w:val="24"/>
          <w:szCs w:val="24"/>
          <w:lang w:val="es-ES" w:eastAsia="es-ES"/>
        </w:rPr>
        <w:lastRenderedPageBreak/>
        <w:t xml:space="preserve">minutos </w:t>
      </w:r>
      <w:r>
        <w:rPr>
          <w:rStyle w:val="CharacterStyle5"/>
          <w:rFonts w:ascii="Garamond" w:hAnsi="Garamond" w:cs="Garamond"/>
          <w:spacing w:val="-2"/>
          <w:sz w:val="24"/>
          <w:szCs w:val="24"/>
          <w:lang w:val="es-ES" w:eastAsia="es-ES"/>
        </w:rPr>
        <w:t>del veinticinco de abril de mil novecientos noventa</w:t>
      </w:r>
    </w:p>
    <w:p w:rsidR="00AE7661" w:rsidRDefault="00AE7661" w:rsidP="00AE7661">
      <w:pPr>
        <w:pStyle w:val="Style7"/>
        <w:kinsoku w:val="0"/>
        <w:autoSpaceDE/>
        <w:autoSpaceDN/>
        <w:spacing w:before="0" w:line="218" w:lineRule="auto"/>
        <w:rPr>
          <w:rStyle w:val="CharacterStyle6"/>
          <w:rFonts w:ascii="Garamond" w:hAnsi="Garamond" w:cs="Garamond"/>
          <w:spacing w:val="-6"/>
          <w:lang w:val="es-ES" w:eastAsia="es-ES"/>
        </w:rPr>
      </w:pPr>
    </w:p>
    <w:p w:rsidR="00000000" w:rsidRDefault="00B84F03" w:rsidP="00AE7661">
      <w:pPr>
        <w:pStyle w:val="Style7"/>
        <w:kinsoku w:val="0"/>
        <w:autoSpaceDE/>
        <w:autoSpaceDN/>
        <w:spacing w:before="0" w:line="218" w:lineRule="auto"/>
        <w:rPr>
          <w:rStyle w:val="CharacterStyle6"/>
          <w:rFonts w:ascii="Garamond" w:hAnsi="Garamond" w:cs="Garamond"/>
          <w:spacing w:val="-8"/>
          <w:lang w:val="es-ES" w:eastAsia="es-ES"/>
        </w:rPr>
      </w:pPr>
      <w:r>
        <w:rPr>
          <w:rStyle w:val="CharacterStyle6"/>
          <w:rFonts w:ascii="Garamond" w:hAnsi="Garamond" w:cs="Garamond"/>
          <w:spacing w:val="-6"/>
          <w:lang w:val="es-ES" w:eastAsia="es-ES"/>
        </w:rPr>
        <w:t xml:space="preserve">Así las cosas, el argumento antes expuesto, lleva al suscrito a entrar a analizar el caso 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concreto presentado por José Fausto Carmona Alvarado, quien impugna el acuerdo </w:t>
      </w:r>
      <w:r>
        <w:rPr>
          <w:rStyle w:val="CharacterStyle6"/>
          <w:rFonts w:ascii="Garamond" w:hAnsi="Garamond" w:cs="Garamond"/>
          <w:spacing w:val="-7"/>
          <w:lang w:val="es-ES" w:eastAsia="es-ES"/>
        </w:rPr>
        <w:t xml:space="preserve">dictado por la Comisión Técnica de Transportes No. 16 de la sesión No.3022 de 7 de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febrero de 1996, el que se dicta como reacción del voto de la Sala Constitucional No. 1995-05369, de las nueve horas cuarenta y cinco minutos del veintinueve de setiembre </w:t>
      </w:r>
      <w:r>
        <w:rPr>
          <w:rStyle w:val="CharacterStyle6"/>
          <w:rFonts w:ascii="Garamond" w:hAnsi="Garamond" w:cs="Garamond"/>
          <w:spacing w:val="-8"/>
          <w:lang w:val="es-ES" w:eastAsia="es-ES"/>
        </w:rPr>
        <w:t>de</w:t>
      </w:r>
      <w:r>
        <w:rPr>
          <w:rStyle w:val="CharacterStyle6"/>
          <w:rFonts w:ascii="Garamond" w:hAnsi="Garamond" w:cs="Garamond"/>
          <w:spacing w:val="-8"/>
          <w:lang w:val="es-ES" w:eastAsia="es-ES"/>
        </w:rPr>
        <w:t xml:space="preserve"> mil novecientos noventa y cinco.</w:t>
      </w:r>
    </w:p>
    <w:p w:rsidR="00000000" w:rsidRDefault="00B84F03">
      <w:pPr>
        <w:pStyle w:val="Style7"/>
        <w:kinsoku w:val="0"/>
        <w:autoSpaceDE/>
        <w:autoSpaceDN/>
        <w:rPr>
          <w:rStyle w:val="CharacterStyle6"/>
          <w:rFonts w:ascii="Garamond" w:hAnsi="Garamond" w:cs="Garamond"/>
          <w:spacing w:val="-9"/>
          <w:lang w:val="es-ES" w:eastAsia="es-ES"/>
        </w:rPr>
      </w:pPr>
      <w:r>
        <w:rPr>
          <w:rStyle w:val="CharacterStyle6"/>
          <w:rFonts w:ascii="Garamond" w:hAnsi="Garamond" w:cs="Garamond"/>
          <w:spacing w:val="-7"/>
          <w:lang w:val="es-ES" w:eastAsia="es-ES"/>
        </w:rPr>
        <w:t xml:space="preserve">Sobre el particular, el principal argumento del señor Carmona Alvarado, es que frente al </w:t>
      </w:r>
      <w:r>
        <w:rPr>
          <w:rStyle w:val="CharacterStyle6"/>
          <w:rFonts w:ascii="Garamond" w:hAnsi="Garamond" w:cs="Garamond"/>
          <w:spacing w:val="-9"/>
          <w:lang w:val="es-ES" w:eastAsia="es-ES"/>
        </w:rPr>
        <w:t xml:space="preserve">voto de la Sala Constitucional que resolvía el recurso de amparo presentado por el señor </w:t>
      </w:r>
      <w:r>
        <w:rPr>
          <w:rStyle w:val="CharacterStyle6"/>
          <w:rFonts w:ascii="Garamond" w:hAnsi="Garamond" w:cs="Garamond"/>
          <w:spacing w:val="-3"/>
          <w:lang w:val="es-ES" w:eastAsia="es-ES"/>
        </w:rPr>
        <w:t>B</w:t>
      </w:r>
      <w:r w:rsidR="00711573">
        <w:rPr>
          <w:rStyle w:val="CharacterStyle6"/>
          <w:rFonts w:ascii="Garamond" w:hAnsi="Garamond" w:cs="Garamond"/>
          <w:spacing w:val="-3"/>
          <w:lang w:val="es-ES" w:eastAsia="es-ES"/>
        </w:rPr>
        <w:t>CL</w:t>
      </w:r>
      <w:r>
        <w:rPr>
          <w:rStyle w:val="CharacterStyle6"/>
          <w:rFonts w:ascii="Garamond" w:hAnsi="Garamond" w:cs="Garamond"/>
          <w:spacing w:val="-3"/>
          <w:lang w:val="es-ES" w:eastAsia="es-ES"/>
        </w:rPr>
        <w:t>, la única obligación</w:t>
      </w:r>
      <w:r>
        <w:rPr>
          <w:rStyle w:val="CharacterStyle6"/>
          <w:rFonts w:ascii="Garamond" w:hAnsi="Garamond" w:cs="Garamond"/>
          <w:spacing w:val="-3"/>
          <w:lang w:val="es-ES" w:eastAsia="es-ES"/>
        </w:rPr>
        <w:t xml:space="preserve"> de la referida Comisión Técnica, era 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contestar la gestión presentada por el señor Chavarría y que más allá de esa obligación, </w:t>
      </w:r>
      <w:r>
        <w:rPr>
          <w:rStyle w:val="CharacterStyle6"/>
          <w:rFonts w:ascii="Garamond" w:hAnsi="Garamond" w:cs="Garamond"/>
          <w:spacing w:val="-6"/>
          <w:lang w:val="es-ES" w:eastAsia="es-ES"/>
        </w:rPr>
        <w:t xml:space="preserve">la Comisión Técnica de Transporte, otorga el permiso de la ruta No. 403 a dicho señor, </w:t>
      </w:r>
      <w:r>
        <w:rPr>
          <w:rStyle w:val="CharacterStyle6"/>
          <w:rFonts w:ascii="Garamond" w:hAnsi="Garamond" w:cs="Garamond"/>
          <w:spacing w:val="-9"/>
          <w:lang w:val="es-ES" w:eastAsia="es-ES"/>
        </w:rPr>
        <w:t>en perjuicio de sus derechos.</w:t>
      </w:r>
    </w:p>
    <w:p w:rsidR="00000000" w:rsidRDefault="00B84F03">
      <w:pPr>
        <w:pStyle w:val="Style7"/>
        <w:kinsoku w:val="0"/>
        <w:autoSpaceDE/>
        <w:autoSpaceDN/>
        <w:spacing w:line="223" w:lineRule="auto"/>
        <w:rPr>
          <w:rStyle w:val="CharacterStyle6"/>
          <w:rFonts w:ascii="Garamond" w:hAnsi="Garamond" w:cs="Garamond"/>
          <w:spacing w:val="-6"/>
          <w:lang w:val="es-ES" w:eastAsia="es-ES"/>
        </w:rPr>
      </w:pPr>
      <w:r>
        <w:rPr>
          <w:rStyle w:val="CharacterStyle6"/>
          <w:rFonts w:ascii="Garamond" w:hAnsi="Garamond" w:cs="Garamond"/>
          <w:spacing w:val="-4"/>
          <w:lang w:val="es-ES" w:eastAsia="es-ES"/>
        </w:rPr>
        <w:t>Estima el su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scrito que el recurso presentado por el señor </w:t>
      </w:r>
      <w:r w:rsidR="00711573">
        <w:rPr>
          <w:rStyle w:val="CharacterStyle6"/>
          <w:rFonts w:ascii="Garamond" w:hAnsi="Garamond" w:cs="Garamond"/>
          <w:spacing w:val="-4"/>
          <w:lang w:val="es-ES" w:eastAsia="es-ES"/>
        </w:rPr>
        <w:t>FCA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, </w:t>
      </w:r>
      <w:r>
        <w:rPr>
          <w:rStyle w:val="CharacterStyle6"/>
          <w:rFonts w:ascii="Garamond" w:hAnsi="Garamond" w:cs="Garamond"/>
          <w:spacing w:val="-6"/>
          <w:lang w:val="es-ES" w:eastAsia="es-ES"/>
        </w:rPr>
        <w:t>debe declarase sin lugar por los siguientes argumentos:</w:t>
      </w:r>
    </w:p>
    <w:p w:rsidR="00000000" w:rsidRDefault="00B84F03">
      <w:pPr>
        <w:pStyle w:val="Style7"/>
        <w:kinsoku w:val="0"/>
        <w:autoSpaceDE/>
        <w:autoSpaceDN/>
        <w:rPr>
          <w:rStyle w:val="CharacterStyle6"/>
          <w:rFonts w:ascii="Garamond" w:hAnsi="Garamond" w:cs="Garamond"/>
          <w:spacing w:val="-6"/>
          <w:lang w:val="es-ES" w:eastAsia="es-ES"/>
        </w:rPr>
      </w:pP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La Sala Constitucional mediante voto No. 1995-05369, de las nueve horas cuarenta y </w:t>
      </w:r>
      <w:r>
        <w:rPr>
          <w:rStyle w:val="CharacterStyle6"/>
          <w:rFonts w:ascii="Garamond" w:hAnsi="Garamond" w:cs="Garamond"/>
          <w:spacing w:val="-9"/>
          <w:lang w:val="es-ES" w:eastAsia="es-ES"/>
        </w:rPr>
        <w:t xml:space="preserve">cinco minutos del veintinueve de setiembre de </w:t>
      </w:r>
      <w:r>
        <w:rPr>
          <w:rStyle w:val="CharacterStyle6"/>
          <w:rFonts w:ascii="Garamond" w:hAnsi="Garamond" w:cs="Garamond"/>
          <w:spacing w:val="-9"/>
          <w:lang w:val="es-ES" w:eastAsia="es-ES"/>
        </w:rPr>
        <w:t xml:space="preserve">mil novecientos noventa y cinco, no solo 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dispuso a la Comisión Técnica de Transportes, contestar la gestión presentada por el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señor </w:t>
      </w:r>
      <w:r w:rsidR="00711573">
        <w:rPr>
          <w:rStyle w:val="CharacterStyle6"/>
          <w:rFonts w:ascii="Garamond" w:hAnsi="Garamond" w:cs="Garamond"/>
          <w:spacing w:val="-5"/>
          <w:lang w:val="es-ES" w:eastAsia="es-ES"/>
        </w:rPr>
        <w:t>CL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 — lo que no deja de ser importante dentro del contexto del </w:t>
      </w:r>
      <w:r>
        <w:rPr>
          <w:rStyle w:val="CharacterStyle6"/>
          <w:rFonts w:ascii="Garamond" w:hAnsi="Garamond" w:cs="Garamond"/>
          <w:spacing w:val="-8"/>
          <w:lang w:val="es-ES" w:eastAsia="es-ES"/>
        </w:rPr>
        <w:t>presenta asunto, si estimamos que el solo hecho d</w:t>
      </w:r>
      <w:r>
        <w:rPr>
          <w:rStyle w:val="CharacterStyle6"/>
          <w:rFonts w:ascii="Garamond" w:hAnsi="Garamond" w:cs="Garamond"/>
          <w:spacing w:val="-8"/>
          <w:lang w:val="es-ES" w:eastAsia="es-ES"/>
        </w:rPr>
        <w:t xml:space="preserve">e que la Sala al reconocer el derecho a </w:t>
      </w:r>
      <w:r>
        <w:rPr>
          <w:rStyle w:val="CharacterStyle6"/>
          <w:rFonts w:ascii="Garamond" w:hAnsi="Garamond" w:cs="Garamond"/>
          <w:spacing w:val="-3"/>
          <w:lang w:val="es-ES" w:eastAsia="es-ES"/>
        </w:rPr>
        <w:t>recibir respuesta sobre la gestión de cambio de flota, está legitimando al dicho señor-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>sino que además, la Sala está declarando con lugar el recurso por violación al debido proceso, según el punto segundo de la parte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 dispositiva de citado fallo. Esta última </w:t>
      </w:r>
      <w:r>
        <w:rPr>
          <w:rStyle w:val="CharacterStyle6"/>
          <w:rFonts w:ascii="Garamond" w:hAnsi="Garamond" w:cs="Garamond"/>
          <w:spacing w:val="-6"/>
          <w:lang w:val="es-ES" w:eastAsia="es-ES"/>
        </w:rPr>
        <w:t xml:space="preserve">afirmación, debe integrarse al considerando segundo de la resolución No. 1995-5369, en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la que la Sala establece que la aclaración y o modificación que pretendió la comisión 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>mediante acuerdo No. 14 de la sesión ordi</w:t>
      </w:r>
      <w:r>
        <w:rPr>
          <w:rStyle w:val="CharacterStyle6"/>
          <w:rFonts w:ascii="Garamond" w:hAnsi="Garamond" w:cs="Garamond"/>
          <w:spacing w:val="-4"/>
          <w:lang w:val="es-ES" w:eastAsia="es-ES"/>
        </w:rPr>
        <w:t xml:space="preserve">naria No. 2992 del 9 de agosto de 1995, no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fue en realidad una aclaración del acuerdo de cita, sino una revocación del permiso que </w:t>
      </w:r>
      <w:r>
        <w:rPr>
          <w:rStyle w:val="CharacterStyle6"/>
          <w:rFonts w:ascii="Garamond" w:hAnsi="Garamond" w:cs="Garamond"/>
          <w:spacing w:val="-2"/>
          <w:lang w:val="es-ES" w:eastAsia="es-ES"/>
        </w:rPr>
        <w:t xml:space="preserve">se le había otorgado al recurrente en el acuerdo que se pretendía aclarar, todo en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>contravención del artículo 154 de la Ley G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eneral de la Administración Pública, que </w:t>
      </w:r>
      <w:r>
        <w:rPr>
          <w:rStyle w:val="CharacterStyle6"/>
          <w:rFonts w:ascii="Garamond" w:hAnsi="Garamond" w:cs="Garamond"/>
          <w:spacing w:val="-6"/>
          <w:lang w:val="es-ES" w:eastAsia="es-ES"/>
        </w:rPr>
        <w:t>establece que la revocatoria no podrá ser intempestiva ni arbitraria.</w:t>
      </w:r>
    </w:p>
    <w:p w:rsidR="00000000" w:rsidRDefault="00B84F03" w:rsidP="00B84F03">
      <w:pPr>
        <w:pStyle w:val="Style7"/>
        <w:kinsoku w:val="0"/>
        <w:autoSpaceDE/>
        <w:autoSpaceDN/>
        <w:rPr>
          <w:rStyle w:val="CharacterStyle6"/>
          <w:rFonts w:ascii="Garamond" w:hAnsi="Garamond" w:cs="Garamond"/>
          <w:spacing w:val="-1"/>
          <w:lang w:val="es-ES" w:eastAsia="es-ES"/>
        </w:rPr>
      </w:pP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Así las cosas, el acuerdo No. 16 de la sesión No.3022 de 7 de febrero de 1996, aquí impugnado, no contiene la nulidad absoluta que el recurrente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alega, toda vez, que el </w:t>
      </w:r>
      <w:r>
        <w:rPr>
          <w:rStyle w:val="CharacterStyle6"/>
          <w:rFonts w:ascii="Garamond" w:hAnsi="Garamond" w:cs="Garamond"/>
          <w:spacing w:val="3"/>
          <w:lang w:val="es-ES" w:eastAsia="es-ES"/>
        </w:rPr>
        <w:t xml:space="preserve">otorgamiento del permiso de la ruta No. 403, al señor Chavarría López, es la </w:t>
      </w:r>
      <w:r>
        <w:rPr>
          <w:rStyle w:val="CharacterStyle6"/>
          <w:rFonts w:ascii="Garamond" w:hAnsi="Garamond" w:cs="Garamond"/>
          <w:spacing w:val="-2"/>
          <w:lang w:val="es-ES" w:eastAsia="es-ES"/>
        </w:rPr>
        <w:t xml:space="preserve">consecuencia de una resolución de la Sala Constitucional, que frente la existencia de 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>una violación al debido proceso, contiene la obligación de la Adminis</w:t>
      </w:r>
      <w:r>
        <w:rPr>
          <w:rStyle w:val="CharacterStyle6"/>
          <w:rFonts w:ascii="Garamond" w:hAnsi="Garamond" w:cs="Garamond"/>
          <w:spacing w:val="-5"/>
          <w:lang w:val="es-ES" w:eastAsia="es-ES"/>
        </w:rPr>
        <w:t xml:space="preserve">tración de restituir </w:t>
      </w:r>
      <w:r>
        <w:rPr>
          <w:rStyle w:val="CharacterStyle6"/>
          <w:rFonts w:ascii="Garamond" w:hAnsi="Garamond" w:cs="Garamond"/>
          <w:spacing w:val="-14"/>
          <w:lang w:val="es-ES" w:eastAsia="es-ES"/>
        </w:rPr>
        <w:t xml:space="preserve">el derecho, sin perjuicio de dictar un nuevo acto administrativo que </w:t>
      </w:r>
      <w:r>
        <w:rPr>
          <w:rStyle w:val="CharacterStyle6"/>
          <w:rFonts w:ascii="Garamond" w:hAnsi="Garamond" w:cs="Garamond"/>
          <w:spacing w:val="-14"/>
          <w:lang w:val="es-ES" w:eastAsia="es-ES"/>
        </w:rPr>
        <w:t xml:space="preserve">con todos los </w:t>
      </w:r>
      <w:r>
        <w:rPr>
          <w:rStyle w:val="CharacterStyle6"/>
          <w:rFonts w:ascii="Garamond" w:hAnsi="Garamond" w:cs="Garamond"/>
          <w:spacing w:val="-1"/>
          <w:lang w:val="es-ES" w:eastAsia="es-ES"/>
        </w:rPr>
        <w:t xml:space="preserve">elementos formales y sustanciales que permitan resolver en derecho la situación que se plantea. </w:t>
      </w:r>
    </w:p>
    <w:p w:rsidR="00B84F03" w:rsidRDefault="00B84F03" w:rsidP="00B84F03">
      <w:pPr>
        <w:pStyle w:val="Sinespaciado"/>
        <w:jc w:val="center"/>
        <w:rPr>
          <w:rFonts w:ascii="Book Antiqua" w:hAnsi="Book Antiqua" w:cs="Tahoma"/>
          <w:sz w:val="22"/>
          <w:szCs w:val="22"/>
          <w:lang w:val="es-ES" w:eastAsia="es-ES"/>
        </w:rPr>
      </w:pPr>
    </w:p>
    <w:p w:rsidR="00B84F03" w:rsidRPr="00AE7661" w:rsidRDefault="00B84F03" w:rsidP="00B84F03">
      <w:pPr>
        <w:pStyle w:val="Sinespaciado"/>
        <w:jc w:val="center"/>
        <w:rPr>
          <w:rFonts w:ascii="Book Antiqua" w:hAnsi="Book Antiqua" w:cs="Tahoma"/>
          <w:i/>
          <w:sz w:val="22"/>
          <w:szCs w:val="22"/>
          <w:lang w:val="es-ES" w:eastAsia="es-ES"/>
        </w:rPr>
      </w:pPr>
      <w:r w:rsidRPr="00AE7661">
        <w:rPr>
          <w:rFonts w:ascii="Book Antiqua" w:hAnsi="Book Antiqua" w:cs="Tahoma"/>
          <w:sz w:val="22"/>
          <w:szCs w:val="22"/>
          <w:lang w:val="es-ES" w:eastAsia="es-ES"/>
        </w:rPr>
        <w:t>Lic. Luis Gerardo Fallas Acosta</w:t>
      </w:r>
    </w:p>
    <w:p w:rsidR="00B84F03" w:rsidRDefault="00B84F03" w:rsidP="00B84F03">
      <w:pPr>
        <w:pStyle w:val="Style7"/>
        <w:kinsoku w:val="0"/>
        <w:autoSpaceDE/>
        <w:autoSpaceDN/>
        <w:rPr>
          <w:rStyle w:val="CharacterStyle6"/>
          <w:rFonts w:ascii="Garamond" w:hAnsi="Garamond" w:cs="Garamond"/>
          <w:spacing w:val="-1"/>
          <w:lang w:val="es-ES" w:eastAsia="es-ES"/>
        </w:rPr>
      </w:pPr>
    </w:p>
    <w:p w:rsidR="00B84F03" w:rsidRDefault="00B84F03" w:rsidP="00B84F03">
      <w:pPr>
        <w:pStyle w:val="Style7"/>
        <w:kinsoku w:val="0"/>
        <w:autoSpaceDE/>
        <w:autoSpaceDN/>
        <w:rPr>
          <w:rFonts w:ascii="Arial" w:hAnsi="Arial" w:cs="Arial"/>
          <w:sz w:val="23"/>
          <w:szCs w:val="23"/>
          <w:lang w:val="es-ES" w:eastAsia="es-ES"/>
        </w:rPr>
      </w:pPr>
    </w:p>
    <w:sectPr w:rsidR="00B84F03" w:rsidSect="00AE7661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44E0"/>
    <w:multiLevelType w:val="singleLevel"/>
    <w:tmpl w:val="4B62752C"/>
    <w:lvl w:ilvl="0">
      <w:start w:val="1"/>
      <w:numFmt w:val="upperRoman"/>
      <w:lvlText w:val="%1.-"/>
      <w:lvlJc w:val="left"/>
      <w:pPr>
        <w:tabs>
          <w:tab w:val="num" w:pos="288"/>
        </w:tabs>
        <w:ind w:left="504" w:firstLine="72"/>
      </w:pPr>
      <w:rPr>
        <w:b/>
        <w:snapToGrid/>
        <w:spacing w:val="-3"/>
        <w:w w:val="105"/>
        <w:sz w:val="24"/>
        <w:szCs w:val="24"/>
      </w:rPr>
    </w:lvl>
  </w:abstractNum>
  <w:abstractNum w:abstractNumId="1">
    <w:nsid w:val="03774C2C"/>
    <w:multiLevelType w:val="singleLevel"/>
    <w:tmpl w:val="09055125"/>
    <w:lvl w:ilvl="0">
      <w:start w:val="2"/>
      <w:numFmt w:val="upperRoman"/>
      <w:lvlText w:val="%1.-"/>
      <w:lvlJc w:val="left"/>
      <w:pPr>
        <w:tabs>
          <w:tab w:val="num" w:pos="360"/>
        </w:tabs>
        <w:ind w:firstLine="72"/>
      </w:pPr>
      <w:rPr>
        <w:snapToGrid/>
        <w:sz w:val="23"/>
        <w:szCs w:val="23"/>
      </w:rPr>
    </w:lvl>
  </w:abstractNum>
  <w:abstractNum w:abstractNumId="2">
    <w:nsid w:val="05B3482D"/>
    <w:multiLevelType w:val="singleLevel"/>
    <w:tmpl w:val="43CA1D0C"/>
    <w:lvl w:ilvl="0">
      <w:start w:val="1"/>
      <w:numFmt w:val="upperRoman"/>
      <w:lvlText w:val="%1.-"/>
      <w:lvlJc w:val="left"/>
      <w:pPr>
        <w:tabs>
          <w:tab w:val="num" w:pos="360"/>
        </w:tabs>
        <w:ind w:firstLine="72"/>
      </w:pPr>
      <w:rPr>
        <w:b/>
        <w:i w:val="0"/>
        <w:snapToGrid/>
        <w:spacing w:val="-4"/>
        <w:sz w:val="23"/>
        <w:szCs w:val="23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upperRoman"/>
        <w:lvlText w:val="%1.-"/>
        <w:lvlJc w:val="left"/>
        <w:pPr>
          <w:tabs>
            <w:tab w:val="num" w:pos="360"/>
          </w:tabs>
          <w:ind w:left="504" w:firstLine="72"/>
        </w:pPr>
        <w:rPr>
          <w:b/>
          <w:i w:val="0"/>
          <w:snapToGrid/>
          <w:w w:val="105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9E368E"/>
    <w:rsid w:val="00711573"/>
    <w:rsid w:val="009E368E"/>
    <w:rsid w:val="00AE7661"/>
    <w:rsid w:val="00B84F03"/>
    <w:rsid w:val="00D6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right="648"/>
    </w:pPr>
    <w:rPr>
      <w:sz w:val="23"/>
      <w:szCs w:val="23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52"/>
      <w:ind w:left="72" w:right="72"/>
      <w:jc w:val="both"/>
    </w:pPr>
    <w:rPr>
      <w:sz w:val="23"/>
      <w:szCs w:val="23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252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180" w:line="225" w:lineRule="auto"/>
      <w:ind w:left="72" w:right="72"/>
      <w:jc w:val="both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180" w:line="220" w:lineRule="auto"/>
      <w:ind w:right="72"/>
      <w:jc w:val="both"/>
    </w:pPr>
    <w:rPr>
      <w:sz w:val="25"/>
      <w:szCs w:val="25"/>
    </w:r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spacing w:line="168" w:lineRule="exact"/>
    </w:pPr>
  </w:style>
  <w:style w:type="character" w:customStyle="1" w:styleId="CharacterStyle1">
    <w:name w:val="Character Style 1"/>
    <w:uiPriority w:val="99"/>
    <w:rPr>
      <w:b/>
      <w:bCs/>
      <w:sz w:val="22"/>
      <w:szCs w:val="22"/>
    </w:rPr>
  </w:style>
  <w:style w:type="character" w:customStyle="1" w:styleId="CharacterStyle2">
    <w:name w:val="Character Style 2"/>
    <w:uiPriority w:val="99"/>
    <w:rPr>
      <w:sz w:val="23"/>
      <w:szCs w:val="23"/>
    </w:rPr>
  </w:style>
  <w:style w:type="character" w:customStyle="1" w:styleId="CharacterStyle4">
    <w:name w:val="Character Style 4"/>
    <w:uiPriority w:val="99"/>
    <w:rPr>
      <w:sz w:val="24"/>
      <w:szCs w:val="24"/>
    </w:rPr>
  </w:style>
  <w:style w:type="character" w:customStyle="1" w:styleId="CharacterStyle5">
    <w:name w:val="Character Style 5"/>
    <w:uiPriority w:val="99"/>
    <w:rPr>
      <w:sz w:val="20"/>
      <w:szCs w:val="20"/>
    </w:rPr>
  </w:style>
  <w:style w:type="character" w:customStyle="1" w:styleId="CharacterStyle6">
    <w:name w:val="Character Style 6"/>
    <w:uiPriority w:val="99"/>
    <w:rPr>
      <w:sz w:val="25"/>
      <w:szCs w:val="2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6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661"/>
    <w:rPr>
      <w:rFonts w:ascii="Tahoma" w:hAnsi="Tahoma" w:cs="Tahoma"/>
      <w:sz w:val="16"/>
      <w:szCs w:val="16"/>
      <w:lang w:val="en-US"/>
    </w:rPr>
  </w:style>
  <w:style w:type="character" w:customStyle="1" w:styleId="CharacterStyle3">
    <w:name w:val="Character Style 3"/>
    <w:uiPriority w:val="99"/>
    <w:rsid w:val="00AE7661"/>
    <w:rPr>
      <w:sz w:val="20"/>
      <w:szCs w:val="20"/>
    </w:rPr>
  </w:style>
  <w:style w:type="paragraph" w:styleId="Sinespaciado">
    <w:name w:val="No Spacing"/>
    <w:uiPriority w:val="1"/>
    <w:qFormat/>
    <w:rsid w:val="00AE766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2012-10-04T15:54:00Z</dcterms:created>
  <dcterms:modified xsi:type="dcterms:W3CDTF">2012-10-04T16:25:00Z</dcterms:modified>
</cp:coreProperties>
</file>