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45" w:rsidRDefault="00665C45">
      <w:pPr>
        <w:pStyle w:val="Style1"/>
        <w:kinsoku w:val="0"/>
        <w:autoSpaceDE/>
        <w:autoSpaceDN/>
        <w:adjustRightInd/>
        <w:spacing w:before="252" w:line="194" w:lineRule="auto"/>
        <w:jc w:val="center"/>
        <w:rPr>
          <w:rFonts w:ascii="Verdana" w:hAnsi="Verdana" w:cs="Verdana"/>
          <w:b/>
          <w:bCs/>
          <w:spacing w:val="-8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-8"/>
          <w:sz w:val="21"/>
          <w:szCs w:val="21"/>
          <w:lang w:val="es-ES" w:eastAsia="es-ES"/>
        </w:rPr>
        <w:t>RESOLUCION N° 1458-05</w:t>
      </w:r>
    </w:p>
    <w:p w:rsidR="00665C45" w:rsidRPr="00CC14A6" w:rsidRDefault="00665C45" w:rsidP="00665C45">
      <w:pPr>
        <w:pStyle w:val="Style1"/>
        <w:kinsoku w:val="0"/>
        <w:autoSpaceDE/>
        <w:autoSpaceDN/>
        <w:adjustRightInd/>
        <w:spacing w:before="468"/>
        <w:ind w:left="72" w:right="144"/>
        <w:jc w:val="both"/>
        <w:rPr>
          <w:rFonts w:ascii="Arial" w:hAnsi="Arial" w:cs="Arial"/>
          <w:bCs/>
          <w:spacing w:val="-4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  <w:t xml:space="preserve">TRIBUNAL ADMINISTRATIVO DE TRANSPORTE. </w:t>
      </w:r>
      <w:r w:rsidRPr="00CC14A6">
        <w:rPr>
          <w:rFonts w:ascii="Arial" w:hAnsi="Arial" w:cs="Arial"/>
          <w:bCs/>
          <w:spacing w:val="4"/>
          <w:sz w:val="22"/>
          <w:szCs w:val="22"/>
          <w:lang w:val="es-ES" w:eastAsia="es-ES"/>
        </w:rPr>
        <w:t xml:space="preserve">San José, a las once horas y </w:t>
      </w:r>
      <w:r w:rsidRPr="00CC14A6">
        <w:rPr>
          <w:rFonts w:ascii="Arial" w:hAnsi="Arial" w:cs="Arial"/>
          <w:bCs/>
          <w:spacing w:val="-4"/>
          <w:sz w:val="22"/>
          <w:szCs w:val="22"/>
          <w:lang w:val="es-ES" w:eastAsia="es-ES"/>
        </w:rPr>
        <w:t>treinta y cinco minutos del dieciséis de diciembre del dos mil cinco.-</w:t>
      </w:r>
    </w:p>
    <w:p w:rsidR="00665C45" w:rsidRDefault="00665C45" w:rsidP="00665C45">
      <w:pPr>
        <w:pStyle w:val="Style1"/>
        <w:kinsoku w:val="0"/>
        <w:autoSpaceDE/>
        <w:autoSpaceDN/>
        <w:adjustRightInd/>
        <w:spacing w:before="180"/>
        <w:jc w:val="both"/>
        <w:rPr>
          <w:rFonts w:ascii="Verdana" w:hAnsi="Verdana" w:cs="Verdana"/>
          <w:b/>
          <w:bCs/>
          <w:spacing w:val="-8"/>
          <w:sz w:val="21"/>
          <w:szCs w:val="21"/>
          <w:lang w:val="es-ES" w:eastAsia="es-ES"/>
        </w:rPr>
      </w:pPr>
      <w:r w:rsidRPr="00CC14A6">
        <w:rPr>
          <w:rFonts w:ascii="Arial" w:hAnsi="Arial" w:cs="Arial"/>
          <w:bCs/>
          <w:spacing w:val="9"/>
          <w:sz w:val="22"/>
          <w:szCs w:val="22"/>
          <w:lang w:val="es-ES" w:eastAsia="es-ES"/>
        </w:rPr>
        <w:t>Se instruye</w:t>
      </w:r>
      <w:r>
        <w:rPr>
          <w:rFonts w:ascii="Arial" w:hAnsi="Arial" w:cs="Arial"/>
          <w:b/>
          <w:bCs/>
          <w:spacing w:val="9"/>
          <w:sz w:val="22"/>
          <w:szCs w:val="22"/>
          <w:lang w:val="es-ES" w:eastAsia="es-ES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  <w:lang w:val="es-ES" w:eastAsia="es-ES"/>
        </w:rPr>
        <w:t xml:space="preserve">RECURSO DE REVOCATORIA CON APELACION EN SUBSIDIO, NULIDAD ABSOLUTA Y </w:t>
      </w:r>
      <w:r>
        <w:rPr>
          <w:rFonts w:ascii="Verdana" w:hAnsi="Verdana" w:cs="Verdana"/>
          <w:b/>
          <w:bCs/>
          <w:spacing w:val="7"/>
          <w:sz w:val="16"/>
          <w:szCs w:val="16"/>
          <w:lang w:val="es-ES" w:eastAsia="es-ES"/>
        </w:rPr>
        <w:t xml:space="preserve">SUSPENSIÓN DEL ACTO CONTENIDO EN EL ACUERDO </w:t>
      </w:r>
      <w:r>
        <w:rPr>
          <w:rFonts w:ascii="Verdana" w:hAnsi="Verdana" w:cs="Verdana"/>
          <w:b/>
          <w:bCs/>
          <w:spacing w:val="7"/>
          <w:sz w:val="21"/>
          <w:szCs w:val="21"/>
          <w:lang w:val="es-ES" w:eastAsia="es-ES"/>
        </w:rPr>
        <w:t xml:space="preserve">N° 8 </w:t>
      </w:r>
      <w:r>
        <w:rPr>
          <w:rFonts w:ascii="Verdana" w:hAnsi="Verdana" w:cs="Verdana"/>
          <w:b/>
          <w:bCs/>
          <w:spacing w:val="7"/>
          <w:sz w:val="16"/>
          <w:szCs w:val="16"/>
          <w:lang w:val="es-ES" w:eastAsia="es-ES"/>
        </w:rPr>
        <w:t xml:space="preserve">DE LA SESIÓN </w:t>
      </w:r>
      <w:r>
        <w:rPr>
          <w:rFonts w:ascii="Verdana" w:hAnsi="Verdana" w:cs="Verdana"/>
          <w:b/>
          <w:bCs/>
          <w:spacing w:val="7"/>
          <w:sz w:val="21"/>
          <w:szCs w:val="21"/>
          <w:lang w:val="es-ES" w:eastAsia="es-ES"/>
        </w:rPr>
        <w:t xml:space="preserve">N° 3218 </w:t>
      </w:r>
      <w:r>
        <w:rPr>
          <w:rFonts w:ascii="Verdana" w:hAnsi="Verdana" w:cs="Verdana"/>
          <w:b/>
          <w:bCs/>
          <w:spacing w:val="7"/>
          <w:sz w:val="16"/>
          <w:szCs w:val="16"/>
          <w:lang w:val="es-ES" w:eastAsia="es-ES"/>
        </w:rPr>
        <w:t xml:space="preserve">DE LA </w:t>
      </w:r>
      <w:r>
        <w:rPr>
          <w:rFonts w:ascii="Verdana" w:hAnsi="Verdana" w:cs="Verdana"/>
          <w:b/>
          <w:bCs/>
          <w:spacing w:val="11"/>
          <w:sz w:val="16"/>
          <w:szCs w:val="16"/>
          <w:lang w:val="es-ES" w:eastAsia="es-ES"/>
        </w:rPr>
        <w:t xml:space="preserve">COMISION TECNICA DE TRANSPORTES DEL </w:t>
      </w:r>
      <w:r>
        <w:rPr>
          <w:rFonts w:ascii="Verdana" w:hAnsi="Verdana" w:cs="Verdana"/>
          <w:b/>
          <w:bCs/>
          <w:spacing w:val="11"/>
          <w:sz w:val="21"/>
          <w:szCs w:val="21"/>
          <w:lang w:val="es-ES" w:eastAsia="es-ES"/>
        </w:rPr>
        <w:t xml:space="preserve">29 </w:t>
      </w:r>
      <w:r>
        <w:rPr>
          <w:rFonts w:ascii="Verdana" w:hAnsi="Verdana" w:cs="Verdana"/>
          <w:b/>
          <w:bCs/>
          <w:spacing w:val="11"/>
          <w:sz w:val="16"/>
          <w:szCs w:val="16"/>
          <w:lang w:val="es-ES" w:eastAsia="es-ES"/>
        </w:rPr>
        <w:t xml:space="preserve">DE JULIO DE </w:t>
      </w:r>
      <w:r>
        <w:rPr>
          <w:rFonts w:ascii="Verdana" w:hAnsi="Verdana" w:cs="Verdana"/>
          <w:b/>
          <w:bCs/>
          <w:spacing w:val="11"/>
          <w:sz w:val="21"/>
          <w:szCs w:val="21"/>
          <w:lang w:val="es-ES" w:eastAsia="es-ES"/>
        </w:rPr>
        <w:t xml:space="preserve">1998, </w:t>
      </w:r>
      <w:r w:rsidRPr="00CC14A6">
        <w:rPr>
          <w:rFonts w:ascii="Arial" w:hAnsi="Arial" w:cs="Arial"/>
          <w:bCs/>
          <w:spacing w:val="21"/>
          <w:sz w:val="22"/>
          <w:szCs w:val="22"/>
          <w:lang w:val="es-ES" w:eastAsia="es-ES"/>
        </w:rPr>
        <w:t xml:space="preserve">interpuesto por </w:t>
      </w:r>
      <w:r w:rsidR="00170A5D">
        <w:rPr>
          <w:rFonts w:ascii="Arial" w:hAnsi="Arial" w:cs="Arial"/>
          <w:bCs/>
          <w:spacing w:val="8"/>
          <w:sz w:val="22"/>
          <w:szCs w:val="22"/>
          <w:lang w:val="es-ES" w:eastAsia="es-ES"/>
        </w:rPr>
        <w:t>CTPC</w:t>
      </w:r>
      <w:r w:rsidRPr="00CC14A6">
        <w:rPr>
          <w:rFonts w:ascii="Arial" w:hAnsi="Arial" w:cs="Arial"/>
          <w:bCs/>
          <w:spacing w:val="8"/>
          <w:sz w:val="22"/>
          <w:szCs w:val="22"/>
          <w:lang w:val="es-ES" w:eastAsia="es-ES"/>
        </w:rPr>
        <w:t xml:space="preserve"> R.L., por medio de su </w:t>
      </w:r>
      <w:r w:rsidRPr="00CC14A6">
        <w:rPr>
          <w:rFonts w:ascii="Arial" w:hAnsi="Arial" w:cs="Arial"/>
          <w:bCs/>
          <w:spacing w:val="-2"/>
          <w:sz w:val="22"/>
          <w:szCs w:val="22"/>
          <w:lang w:val="es-ES" w:eastAsia="es-ES"/>
        </w:rPr>
        <w:t xml:space="preserve">representante, </w:t>
      </w:r>
      <w:r w:rsidR="00170A5D">
        <w:rPr>
          <w:rFonts w:ascii="Arial" w:hAnsi="Arial" w:cs="Arial"/>
          <w:bCs/>
          <w:spacing w:val="-2"/>
          <w:sz w:val="22"/>
          <w:szCs w:val="22"/>
          <w:lang w:val="es-ES" w:eastAsia="es-ES"/>
        </w:rPr>
        <w:t>VAC</w:t>
      </w:r>
      <w:r w:rsidRPr="00CC14A6">
        <w:rPr>
          <w:rFonts w:ascii="Arial" w:hAnsi="Arial" w:cs="Arial"/>
          <w:bCs/>
          <w:spacing w:val="-2"/>
          <w:sz w:val="22"/>
          <w:szCs w:val="22"/>
          <w:lang w:val="es-ES" w:eastAsia="es-ES"/>
        </w:rPr>
        <w:t xml:space="preserve">, cédula de </w:t>
      </w:r>
      <w:proofErr w:type="gramStart"/>
      <w:r w:rsidRPr="00CC14A6">
        <w:rPr>
          <w:rFonts w:ascii="Arial" w:hAnsi="Arial" w:cs="Arial"/>
          <w:bCs/>
          <w:spacing w:val="-2"/>
          <w:sz w:val="22"/>
          <w:szCs w:val="22"/>
          <w:lang w:val="es-ES" w:eastAsia="es-ES"/>
        </w:rPr>
        <w:t xml:space="preserve">identidad </w:t>
      </w:r>
      <w:r w:rsidR="00170A5D">
        <w:rPr>
          <w:rFonts w:ascii="Arial" w:hAnsi="Arial" w:cs="Arial"/>
          <w:bCs/>
          <w:spacing w:val="-2"/>
          <w:sz w:val="22"/>
          <w:szCs w:val="22"/>
          <w:lang w:val="es-ES" w:eastAsia="es-ES"/>
        </w:rPr>
        <w:t>…</w:t>
      </w:r>
      <w:proofErr w:type="gramEnd"/>
      <w:r w:rsidRPr="00CC14A6">
        <w:rPr>
          <w:rFonts w:ascii="Arial" w:hAnsi="Arial" w:cs="Arial"/>
          <w:bCs/>
          <w:spacing w:val="-2"/>
          <w:sz w:val="22"/>
          <w:szCs w:val="22"/>
          <w:lang w:val="es-ES" w:eastAsia="es-ES"/>
        </w:rPr>
        <w:t xml:space="preserve">, Gerente General </w:t>
      </w:r>
      <w:r w:rsidRPr="00CC14A6">
        <w:rPr>
          <w:rFonts w:ascii="Arial" w:hAnsi="Arial" w:cs="Arial"/>
          <w:bCs/>
          <w:spacing w:val="1"/>
          <w:sz w:val="22"/>
          <w:szCs w:val="22"/>
          <w:lang w:val="es-ES" w:eastAsia="es-ES"/>
        </w:rPr>
        <w:t xml:space="preserve">con facultades de apoderado generalísimo sin límite de suma; tramitado en este </w:t>
      </w:r>
      <w:r w:rsidRPr="00CC14A6">
        <w:rPr>
          <w:rFonts w:ascii="Arial" w:hAnsi="Arial" w:cs="Arial"/>
          <w:bCs/>
          <w:spacing w:val="2"/>
          <w:sz w:val="22"/>
          <w:szCs w:val="22"/>
          <w:lang w:val="es-ES" w:eastAsia="es-ES"/>
        </w:rPr>
        <w:t xml:space="preserve">Despacho bajo </w:t>
      </w:r>
      <w:r>
        <w:rPr>
          <w:rFonts w:ascii="Verdana" w:hAnsi="Verdana" w:cs="Verdana"/>
          <w:b/>
          <w:bCs/>
          <w:spacing w:val="-8"/>
          <w:sz w:val="21"/>
          <w:szCs w:val="21"/>
          <w:lang w:val="es-ES" w:eastAsia="es-ES"/>
        </w:rPr>
        <w:t>Expediente Administrativo N° TAT-024-05.</w:t>
      </w:r>
    </w:p>
    <w:p w:rsidR="00665C45" w:rsidRDefault="00665C45" w:rsidP="00665C45">
      <w:pPr>
        <w:pStyle w:val="Style1"/>
        <w:kinsoku w:val="0"/>
        <w:autoSpaceDE/>
        <w:autoSpaceDN/>
        <w:adjustRightInd/>
        <w:spacing w:before="180"/>
        <w:ind w:left="72"/>
        <w:jc w:val="both"/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  <w:t>Redacta el Juez Portuguez Méndez y;</w:t>
      </w:r>
    </w:p>
    <w:p w:rsidR="00665C45" w:rsidRDefault="00665C45" w:rsidP="00CC14A6">
      <w:pPr>
        <w:pStyle w:val="Style1"/>
        <w:kinsoku w:val="0"/>
        <w:autoSpaceDE/>
        <w:autoSpaceDN/>
        <w:adjustRightInd/>
        <w:spacing w:before="252" w:line="204" w:lineRule="auto"/>
        <w:ind w:left="3528"/>
        <w:rPr>
          <w:rFonts w:ascii="Verdana" w:hAnsi="Verdana" w:cs="Verdana"/>
          <w:b/>
          <w:bCs/>
          <w:spacing w:val="-10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-10"/>
          <w:sz w:val="21"/>
          <w:szCs w:val="21"/>
          <w:lang w:val="es-ES" w:eastAsia="es-ES"/>
        </w:rPr>
        <w:t>CONSIDERANDO:</w:t>
      </w:r>
    </w:p>
    <w:p w:rsidR="00665C45" w:rsidRDefault="00665C45">
      <w:pPr>
        <w:pStyle w:val="Style1"/>
        <w:kinsoku w:val="0"/>
        <w:autoSpaceDE/>
        <w:autoSpaceDN/>
        <w:adjustRightInd/>
        <w:spacing w:before="252"/>
        <w:ind w:left="72" w:right="144"/>
        <w:jc w:val="both"/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</w:pPr>
      <w:r w:rsidRPr="00CC14A6">
        <w:rPr>
          <w:rFonts w:ascii="Arial" w:hAnsi="Arial" w:cs="Arial"/>
          <w:bCs/>
          <w:spacing w:val="-3"/>
          <w:sz w:val="22"/>
          <w:szCs w:val="22"/>
          <w:lang w:val="es-ES" w:eastAsia="es-ES"/>
        </w:rPr>
        <w:t xml:space="preserve">Que mediante el artículo 0.2 de la sesión N° 3333 del 19 de agosto 1999 la Comisión </w:t>
      </w:r>
      <w:r w:rsidRPr="00CC14A6">
        <w:rPr>
          <w:rFonts w:ascii="Arial" w:hAnsi="Arial" w:cs="Arial"/>
          <w:bCs/>
          <w:spacing w:val="-1"/>
          <w:sz w:val="22"/>
          <w:szCs w:val="22"/>
          <w:lang w:val="es-ES" w:eastAsia="es-ES"/>
        </w:rPr>
        <w:t xml:space="preserve">Técnica de Transportes declaró sin lugar el recurso de revocatoria e incidente de </w:t>
      </w:r>
      <w:r w:rsidRPr="00CC14A6">
        <w:rPr>
          <w:rFonts w:ascii="Arial" w:hAnsi="Arial" w:cs="Arial"/>
          <w:bCs/>
          <w:sz w:val="22"/>
          <w:szCs w:val="22"/>
          <w:lang w:val="es-ES" w:eastAsia="es-ES"/>
        </w:rPr>
        <w:t xml:space="preserve">suspensión, interpuesto contra el artículo N° 8 de la sesión 3218 del 29 de julio del </w:t>
      </w:r>
      <w:r w:rsidRPr="00CC14A6">
        <w:rPr>
          <w:rFonts w:ascii="Arial" w:hAnsi="Arial" w:cs="Arial"/>
          <w:bCs/>
          <w:spacing w:val="2"/>
          <w:sz w:val="22"/>
          <w:szCs w:val="22"/>
          <w:lang w:val="es-ES" w:eastAsia="es-ES"/>
        </w:rPr>
        <w:t>1998 por la C</w:t>
      </w:r>
      <w:r w:rsidR="00170A5D">
        <w:rPr>
          <w:rFonts w:ascii="Arial" w:hAnsi="Arial" w:cs="Arial"/>
          <w:bCs/>
          <w:spacing w:val="2"/>
          <w:sz w:val="22"/>
          <w:szCs w:val="22"/>
          <w:lang w:val="es-ES" w:eastAsia="es-ES"/>
        </w:rPr>
        <w:t>TPC</w:t>
      </w:r>
      <w:r w:rsidRPr="00CC14A6">
        <w:rPr>
          <w:rFonts w:ascii="Arial" w:hAnsi="Arial" w:cs="Arial"/>
          <w:bCs/>
          <w:spacing w:val="2"/>
          <w:sz w:val="22"/>
          <w:szCs w:val="22"/>
          <w:lang w:val="es-ES" w:eastAsia="es-ES"/>
        </w:rPr>
        <w:t xml:space="preserve"> RL, y elevó la </w:t>
      </w:r>
      <w:r w:rsidRPr="00CC14A6">
        <w:rPr>
          <w:rFonts w:ascii="Arial" w:hAnsi="Arial" w:cs="Arial"/>
          <w:bCs/>
          <w:spacing w:val="-5"/>
          <w:sz w:val="22"/>
          <w:szCs w:val="22"/>
          <w:lang w:val="es-ES" w:eastAsia="es-ES"/>
        </w:rPr>
        <w:t xml:space="preserve">apelación ante la Autoridad Reguladora de Servicios Públicos (ARESEP) quién lo remite </w:t>
      </w:r>
      <w:r w:rsidRPr="00CC14A6">
        <w:rPr>
          <w:rFonts w:ascii="Arial" w:hAnsi="Arial" w:cs="Arial"/>
          <w:bCs/>
          <w:spacing w:val="-3"/>
          <w:sz w:val="22"/>
          <w:szCs w:val="22"/>
          <w:lang w:val="es-ES" w:eastAsia="es-ES"/>
        </w:rPr>
        <w:t xml:space="preserve">al Tribunal Administrativo de Transporte para su resolución en razón de los efectos de </w:t>
      </w:r>
      <w:r w:rsidRPr="00CC14A6">
        <w:rPr>
          <w:rFonts w:ascii="Arial" w:hAnsi="Arial" w:cs="Arial"/>
          <w:bCs/>
          <w:spacing w:val="1"/>
          <w:sz w:val="22"/>
          <w:szCs w:val="22"/>
          <w:lang w:val="es-ES" w:eastAsia="es-ES"/>
        </w:rPr>
        <w:t>la entrada en vigor de la Ley N° 7969 del 22 de diciembre de 1999.</w:t>
      </w:r>
      <w:r>
        <w:rPr>
          <w:rFonts w:ascii="Arial" w:hAnsi="Arial" w:cs="Arial"/>
          <w:b/>
          <w:bCs/>
          <w:spacing w:val="1"/>
          <w:sz w:val="22"/>
          <w:szCs w:val="22"/>
          <w:lang w:val="es-ES" w:eastAsia="es-ES"/>
        </w:rPr>
        <w:t xml:space="preserve"> </w:t>
      </w:r>
      <w:r>
        <w:rPr>
          <w:rFonts w:ascii="Verdana" w:hAnsi="Verdana" w:cs="Verdana"/>
          <w:b/>
          <w:bCs/>
          <w:spacing w:val="-9"/>
          <w:sz w:val="21"/>
          <w:szCs w:val="21"/>
          <w:lang w:val="es-ES" w:eastAsia="es-ES"/>
        </w:rPr>
        <w:t xml:space="preserve">(Ver folios 40 a </w:t>
      </w:r>
      <w:r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  <w:t xml:space="preserve">43 del </w:t>
      </w:r>
      <w:proofErr w:type="spellStart"/>
      <w:r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  <w:t>Exp</w:t>
      </w:r>
      <w:proofErr w:type="spellEnd"/>
      <w:r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  <w:t>. N° TAT 024</w:t>
      </w:r>
      <w:r>
        <w:rPr>
          <w:rFonts w:ascii="Arial" w:hAnsi="Arial" w:cs="Arial"/>
          <w:b/>
          <w:bCs/>
          <w:spacing w:val="4"/>
          <w:sz w:val="22"/>
          <w:szCs w:val="22"/>
          <w:lang w:val="es-ES" w:eastAsia="es-ES"/>
        </w:rPr>
        <w:t xml:space="preserve">- </w:t>
      </w:r>
      <w:r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  <w:t>05)</w:t>
      </w:r>
    </w:p>
    <w:p w:rsidR="00665C45" w:rsidRDefault="00665C45">
      <w:pPr>
        <w:pStyle w:val="Style1"/>
        <w:kinsoku w:val="0"/>
        <w:autoSpaceDE/>
        <w:autoSpaceDN/>
        <w:adjustRightInd/>
        <w:spacing w:before="396"/>
        <w:ind w:left="72" w:right="144"/>
        <w:jc w:val="both"/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</w:pPr>
      <w:r w:rsidRPr="00CC14A6">
        <w:rPr>
          <w:rFonts w:ascii="Arial" w:hAnsi="Arial" w:cs="Arial"/>
          <w:bCs/>
          <w:spacing w:val="-5"/>
          <w:sz w:val="22"/>
          <w:szCs w:val="22"/>
          <w:lang w:val="es-ES" w:eastAsia="es-ES"/>
        </w:rPr>
        <w:t xml:space="preserve">Que mediante las diligencias de instrucción el Juez- instructor del Tribunal mediante </w:t>
      </w:r>
      <w:r w:rsidRPr="00CC14A6">
        <w:rPr>
          <w:rFonts w:ascii="Arial" w:hAnsi="Arial" w:cs="Arial"/>
          <w:bCs/>
          <w:spacing w:val="-3"/>
          <w:sz w:val="22"/>
          <w:szCs w:val="22"/>
          <w:lang w:val="es-ES" w:eastAsia="es-ES"/>
        </w:rPr>
        <w:t xml:space="preserve">prevención de las 14:00 horas del 15 de junio del presente año, solicitó sin obtener </w:t>
      </w:r>
      <w:r w:rsidRPr="00CC14A6">
        <w:rPr>
          <w:rFonts w:ascii="Arial" w:hAnsi="Arial" w:cs="Arial"/>
          <w:bCs/>
          <w:spacing w:val="-4"/>
          <w:sz w:val="22"/>
          <w:szCs w:val="22"/>
          <w:lang w:val="es-ES" w:eastAsia="es-ES"/>
        </w:rPr>
        <w:t xml:space="preserve">resultados satisfactorios ante el Consejo de Transporte Público la remisión del recurso </w:t>
      </w:r>
      <w:r w:rsidRPr="00CC14A6">
        <w:rPr>
          <w:rFonts w:ascii="Arial" w:hAnsi="Arial" w:cs="Arial"/>
          <w:bCs/>
          <w:spacing w:val="1"/>
          <w:sz w:val="22"/>
          <w:szCs w:val="22"/>
          <w:lang w:val="es-ES" w:eastAsia="es-ES"/>
        </w:rPr>
        <w:t>de revocatoria con apelación en subsidio, obteniendo como respuesta lo que se transcribe del Oficio N° CTP- SE- 05- 0656 del 7 de julio del 2005:</w:t>
      </w:r>
      <w:r>
        <w:rPr>
          <w:rFonts w:ascii="Arial" w:hAnsi="Arial" w:cs="Arial"/>
          <w:b/>
          <w:bCs/>
          <w:spacing w:val="1"/>
          <w:sz w:val="22"/>
          <w:szCs w:val="22"/>
          <w:lang w:val="es-ES" w:eastAsia="es-ES"/>
        </w:rPr>
        <w:t xml:space="preserve"> </w:t>
      </w:r>
      <w:r>
        <w:rPr>
          <w:rFonts w:ascii="Verdana" w:hAnsi="Verdana" w:cs="Verdana"/>
          <w:b/>
          <w:bCs/>
          <w:spacing w:val="-9"/>
          <w:sz w:val="21"/>
          <w:szCs w:val="21"/>
          <w:lang w:val="es-ES" w:eastAsia="es-ES"/>
        </w:rPr>
        <w:t xml:space="preserve">(Ver folio 33 del </w:t>
      </w:r>
      <w:proofErr w:type="spellStart"/>
      <w:r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  <w:t>Exp</w:t>
      </w:r>
      <w:proofErr w:type="spellEnd"/>
      <w:r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  <w:t>. N° TAT 024</w:t>
      </w:r>
      <w:r>
        <w:rPr>
          <w:rFonts w:ascii="Arial" w:hAnsi="Arial" w:cs="Arial"/>
          <w:b/>
          <w:bCs/>
          <w:spacing w:val="4"/>
          <w:sz w:val="22"/>
          <w:szCs w:val="22"/>
          <w:lang w:val="es-ES" w:eastAsia="es-ES"/>
        </w:rPr>
        <w:t xml:space="preserve">- </w:t>
      </w:r>
      <w:r>
        <w:rPr>
          <w:rFonts w:ascii="Verdana" w:hAnsi="Verdana" w:cs="Verdana"/>
          <w:b/>
          <w:bCs/>
          <w:spacing w:val="-6"/>
          <w:sz w:val="21"/>
          <w:szCs w:val="21"/>
          <w:lang w:val="es-ES" w:eastAsia="es-ES"/>
        </w:rPr>
        <w:t>05)</w:t>
      </w:r>
    </w:p>
    <w:p w:rsidR="00665C45" w:rsidRPr="00CC14A6" w:rsidRDefault="00665C45">
      <w:pPr>
        <w:pStyle w:val="Style1"/>
        <w:kinsoku w:val="0"/>
        <w:autoSpaceDE/>
        <w:autoSpaceDN/>
        <w:adjustRightInd/>
        <w:spacing w:before="396"/>
        <w:ind w:left="648" w:right="648"/>
        <w:jc w:val="both"/>
        <w:rPr>
          <w:rFonts w:ascii="Arial" w:hAnsi="Arial" w:cs="Arial"/>
          <w:bCs/>
          <w:spacing w:val="1"/>
          <w:sz w:val="22"/>
          <w:szCs w:val="22"/>
          <w:lang w:val="es-ES" w:eastAsia="es-ES"/>
        </w:rPr>
      </w:pPr>
      <w:r w:rsidRPr="00CC14A6">
        <w:rPr>
          <w:rFonts w:ascii="Arial" w:hAnsi="Arial" w:cs="Arial"/>
          <w:bCs/>
          <w:sz w:val="22"/>
          <w:szCs w:val="22"/>
          <w:lang w:val="es-ES" w:eastAsia="es-ES"/>
        </w:rPr>
        <w:t xml:space="preserve">.../... "En relación al recurso de apelación presentado por el señor </w:t>
      </w:r>
      <w:r w:rsidR="00170A5D">
        <w:rPr>
          <w:rFonts w:ascii="Arial" w:hAnsi="Arial" w:cs="Arial"/>
          <w:bCs/>
          <w:sz w:val="22"/>
          <w:szCs w:val="22"/>
          <w:lang w:val="es-ES" w:eastAsia="es-ES"/>
        </w:rPr>
        <w:t>VAC</w:t>
      </w:r>
      <w:r w:rsidRPr="00CC14A6">
        <w:rPr>
          <w:rFonts w:ascii="Arial" w:hAnsi="Arial" w:cs="Arial"/>
          <w:bCs/>
          <w:spacing w:val="7"/>
          <w:sz w:val="22"/>
          <w:szCs w:val="22"/>
          <w:lang w:val="es-ES" w:eastAsia="es-ES"/>
        </w:rPr>
        <w:t xml:space="preserve">, (sic) por lo se hizo la búsqueda en archivo de esta </w:t>
      </w:r>
      <w:r w:rsidRPr="00CC14A6">
        <w:rPr>
          <w:rFonts w:ascii="Arial" w:hAnsi="Arial" w:cs="Arial"/>
          <w:bCs/>
          <w:spacing w:val="-2"/>
          <w:sz w:val="22"/>
          <w:szCs w:val="22"/>
          <w:lang w:val="es-ES" w:eastAsia="es-ES"/>
        </w:rPr>
        <w:t xml:space="preserve">Secretaría y no consta el recurso de revocatoria presentado por el señor </w:t>
      </w:r>
      <w:r w:rsidR="00170A5D">
        <w:rPr>
          <w:rFonts w:ascii="Arial" w:hAnsi="Arial" w:cs="Arial"/>
          <w:bCs/>
          <w:spacing w:val="1"/>
          <w:sz w:val="22"/>
          <w:szCs w:val="22"/>
          <w:lang w:val="es-ES" w:eastAsia="es-ES"/>
        </w:rPr>
        <w:t>VA</w:t>
      </w:r>
      <w:r w:rsidRPr="00CC14A6">
        <w:rPr>
          <w:rFonts w:ascii="Arial" w:hAnsi="Arial" w:cs="Arial"/>
          <w:bCs/>
          <w:spacing w:val="1"/>
          <w:sz w:val="22"/>
          <w:szCs w:val="22"/>
          <w:lang w:val="es-ES" w:eastAsia="es-ES"/>
        </w:rPr>
        <w:t>, se adjunta copia del acuerdo 3218 (sic) acuerdo 8".../.....</w:t>
      </w:r>
    </w:p>
    <w:p w:rsidR="00665C45" w:rsidRPr="00CC14A6" w:rsidRDefault="00665C45">
      <w:pPr>
        <w:pStyle w:val="Style1"/>
        <w:kinsoku w:val="0"/>
        <w:autoSpaceDE/>
        <w:autoSpaceDN/>
        <w:adjustRightInd/>
        <w:spacing w:before="180"/>
        <w:ind w:left="72" w:right="144"/>
        <w:rPr>
          <w:rFonts w:ascii="Arial" w:hAnsi="Arial" w:cs="Arial"/>
          <w:bCs/>
          <w:spacing w:val="-6"/>
          <w:sz w:val="22"/>
          <w:szCs w:val="22"/>
          <w:lang w:val="es-ES" w:eastAsia="es-ES"/>
        </w:rPr>
      </w:pPr>
      <w:r w:rsidRPr="00CC14A6">
        <w:rPr>
          <w:rFonts w:ascii="Arial" w:hAnsi="Arial" w:cs="Arial"/>
          <w:bCs/>
          <w:spacing w:val="6"/>
          <w:sz w:val="22"/>
          <w:szCs w:val="22"/>
          <w:lang w:val="es-ES" w:eastAsia="es-ES"/>
        </w:rPr>
        <w:t xml:space="preserve">Al respecto es importante señalar que el artículo 181 de la Ley General de la </w:t>
      </w:r>
      <w:r w:rsidRPr="00CC14A6">
        <w:rPr>
          <w:rFonts w:ascii="Arial" w:hAnsi="Arial" w:cs="Arial"/>
          <w:bCs/>
          <w:spacing w:val="-6"/>
          <w:sz w:val="22"/>
          <w:szCs w:val="22"/>
          <w:lang w:val="es-ES" w:eastAsia="es-ES"/>
        </w:rPr>
        <w:t>Administración Pública dispone:</w:t>
      </w:r>
    </w:p>
    <w:p w:rsidR="00665C45" w:rsidRPr="00CC14A6" w:rsidRDefault="00665C45">
      <w:pPr>
        <w:pStyle w:val="Style1"/>
        <w:kinsoku w:val="0"/>
        <w:autoSpaceDE/>
        <w:autoSpaceDN/>
        <w:adjustRightInd/>
        <w:spacing w:before="180" w:after="576"/>
        <w:ind w:left="936" w:right="792"/>
        <w:jc w:val="both"/>
        <w:rPr>
          <w:rFonts w:ascii="Arial" w:hAnsi="Arial" w:cs="Arial"/>
          <w:bCs/>
          <w:spacing w:val="-4"/>
          <w:sz w:val="22"/>
          <w:szCs w:val="22"/>
          <w:lang w:val="es-ES" w:eastAsia="es-ES"/>
        </w:rPr>
      </w:pPr>
      <w:r w:rsidRPr="00CC14A6">
        <w:rPr>
          <w:rFonts w:ascii="Arial" w:hAnsi="Arial" w:cs="Arial"/>
          <w:bCs/>
          <w:spacing w:val="-4"/>
          <w:sz w:val="22"/>
          <w:szCs w:val="22"/>
          <w:lang w:val="es-ES" w:eastAsia="es-ES"/>
        </w:rPr>
        <w:t xml:space="preserve">"El contralor no jerárquico podrá revisar sólo la legalidad del acto y </w:t>
      </w:r>
      <w:r w:rsidRPr="00CC14A6">
        <w:rPr>
          <w:rFonts w:ascii="Arial" w:hAnsi="Arial" w:cs="Arial"/>
          <w:bCs/>
          <w:i/>
          <w:iCs/>
          <w:spacing w:val="-4"/>
          <w:sz w:val="22"/>
          <w:szCs w:val="22"/>
          <w:lang w:val="es-ES" w:eastAsia="es-ES"/>
        </w:rPr>
        <w:t xml:space="preserve">en </w:t>
      </w:r>
      <w:r w:rsidRPr="00CC14A6">
        <w:rPr>
          <w:rFonts w:ascii="Arial" w:hAnsi="Arial" w:cs="Arial"/>
          <w:bCs/>
          <w:sz w:val="22"/>
          <w:szCs w:val="22"/>
          <w:lang w:val="es-ES" w:eastAsia="es-ES"/>
        </w:rPr>
        <w:t xml:space="preserve">virtud de recurso administrativo, y decidirá dentro del límite de las </w:t>
      </w:r>
      <w:r w:rsidRPr="00CC14A6">
        <w:rPr>
          <w:rFonts w:ascii="Arial" w:hAnsi="Arial" w:cs="Arial"/>
          <w:bCs/>
          <w:spacing w:val="-4"/>
          <w:sz w:val="22"/>
          <w:szCs w:val="22"/>
          <w:lang w:val="es-ES" w:eastAsia="es-ES"/>
        </w:rPr>
        <w:t>pretensiones y cuestiones de hecho planteadas por el recurrente, pero podrá aplicar una norma no invocada en el recurso."</w:t>
      </w:r>
    </w:p>
    <w:p w:rsidR="00665C45" w:rsidRDefault="00665C45">
      <w:pPr>
        <w:pStyle w:val="Style2"/>
        <w:kinsoku w:val="0"/>
        <w:autoSpaceDE/>
        <w:autoSpaceDN/>
        <w:adjustRightInd/>
        <w:ind w:right="1080"/>
        <w:jc w:val="both"/>
        <w:rPr>
          <w:rStyle w:val="CharacterStyle2"/>
          <w:rFonts w:ascii="Tahoma" w:hAnsi="Tahoma" w:cs="Tahoma"/>
          <w:spacing w:val="5"/>
          <w:sz w:val="21"/>
          <w:szCs w:val="21"/>
          <w:lang w:val="es-ES" w:eastAsia="es-ES"/>
        </w:rPr>
      </w:pPr>
      <w:r>
        <w:rPr>
          <w:rStyle w:val="CharacterStyle2"/>
          <w:rFonts w:ascii="Tahoma" w:hAnsi="Tahoma" w:cs="Tahoma"/>
          <w:spacing w:val="13"/>
          <w:sz w:val="21"/>
          <w:szCs w:val="21"/>
          <w:lang w:val="es-ES" w:eastAsia="es-ES"/>
        </w:rPr>
        <w:t xml:space="preserve">Lo anterior en concordancia con el artículo 22 de la Ley Reguladora del Servicio </w:t>
      </w:r>
      <w:r>
        <w:rPr>
          <w:rStyle w:val="CharacterStyle2"/>
          <w:rFonts w:ascii="Tahoma" w:hAnsi="Tahoma" w:cs="Tahoma"/>
          <w:spacing w:val="12"/>
          <w:sz w:val="21"/>
          <w:szCs w:val="21"/>
          <w:lang w:val="es-ES" w:eastAsia="es-ES"/>
        </w:rPr>
        <w:t xml:space="preserve">Público de Transporte Remunerado de Personas en Vehículos en </w:t>
      </w:r>
      <w:r>
        <w:rPr>
          <w:rStyle w:val="CharacterStyle2"/>
          <w:rFonts w:ascii="Tahoma" w:hAnsi="Tahoma" w:cs="Tahoma"/>
          <w:spacing w:val="12"/>
          <w:sz w:val="21"/>
          <w:szCs w:val="21"/>
          <w:lang w:val="es-ES" w:eastAsia="es-ES"/>
        </w:rPr>
        <w:lastRenderedPageBreak/>
        <w:t xml:space="preserve">la Modalidad de </w:t>
      </w:r>
      <w:r>
        <w:rPr>
          <w:rStyle w:val="CharacterStyle2"/>
          <w:rFonts w:ascii="Tahoma" w:hAnsi="Tahoma" w:cs="Tahoma"/>
          <w:spacing w:val="5"/>
          <w:sz w:val="21"/>
          <w:szCs w:val="21"/>
          <w:lang w:val="es-ES" w:eastAsia="es-ES"/>
        </w:rPr>
        <w:t>Taxis, que señala en lo que interesa:</w:t>
      </w:r>
    </w:p>
    <w:p w:rsidR="00665C45" w:rsidRDefault="00665C45">
      <w:pPr>
        <w:pStyle w:val="Style2"/>
        <w:kinsoku w:val="0"/>
        <w:autoSpaceDE/>
        <w:autoSpaceDN/>
        <w:adjustRightInd/>
        <w:spacing w:before="144"/>
        <w:ind w:left="864" w:right="1584"/>
        <w:jc w:val="both"/>
        <w:rPr>
          <w:rStyle w:val="CharacterStyle2"/>
          <w:rFonts w:ascii="Tahoma" w:hAnsi="Tahoma" w:cs="Tahoma"/>
          <w:spacing w:val="4"/>
          <w:sz w:val="21"/>
          <w:szCs w:val="21"/>
          <w:lang w:val="es-ES" w:eastAsia="es-ES"/>
        </w:rPr>
      </w:pPr>
      <w:r>
        <w:rPr>
          <w:rStyle w:val="CharacterStyle2"/>
          <w:rFonts w:ascii="Tahoma" w:hAnsi="Tahoma" w:cs="Tahoma"/>
          <w:spacing w:val="11"/>
          <w:sz w:val="21"/>
          <w:szCs w:val="21"/>
          <w:lang w:val="es-ES" w:eastAsia="es-ES"/>
        </w:rPr>
        <w:t xml:space="preserve">"Artículo 22.- Competencia del Tribunal. El Tribunal será competente </w:t>
      </w:r>
      <w:r>
        <w:rPr>
          <w:rStyle w:val="CharacterStyle2"/>
          <w:rFonts w:ascii="Tahoma" w:hAnsi="Tahoma" w:cs="Tahoma"/>
          <w:spacing w:val="10"/>
          <w:sz w:val="21"/>
          <w:szCs w:val="21"/>
          <w:lang w:val="es-ES" w:eastAsia="es-ES"/>
        </w:rPr>
        <w:t xml:space="preserve">para lo siguiente: a) Conocer y resolver, en sede administrativa, los </w:t>
      </w:r>
      <w:r>
        <w:rPr>
          <w:rStyle w:val="CharacterStyle2"/>
          <w:rFonts w:ascii="Tahoma" w:hAnsi="Tahoma" w:cs="Tahoma"/>
          <w:spacing w:val="14"/>
          <w:sz w:val="21"/>
          <w:szCs w:val="21"/>
          <w:lang w:val="es-ES" w:eastAsia="es-ES"/>
        </w:rPr>
        <w:t xml:space="preserve">recursos de apelación que se interpongan contra cualquier acto o </w:t>
      </w:r>
      <w:r>
        <w:rPr>
          <w:rStyle w:val="CharacterStyle2"/>
          <w:rFonts w:ascii="Tahoma" w:hAnsi="Tahoma" w:cs="Tahoma"/>
          <w:spacing w:val="4"/>
          <w:sz w:val="21"/>
          <w:szCs w:val="21"/>
          <w:lang w:val="es-ES" w:eastAsia="es-ES"/>
        </w:rPr>
        <w:t>resolución del Consejo."</w:t>
      </w:r>
    </w:p>
    <w:p w:rsidR="00665C45" w:rsidRDefault="00665C45" w:rsidP="00CC14A6">
      <w:pPr>
        <w:pStyle w:val="Style2"/>
        <w:kinsoku w:val="0"/>
        <w:autoSpaceDE/>
        <w:autoSpaceDN/>
        <w:adjustRightInd/>
        <w:spacing w:before="216"/>
        <w:ind w:right="227"/>
        <w:jc w:val="both"/>
        <w:rPr>
          <w:rStyle w:val="CharacterStyle2"/>
          <w:rFonts w:ascii="Tahoma" w:hAnsi="Tahoma" w:cs="Tahoma"/>
          <w:spacing w:val="7"/>
          <w:sz w:val="21"/>
          <w:szCs w:val="21"/>
          <w:lang w:val="es-ES" w:eastAsia="es-ES"/>
        </w:rPr>
      </w:pPr>
      <w:r>
        <w:rPr>
          <w:rStyle w:val="CharacterStyle2"/>
          <w:rFonts w:ascii="Tahoma" w:hAnsi="Tahoma" w:cs="Tahoma"/>
          <w:spacing w:val="5"/>
          <w:sz w:val="21"/>
          <w:szCs w:val="21"/>
          <w:lang w:val="es-ES" w:eastAsia="es-ES"/>
        </w:rPr>
        <w:t xml:space="preserve">Es necesario señalar que ese Consejo debe remitir en alzada, para ante el Tribunal, los </w:t>
      </w:r>
      <w:r>
        <w:rPr>
          <w:rStyle w:val="CharacterStyle2"/>
          <w:rFonts w:ascii="Tahoma" w:hAnsi="Tahoma" w:cs="Tahoma"/>
          <w:spacing w:val="13"/>
          <w:sz w:val="21"/>
          <w:szCs w:val="21"/>
          <w:lang w:val="es-ES" w:eastAsia="es-ES"/>
        </w:rPr>
        <w:t xml:space="preserve">recursos de apelación que se le presenten, sin embargo en el caso en estudio, el </w:t>
      </w:r>
      <w:r>
        <w:rPr>
          <w:rStyle w:val="CharacterStyle2"/>
          <w:rFonts w:ascii="Tahoma" w:hAnsi="Tahoma" w:cs="Tahoma"/>
          <w:spacing w:val="12"/>
          <w:sz w:val="21"/>
          <w:szCs w:val="21"/>
          <w:lang w:val="es-ES" w:eastAsia="es-ES"/>
        </w:rPr>
        <w:t xml:space="preserve">recurso de apelación no ha sido debidamente elevado para el conocimiento en esta </w:t>
      </w:r>
      <w:r>
        <w:rPr>
          <w:rStyle w:val="CharacterStyle2"/>
          <w:rFonts w:ascii="Tahoma" w:hAnsi="Tahoma" w:cs="Tahoma"/>
          <w:spacing w:val="7"/>
          <w:sz w:val="21"/>
          <w:szCs w:val="21"/>
          <w:lang w:val="es-ES" w:eastAsia="es-ES"/>
        </w:rPr>
        <w:t xml:space="preserve">sede. Por esta razón debe ordenarse la remisión material de este expediente al Consejo de Transporte Público. No será hasta que el Consejo logre proveer el respectivo recurso </w:t>
      </w:r>
      <w:r>
        <w:rPr>
          <w:rStyle w:val="CharacterStyle2"/>
          <w:rFonts w:ascii="Tahoma" w:hAnsi="Tahoma" w:cs="Tahoma"/>
          <w:spacing w:val="11"/>
          <w:sz w:val="21"/>
          <w:szCs w:val="21"/>
          <w:lang w:val="es-ES" w:eastAsia="es-ES"/>
        </w:rPr>
        <w:t xml:space="preserve">de apelación, que este Despacho podrá conocerlo y resolverlo, y de acuerdo con el </w:t>
      </w:r>
      <w:r>
        <w:rPr>
          <w:rStyle w:val="CharacterStyle2"/>
          <w:rFonts w:ascii="Tahoma" w:hAnsi="Tahoma" w:cs="Tahoma"/>
          <w:spacing w:val="7"/>
          <w:sz w:val="21"/>
          <w:szCs w:val="21"/>
          <w:lang w:val="es-ES" w:eastAsia="es-ES"/>
        </w:rPr>
        <w:t>artículo 22, inciso c) de la Ley 7969, agotar la vía administrativa.</w:t>
      </w:r>
    </w:p>
    <w:p w:rsidR="00665C45" w:rsidRDefault="00665C45">
      <w:pPr>
        <w:pStyle w:val="Style2"/>
        <w:kinsoku w:val="0"/>
        <w:autoSpaceDE/>
        <w:autoSpaceDN/>
        <w:adjustRightInd/>
        <w:spacing w:before="432" w:line="204" w:lineRule="auto"/>
        <w:ind w:left="3816"/>
        <w:rPr>
          <w:rStyle w:val="CharacterStyle2"/>
          <w:rFonts w:ascii="Verdana" w:hAnsi="Verdana" w:cs="Verdana"/>
          <w:b/>
          <w:bCs/>
          <w:spacing w:val="-13"/>
          <w:w w:val="105"/>
          <w:lang w:val="es-ES" w:eastAsia="es-ES"/>
        </w:rPr>
      </w:pPr>
      <w:r>
        <w:rPr>
          <w:rStyle w:val="CharacterStyle2"/>
          <w:rFonts w:ascii="Verdana" w:hAnsi="Verdana" w:cs="Verdana"/>
          <w:b/>
          <w:bCs/>
          <w:spacing w:val="-13"/>
          <w:w w:val="105"/>
          <w:lang w:val="es-ES" w:eastAsia="es-ES"/>
        </w:rPr>
        <w:t>POR TANTO</w:t>
      </w:r>
    </w:p>
    <w:p w:rsidR="00665C45" w:rsidRDefault="00665C45" w:rsidP="00CC14A6">
      <w:pPr>
        <w:pStyle w:val="Style2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468"/>
        <w:ind w:right="227"/>
        <w:jc w:val="both"/>
        <w:rPr>
          <w:rStyle w:val="CharacterStyle2"/>
          <w:rFonts w:ascii="Tahoma" w:hAnsi="Tahoma" w:cs="Tahoma"/>
          <w:spacing w:val="3"/>
          <w:sz w:val="21"/>
          <w:szCs w:val="21"/>
          <w:lang w:val="es-ES" w:eastAsia="es-ES"/>
        </w:rPr>
      </w:pPr>
      <w:r>
        <w:rPr>
          <w:rStyle w:val="CharacterStyle2"/>
          <w:rFonts w:ascii="Tahoma" w:hAnsi="Tahoma" w:cs="Tahoma"/>
          <w:spacing w:val="9"/>
          <w:sz w:val="21"/>
          <w:szCs w:val="21"/>
          <w:lang w:val="es-ES" w:eastAsia="es-ES"/>
        </w:rPr>
        <w:t xml:space="preserve">Se declara mal elevada la apelación contra Acuerdo N° 2 de la Sesión N° 3333 del día 19 de agosto de 1999, mediante el cual la Comisión Técnica de Transportes conoció </w:t>
      </w:r>
      <w:r>
        <w:rPr>
          <w:rStyle w:val="CharacterStyle2"/>
          <w:rFonts w:ascii="Tahoma" w:hAnsi="Tahoma" w:cs="Tahoma"/>
          <w:spacing w:val="13"/>
          <w:sz w:val="21"/>
          <w:szCs w:val="21"/>
          <w:lang w:val="es-ES" w:eastAsia="es-ES"/>
        </w:rPr>
        <w:t xml:space="preserve">y declaró sin lugar la revocatoria e incidente de suspensión del acto, que aquí se </w:t>
      </w:r>
      <w:r>
        <w:rPr>
          <w:rStyle w:val="CharacterStyle2"/>
          <w:rFonts w:ascii="Tahoma" w:hAnsi="Tahoma" w:cs="Tahoma"/>
          <w:spacing w:val="8"/>
          <w:sz w:val="21"/>
          <w:szCs w:val="21"/>
          <w:lang w:val="es-ES" w:eastAsia="es-ES"/>
        </w:rPr>
        <w:t>instruye presentado por la C</w:t>
      </w:r>
      <w:r w:rsidR="00170A5D">
        <w:rPr>
          <w:rStyle w:val="CharacterStyle2"/>
          <w:rFonts w:ascii="Tahoma" w:hAnsi="Tahoma" w:cs="Tahoma"/>
          <w:spacing w:val="8"/>
          <w:sz w:val="21"/>
          <w:szCs w:val="21"/>
          <w:lang w:val="es-ES" w:eastAsia="es-ES"/>
        </w:rPr>
        <w:t>TPC</w:t>
      </w:r>
      <w:r>
        <w:rPr>
          <w:rStyle w:val="CharacterStyle2"/>
          <w:rFonts w:ascii="Tahoma" w:hAnsi="Tahoma" w:cs="Tahoma"/>
          <w:spacing w:val="8"/>
          <w:sz w:val="21"/>
          <w:szCs w:val="21"/>
          <w:lang w:val="es-ES" w:eastAsia="es-ES"/>
        </w:rPr>
        <w:t xml:space="preserve"> R.L., </w:t>
      </w:r>
      <w:r>
        <w:rPr>
          <w:rStyle w:val="CharacterStyle2"/>
          <w:rFonts w:ascii="Tahoma" w:hAnsi="Tahoma" w:cs="Tahoma"/>
          <w:spacing w:val="6"/>
          <w:sz w:val="21"/>
          <w:szCs w:val="21"/>
          <w:lang w:val="es-ES" w:eastAsia="es-ES"/>
        </w:rPr>
        <w:t xml:space="preserve">contra el acuerdo N° 8 de la sesión 3218 del 29 de julio de 1998 de la otrora Comisión </w:t>
      </w:r>
      <w:r>
        <w:rPr>
          <w:rStyle w:val="CharacterStyle2"/>
          <w:rFonts w:ascii="Tahoma" w:hAnsi="Tahoma" w:cs="Tahoma"/>
          <w:spacing w:val="3"/>
          <w:sz w:val="21"/>
          <w:szCs w:val="21"/>
          <w:lang w:val="es-ES" w:eastAsia="es-ES"/>
        </w:rPr>
        <w:t>Técnica de Transportes.</w:t>
      </w:r>
    </w:p>
    <w:p w:rsidR="00665C45" w:rsidRDefault="00665C45" w:rsidP="00CC14A6">
      <w:pPr>
        <w:pStyle w:val="Style2"/>
        <w:numPr>
          <w:ilvl w:val="0"/>
          <w:numId w:val="2"/>
        </w:numPr>
        <w:tabs>
          <w:tab w:val="clear" w:pos="432"/>
          <w:tab w:val="num" w:pos="504"/>
        </w:tabs>
        <w:kinsoku w:val="0"/>
        <w:autoSpaceDE/>
        <w:autoSpaceDN/>
        <w:adjustRightInd/>
        <w:spacing w:before="180" w:after="180"/>
        <w:ind w:right="227" w:firstLine="0"/>
        <w:jc w:val="both"/>
        <w:rPr>
          <w:rStyle w:val="CharacterStyle2"/>
          <w:rFonts w:ascii="Tahoma" w:hAnsi="Tahoma" w:cs="Tahoma"/>
          <w:spacing w:val="2"/>
          <w:sz w:val="21"/>
          <w:szCs w:val="21"/>
          <w:lang w:val="es-ES" w:eastAsia="es-ES"/>
        </w:rPr>
      </w:pPr>
      <w:r>
        <w:rPr>
          <w:rStyle w:val="CharacterStyle2"/>
          <w:rFonts w:ascii="Tahoma" w:hAnsi="Tahoma" w:cs="Tahoma"/>
          <w:spacing w:val="6"/>
          <w:sz w:val="21"/>
          <w:szCs w:val="21"/>
          <w:lang w:val="es-ES" w:eastAsia="es-ES"/>
        </w:rPr>
        <w:t xml:space="preserve">Notifíquese a la Junta Directiva y a la Auditoría Interna del Consejo de Transporte </w:t>
      </w:r>
      <w:r>
        <w:rPr>
          <w:rStyle w:val="CharacterStyle2"/>
          <w:rFonts w:ascii="Tahoma" w:hAnsi="Tahoma" w:cs="Tahoma"/>
          <w:spacing w:val="18"/>
          <w:sz w:val="21"/>
          <w:szCs w:val="21"/>
          <w:lang w:val="es-ES" w:eastAsia="es-ES"/>
        </w:rPr>
        <w:t xml:space="preserve">Público la irregularidad aquí establecida, para que se ordene la investigación </w:t>
      </w:r>
      <w:r>
        <w:rPr>
          <w:rStyle w:val="CharacterStyle2"/>
          <w:rFonts w:ascii="Tahoma" w:hAnsi="Tahoma" w:cs="Tahoma"/>
          <w:spacing w:val="2"/>
          <w:sz w:val="21"/>
          <w:szCs w:val="21"/>
          <w:lang w:val="es-ES" w:eastAsia="es-ES"/>
        </w:rPr>
        <w:t>correspondiente.</w:t>
      </w:r>
    </w:p>
    <w:p w:rsidR="00CC14A6" w:rsidRDefault="00665C45" w:rsidP="00CC14A6">
      <w:pPr>
        <w:pStyle w:val="Style2"/>
        <w:kinsoku w:val="0"/>
        <w:autoSpaceDE/>
        <w:autoSpaceDN/>
        <w:adjustRightInd/>
        <w:spacing w:after="108"/>
        <w:ind w:right="227"/>
        <w:jc w:val="both"/>
        <w:rPr>
          <w:rStyle w:val="CharacterStyle2"/>
          <w:rFonts w:ascii="Tahoma" w:hAnsi="Tahoma" w:cs="Tahoma"/>
          <w:spacing w:val="4"/>
          <w:sz w:val="21"/>
          <w:szCs w:val="21"/>
          <w:lang w:val="es-ES" w:eastAsia="es-ES"/>
        </w:rPr>
      </w:pPr>
      <w:r w:rsidRPr="00CC14A6">
        <w:rPr>
          <w:rStyle w:val="CharacterStyle2"/>
          <w:rFonts w:ascii="Tahoma" w:hAnsi="Tahoma" w:cs="Tahoma"/>
          <w:b/>
          <w:spacing w:val="18"/>
          <w:sz w:val="21"/>
          <w:szCs w:val="21"/>
          <w:lang w:val="es-ES" w:eastAsia="es-ES"/>
        </w:rPr>
        <w:t>III.-</w:t>
      </w:r>
      <w:r>
        <w:rPr>
          <w:rStyle w:val="CharacterStyle2"/>
          <w:rFonts w:ascii="Tahoma" w:hAnsi="Tahoma" w:cs="Tahoma"/>
          <w:spacing w:val="18"/>
          <w:sz w:val="21"/>
          <w:szCs w:val="21"/>
          <w:lang w:val="es-ES" w:eastAsia="es-ES"/>
        </w:rPr>
        <w:t xml:space="preserve"> Se devuelve para el trámite r</w:t>
      </w:r>
      <w:r w:rsidR="00170A5D">
        <w:rPr>
          <w:rStyle w:val="CharacterStyle2"/>
          <w:rFonts w:ascii="Tahoma" w:hAnsi="Tahoma" w:cs="Tahoma"/>
          <w:spacing w:val="18"/>
          <w:sz w:val="21"/>
          <w:szCs w:val="21"/>
          <w:lang w:val="es-ES" w:eastAsia="es-ES"/>
        </w:rPr>
        <w:t xml:space="preserve">espectivo al </w:t>
      </w:r>
      <w:r w:rsidR="00170A5D">
        <w:rPr>
          <w:rStyle w:val="CharacterStyle2"/>
          <w:rFonts w:ascii="Tahoma" w:hAnsi="Tahoma" w:cs="Tahoma"/>
          <w:spacing w:val="16"/>
          <w:sz w:val="21"/>
          <w:szCs w:val="21"/>
          <w:lang w:val="es-ES" w:eastAsia="es-ES"/>
        </w:rPr>
        <w:t xml:space="preserve">Consejo de Transporte Público el </w:t>
      </w:r>
      <w:r w:rsidR="00170A5D">
        <w:rPr>
          <w:rStyle w:val="CharacterStyle2"/>
          <w:rFonts w:ascii="Tahoma" w:hAnsi="Tahoma" w:cs="Tahoma"/>
          <w:sz w:val="21"/>
          <w:szCs w:val="21"/>
          <w:lang w:val="es-ES" w:eastAsia="es-ES"/>
        </w:rPr>
        <w:t>artículo 0.2 de la sesión ordinaria 333 de</w:t>
      </w:r>
      <w:r w:rsidR="00170A5D">
        <w:rPr>
          <w:rStyle w:val="CharacterStyle2"/>
          <w:rFonts w:ascii="Tahoma" w:hAnsi="Tahoma" w:cs="Tahoma"/>
          <w:spacing w:val="16"/>
          <w:sz w:val="21"/>
          <w:szCs w:val="21"/>
          <w:lang w:val="es-ES" w:eastAsia="es-ES"/>
        </w:rPr>
        <w:t>l</w:t>
      </w:r>
      <w:r w:rsidR="00170A5D">
        <w:rPr>
          <w:rStyle w:val="CharacterStyle2"/>
          <w:rFonts w:ascii="Tahoma" w:hAnsi="Tahoma" w:cs="Tahoma"/>
          <w:spacing w:val="4"/>
          <w:sz w:val="21"/>
          <w:szCs w:val="21"/>
          <w:lang w:val="es-ES" w:eastAsia="es-ES"/>
        </w:rPr>
        <w:t xml:space="preserve"> 19 de agosto de 1999</w:t>
      </w:r>
      <w:r w:rsidR="00CC14A6">
        <w:rPr>
          <w:rStyle w:val="CharacterStyle2"/>
          <w:rFonts w:ascii="Tahoma" w:hAnsi="Tahoma" w:cs="Tahoma"/>
          <w:spacing w:val="4"/>
          <w:sz w:val="21"/>
          <w:szCs w:val="21"/>
          <w:lang w:val="es-ES" w:eastAsia="es-ES"/>
        </w:rPr>
        <w:t>, elevado al Tribunal.</w:t>
      </w:r>
    </w:p>
    <w:p w:rsidR="00665C45" w:rsidRDefault="00665C45" w:rsidP="00CC14A6">
      <w:pPr>
        <w:pStyle w:val="Style2"/>
        <w:kinsoku w:val="0"/>
        <w:autoSpaceDE/>
        <w:autoSpaceDN/>
        <w:adjustRightInd/>
        <w:spacing w:line="232" w:lineRule="exact"/>
        <w:ind w:right="227"/>
        <w:jc w:val="both"/>
        <w:rPr>
          <w:rStyle w:val="CharacterStyle2"/>
          <w:rFonts w:ascii="Verdana" w:hAnsi="Verdana" w:cs="Verdana"/>
          <w:b/>
          <w:bCs/>
          <w:spacing w:val="-14"/>
          <w:w w:val="105"/>
          <w:lang w:val="es-ES" w:eastAsia="es-ES"/>
        </w:rPr>
      </w:pPr>
      <w:r>
        <w:rPr>
          <w:rStyle w:val="CharacterStyle2"/>
          <w:rFonts w:ascii="Verdana" w:hAnsi="Verdana" w:cs="Verdana"/>
          <w:b/>
          <w:bCs/>
          <w:spacing w:val="-14"/>
          <w:w w:val="105"/>
          <w:lang w:val="es-ES" w:eastAsia="es-ES"/>
        </w:rPr>
        <w:t>NOTIFÍQUESE</w:t>
      </w:r>
    </w:p>
    <w:p w:rsidR="00CC14A6" w:rsidRDefault="00CC14A6" w:rsidP="00CC14A6">
      <w:pPr>
        <w:pStyle w:val="Style2"/>
        <w:kinsoku w:val="0"/>
        <w:autoSpaceDE/>
        <w:autoSpaceDN/>
        <w:adjustRightInd/>
        <w:spacing w:line="232" w:lineRule="exact"/>
        <w:ind w:right="227"/>
        <w:jc w:val="both"/>
        <w:rPr>
          <w:rStyle w:val="CharacterStyle2"/>
          <w:rFonts w:ascii="Verdana" w:hAnsi="Verdana" w:cs="Verdana"/>
          <w:b/>
          <w:bCs/>
          <w:spacing w:val="-14"/>
          <w:w w:val="105"/>
          <w:lang w:val="es-ES" w:eastAsia="es-ES"/>
        </w:rPr>
      </w:pPr>
    </w:p>
    <w:p w:rsidR="007A7E6E" w:rsidRPr="007A7E6E" w:rsidRDefault="007A7E6E" w:rsidP="007A7E6E">
      <w:pPr>
        <w:pStyle w:val="Sinespaciado"/>
        <w:jc w:val="center"/>
        <w:rPr>
          <w:b/>
          <w:i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Lic. Luis Gerardo Fallas Acosta</w:t>
      </w:r>
    </w:p>
    <w:p w:rsidR="007A7E6E" w:rsidRPr="007A7E6E" w:rsidRDefault="007A7E6E" w:rsidP="007A7E6E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Presidente</w:t>
      </w:r>
    </w:p>
    <w:p w:rsidR="007A7E6E" w:rsidRPr="007A7E6E" w:rsidRDefault="007A7E6E" w:rsidP="007A7E6E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7A7E6E" w:rsidRPr="007A7E6E" w:rsidRDefault="007A7E6E" w:rsidP="007A7E6E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7A7E6E" w:rsidRPr="007A7E6E" w:rsidRDefault="007A7E6E" w:rsidP="007A7E6E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 xml:space="preserve">Lic. Carlos Miguel Portuguez Méndez </w:t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  <w:t>Licda. Marta Luz Pérez Peláez</w:t>
      </w:r>
    </w:p>
    <w:p w:rsidR="007A7E6E" w:rsidRPr="007A7E6E" w:rsidRDefault="007A7E6E" w:rsidP="007A7E6E">
      <w:pPr>
        <w:pStyle w:val="Sinespaciado"/>
        <w:jc w:val="center"/>
        <w:rPr>
          <w:rStyle w:val="CharacterStyle5"/>
          <w:b/>
          <w:spacing w:val="-3"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Juez</w:t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  <w:t xml:space="preserve">    </w:t>
      </w:r>
      <w:r w:rsidRPr="007A7E6E">
        <w:rPr>
          <w:b/>
          <w:sz w:val="22"/>
          <w:szCs w:val="22"/>
          <w:lang w:val="es-CR" w:eastAsia="es-ES"/>
        </w:rPr>
        <w:tab/>
        <w:t xml:space="preserve">    Juez</w:t>
      </w:r>
    </w:p>
    <w:p w:rsidR="00CC14A6" w:rsidRPr="007A7E6E" w:rsidRDefault="00CC14A6" w:rsidP="00CC14A6">
      <w:pPr>
        <w:pStyle w:val="Style2"/>
        <w:kinsoku w:val="0"/>
        <w:autoSpaceDE/>
        <w:autoSpaceDN/>
        <w:adjustRightInd/>
        <w:spacing w:line="232" w:lineRule="exact"/>
        <w:ind w:right="227"/>
        <w:jc w:val="both"/>
        <w:rPr>
          <w:rStyle w:val="CharacterStyle2"/>
          <w:b/>
          <w:bCs/>
          <w:spacing w:val="-14"/>
          <w:w w:val="105"/>
          <w:lang w:val="es-CR" w:eastAsia="es-ES"/>
        </w:rPr>
      </w:pPr>
    </w:p>
    <w:sectPr w:rsidR="00CC14A6" w:rsidRPr="007A7E6E" w:rsidSect="00665C45">
      <w:pgSz w:w="12134" w:h="15840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9D86"/>
    <w:multiLevelType w:val="singleLevel"/>
    <w:tmpl w:val="AE1E6138"/>
    <w:lvl w:ilvl="0">
      <w:start w:val="1"/>
      <w:numFmt w:val="upperRoman"/>
      <w:lvlText w:val="%1.-"/>
      <w:lvlJc w:val="left"/>
      <w:pPr>
        <w:tabs>
          <w:tab w:val="num" w:pos="360"/>
        </w:tabs>
        <w:ind w:firstLine="72"/>
      </w:pPr>
      <w:rPr>
        <w:rFonts w:ascii="Tahoma" w:hAnsi="Tahoma" w:cs="Tahoma"/>
        <w:b/>
        <w:snapToGrid/>
        <w:spacing w:val="9"/>
        <w:sz w:val="21"/>
        <w:szCs w:val="21"/>
      </w:rPr>
    </w:lvl>
  </w:abstractNum>
  <w:num w:numId="1">
    <w:abstractNumId w:val="0"/>
  </w:num>
  <w:num w:numId="2">
    <w:abstractNumId w:val="0"/>
    <w:lvlOverride w:ilvl="0">
      <w:lvl w:ilvl="0">
        <w:numFmt w:val="upperRoman"/>
        <w:lvlText w:val="%1.-"/>
        <w:lvlJc w:val="left"/>
        <w:pPr>
          <w:tabs>
            <w:tab w:val="num" w:pos="432"/>
          </w:tabs>
          <w:ind w:firstLine="72"/>
        </w:pPr>
        <w:rPr>
          <w:rFonts w:ascii="Tahoma" w:hAnsi="Tahoma" w:cs="Tahoma"/>
          <w:b/>
          <w:snapToGrid/>
          <w:spacing w:val="6"/>
          <w:sz w:val="21"/>
          <w:szCs w:val="21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010DC8"/>
    <w:rsid w:val="00010DC8"/>
    <w:rsid w:val="00170A5D"/>
    <w:rsid w:val="00534155"/>
    <w:rsid w:val="00665C45"/>
    <w:rsid w:val="007A7E6E"/>
    <w:rsid w:val="008C1FC2"/>
    <w:rsid w:val="00CB3259"/>
    <w:rsid w:val="00CC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59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CB3259"/>
    <w:pPr>
      <w:kinsoku/>
      <w:autoSpaceDE w:val="0"/>
      <w:autoSpaceDN w:val="0"/>
      <w:adjustRightInd w:val="0"/>
    </w:pPr>
  </w:style>
  <w:style w:type="paragraph" w:customStyle="1" w:styleId="Style3">
    <w:name w:val="Style 3"/>
    <w:basedOn w:val="Normal"/>
    <w:uiPriority w:val="99"/>
    <w:rsid w:val="00CB3259"/>
    <w:pPr>
      <w:kinsoku/>
      <w:autoSpaceDE w:val="0"/>
      <w:autoSpaceDN w:val="0"/>
      <w:spacing w:before="252"/>
      <w:ind w:left="144"/>
    </w:pPr>
    <w:rPr>
      <w:sz w:val="23"/>
      <w:szCs w:val="23"/>
    </w:rPr>
  </w:style>
  <w:style w:type="paragraph" w:customStyle="1" w:styleId="Style2">
    <w:name w:val="Style 2"/>
    <w:basedOn w:val="Normal"/>
    <w:uiPriority w:val="99"/>
    <w:rsid w:val="00CB325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3">
    <w:name w:val="Character Style 3"/>
    <w:uiPriority w:val="99"/>
    <w:rsid w:val="00CB3259"/>
    <w:rPr>
      <w:sz w:val="23"/>
    </w:rPr>
  </w:style>
  <w:style w:type="character" w:customStyle="1" w:styleId="CharacterStyle2">
    <w:name w:val="Character Style 2"/>
    <w:uiPriority w:val="99"/>
    <w:rsid w:val="00CB3259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4A6"/>
    <w:rPr>
      <w:rFonts w:ascii="Tahoma" w:hAnsi="Tahoma" w:cs="Tahoma"/>
      <w:sz w:val="16"/>
      <w:szCs w:val="16"/>
      <w:lang w:val="en-US"/>
    </w:rPr>
  </w:style>
  <w:style w:type="character" w:customStyle="1" w:styleId="CharacterStyle5">
    <w:name w:val="Character Style 5"/>
    <w:uiPriority w:val="99"/>
    <w:rsid w:val="007A7E6E"/>
    <w:rPr>
      <w:sz w:val="25"/>
      <w:szCs w:val="25"/>
    </w:rPr>
  </w:style>
  <w:style w:type="paragraph" w:styleId="Sinespaciado">
    <w:name w:val="No Spacing"/>
    <w:uiPriority w:val="1"/>
    <w:qFormat/>
    <w:rsid w:val="007A7E6E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5</cp:revision>
  <dcterms:created xsi:type="dcterms:W3CDTF">2012-11-05T13:54:00Z</dcterms:created>
  <dcterms:modified xsi:type="dcterms:W3CDTF">2012-11-05T14:04:00Z</dcterms:modified>
</cp:coreProperties>
</file>