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7410">
      <w:pPr>
        <w:pStyle w:val="Style1"/>
        <w:kinsoku w:val="0"/>
        <w:autoSpaceDE/>
        <w:autoSpaceDN/>
        <w:adjustRightInd/>
        <w:spacing w:before="252" w:line="204" w:lineRule="auto"/>
        <w:ind w:left="2736"/>
        <w:rPr>
          <w:rFonts w:ascii="Bookman Old Style" w:hAnsi="Bookman Old Style" w:cs="Bookman Old Style"/>
          <w:b/>
          <w:bCs/>
          <w:spacing w:val="-10"/>
          <w:sz w:val="22"/>
          <w:szCs w:val="22"/>
          <w:lang w:val="es-ES" w:eastAsia="es-ES"/>
        </w:rPr>
      </w:pPr>
      <w:r>
        <w:rPr>
          <w:rFonts w:ascii="Bookman Old Style" w:hAnsi="Bookman Old Style" w:cs="Bookman Old Style"/>
          <w:b/>
          <w:bCs/>
          <w:spacing w:val="-10"/>
          <w:sz w:val="22"/>
          <w:szCs w:val="22"/>
          <w:lang w:val="es-ES" w:eastAsia="es-ES"/>
        </w:rPr>
        <w:t>RESOLUCION N° 1467-06</w:t>
      </w:r>
    </w:p>
    <w:p w:rsidR="00000000" w:rsidRPr="00172C31" w:rsidRDefault="003C7410" w:rsidP="00172C31">
      <w:pPr>
        <w:pStyle w:val="Style1"/>
        <w:kinsoku w:val="0"/>
        <w:autoSpaceDE/>
        <w:autoSpaceDN/>
        <w:adjustRightInd/>
        <w:spacing w:before="288" w:line="201" w:lineRule="auto"/>
        <w:ind w:right="216"/>
        <w:jc w:val="both"/>
        <w:rPr>
          <w:rFonts w:ascii="Bookman Old Style" w:hAnsi="Bookman Old Style" w:cs="Bookman Old Style"/>
          <w:bCs/>
          <w:spacing w:val="-12"/>
          <w:sz w:val="6"/>
          <w:szCs w:val="6"/>
          <w:lang w:val="es-ES" w:eastAsia="es-ES"/>
        </w:rPr>
      </w:pPr>
      <w:r>
        <w:rPr>
          <w:rFonts w:ascii="Bookman Old Style" w:hAnsi="Bookman Old Style" w:cs="Bookman Old Style"/>
          <w:b/>
          <w:bCs/>
          <w:spacing w:val="-5"/>
          <w:sz w:val="22"/>
          <w:szCs w:val="22"/>
          <w:lang w:val="es-ES" w:eastAsia="es-ES"/>
        </w:rPr>
        <w:t xml:space="preserve">TRIBUNAL ADMINISTRATIVO DE TRANSPORTE. </w:t>
      </w:r>
      <w:r w:rsidRPr="00172C31">
        <w:rPr>
          <w:rFonts w:ascii="Bookman Old Style" w:hAnsi="Bookman Old Style" w:cs="Bookman Old Style"/>
          <w:bCs/>
          <w:spacing w:val="-5"/>
          <w:sz w:val="22"/>
          <w:szCs w:val="22"/>
          <w:lang w:val="es-ES" w:eastAsia="es-ES"/>
        </w:rPr>
        <w:t xml:space="preserve">San </w:t>
      </w:r>
      <w:r w:rsidRPr="00172C31">
        <w:rPr>
          <w:rFonts w:ascii="Garamond" w:hAnsi="Garamond" w:cs="Garamond"/>
          <w:spacing w:val="-5"/>
          <w:sz w:val="26"/>
          <w:szCs w:val="26"/>
          <w:lang w:val="es-ES" w:eastAsia="es-ES"/>
        </w:rPr>
        <w:t xml:space="preserve">José, a las catorce horas </w:t>
      </w:r>
      <w:r w:rsidRPr="00172C31">
        <w:rPr>
          <w:rFonts w:ascii="Garamond" w:hAnsi="Garamond" w:cs="Garamond"/>
          <w:spacing w:val="-12"/>
          <w:sz w:val="26"/>
          <w:szCs w:val="26"/>
          <w:lang w:val="es-ES" w:eastAsia="es-ES"/>
        </w:rPr>
        <w:t xml:space="preserve">y cincuenta y cinco minutos </w:t>
      </w:r>
      <w:r w:rsidRPr="00172C31">
        <w:rPr>
          <w:rFonts w:ascii="Bookman Old Style" w:hAnsi="Bookman Old Style" w:cs="Bookman Old Style"/>
          <w:bCs/>
          <w:spacing w:val="-12"/>
          <w:sz w:val="22"/>
          <w:szCs w:val="22"/>
          <w:lang w:val="es-ES" w:eastAsia="es-ES"/>
        </w:rPr>
        <w:t xml:space="preserve">del </w:t>
      </w:r>
      <w:r w:rsidRPr="00172C31">
        <w:rPr>
          <w:rFonts w:ascii="Garamond" w:hAnsi="Garamond" w:cs="Garamond"/>
          <w:spacing w:val="-12"/>
          <w:sz w:val="26"/>
          <w:szCs w:val="26"/>
          <w:lang w:val="es-ES" w:eastAsia="es-ES"/>
        </w:rPr>
        <w:t xml:space="preserve">veintiocho de febrero </w:t>
      </w:r>
      <w:r w:rsidRPr="00172C31">
        <w:rPr>
          <w:rFonts w:ascii="Bookman Old Style" w:hAnsi="Bookman Old Style" w:cs="Bookman Old Style"/>
          <w:bCs/>
          <w:spacing w:val="-12"/>
          <w:sz w:val="22"/>
          <w:szCs w:val="22"/>
          <w:lang w:val="es-ES" w:eastAsia="es-ES"/>
        </w:rPr>
        <w:t>del dos mil seis.</w:t>
      </w:r>
      <w:r w:rsidRPr="00172C31">
        <w:rPr>
          <w:rFonts w:ascii="Bookman Old Style" w:hAnsi="Bookman Old Style" w:cs="Bookman Old Style"/>
          <w:bCs/>
          <w:spacing w:val="-12"/>
          <w:sz w:val="6"/>
          <w:szCs w:val="6"/>
          <w:lang w:val="es-ES" w:eastAsia="es-ES"/>
        </w:rPr>
        <w:t>-</w:t>
      </w:r>
    </w:p>
    <w:p w:rsidR="00000000" w:rsidRDefault="003C7410" w:rsidP="00172C31">
      <w:pPr>
        <w:pStyle w:val="Style1"/>
        <w:kinsoku w:val="0"/>
        <w:autoSpaceDE/>
        <w:autoSpaceDN/>
        <w:adjustRightInd/>
        <w:spacing w:before="216"/>
        <w:jc w:val="both"/>
        <w:rPr>
          <w:rFonts w:ascii="Bookman Old Style" w:hAnsi="Bookman Old Style" w:cs="Bookman Old Style"/>
          <w:b/>
          <w:bCs/>
          <w:spacing w:val="-16"/>
          <w:sz w:val="22"/>
          <w:szCs w:val="22"/>
          <w:lang w:val="es-ES" w:eastAsia="es-ES"/>
        </w:rPr>
      </w:pPr>
      <w:r>
        <w:rPr>
          <w:rFonts w:ascii="Garamond" w:hAnsi="Garamond" w:cs="Garamond"/>
          <w:spacing w:val="1"/>
          <w:sz w:val="26"/>
          <w:szCs w:val="26"/>
          <w:lang w:val="es-ES" w:eastAsia="es-ES"/>
        </w:rPr>
        <w:t xml:space="preserve">Se conoce </w:t>
      </w:r>
      <w:r>
        <w:rPr>
          <w:spacing w:val="1"/>
          <w:sz w:val="18"/>
          <w:szCs w:val="18"/>
          <w:lang w:val="es-ES" w:eastAsia="es-ES"/>
        </w:rPr>
        <w:t xml:space="preserve">RECURSO DE REVOCATORIA CON APELACIÓN EN SUBSIDIO, </w:t>
      </w:r>
      <w:r>
        <w:rPr>
          <w:rFonts w:ascii="Garamond" w:hAnsi="Garamond" w:cs="Garamond"/>
          <w:spacing w:val="1"/>
          <w:sz w:val="26"/>
          <w:szCs w:val="26"/>
          <w:lang w:val="es-ES" w:eastAsia="es-ES"/>
        </w:rPr>
        <w:t>interpuestos por</w:t>
      </w:r>
      <w:r w:rsidR="00172C31">
        <w:rPr>
          <w:rFonts w:ascii="Garamond" w:hAnsi="Garamond" w:cs="Garamond"/>
          <w:spacing w:val="1"/>
          <w:sz w:val="26"/>
          <w:szCs w:val="26"/>
          <w:lang w:val="es-ES" w:eastAsia="es-ES"/>
        </w:rPr>
        <w:t xml:space="preserve"> </w:t>
      </w:r>
      <w:r>
        <w:rPr>
          <w:rFonts w:ascii="Garamond" w:hAnsi="Garamond" w:cs="Garamond"/>
          <w:spacing w:val="-5"/>
          <w:sz w:val="26"/>
          <w:szCs w:val="26"/>
          <w:lang w:val="es-ES" w:eastAsia="es-ES"/>
        </w:rPr>
        <w:t xml:space="preserve">Daniel Barrantes Quirós, en su condición representante de la empresa </w:t>
      </w:r>
      <w:r w:rsidR="00172C31">
        <w:rPr>
          <w:rFonts w:ascii="Garamond" w:hAnsi="Garamond" w:cs="Garamond"/>
          <w:spacing w:val="-5"/>
          <w:sz w:val="26"/>
          <w:szCs w:val="26"/>
          <w:lang w:val="es-ES" w:eastAsia="es-ES"/>
        </w:rPr>
        <w:t>A</w:t>
      </w:r>
      <w:r>
        <w:rPr>
          <w:rFonts w:ascii="Garamond" w:hAnsi="Garamond" w:cs="Garamond"/>
          <w:spacing w:val="-5"/>
          <w:sz w:val="26"/>
          <w:szCs w:val="26"/>
          <w:lang w:val="es-ES" w:eastAsia="es-ES"/>
        </w:rPr>
        <w:t>G</w:t>
      </w:r>
      <w:r>
        <w:rPr>
          <w:rFonts w:ascii="Garamond" w:hAnsi="Garamond" w:cs="Garamond"/>
          <w:spacing w:val="-12"/>
          <w:sz w:val="26"/>
          <w:szCs w:val="26"/>
          <w:lang w:val="es-ES" w:eastAsia="es-ES"/>
        </w:rPr>
        <w:t xml:space="preserve"> (AG</w:t>
      </w:r>
      <w:r>
        <w:rPr>
          <w:rFonts w:ascii="Garamond" w:hAnsi="Garamond" w:cs="Garamond"/>
          <w:spacing w:val="-12"/>
          <w:sz w:val="26"/>
          <w:szCs w:val="26"/>
          <w:lang w:val="es-ES" w:eastAsia="es-ES"/>
        </w:rPr>
        <w:t xml:space="preserve"> S.A), cédula de persona </w:t>
      </w:r>
      <w:proofErr w:type="gramStart"/>
      <w:r>
        <w:rPr>
          <w:rFonts w:ascii="Garamond" w:hAnsi="Garamond" w:cs="Garamond"/>
          <w:spacing w:val="-12"/>
          <w:sz w:val="26"/>
          <w:szCs w:val="26"/>
          <w:lang w:val="es-ES" w:eastAsia="es-ES"/>
        </w:rPr>
        <w:t xml:space="preserve">jurídica </w:t>
      </w:r>
      <w:r w:rsidR="00172C31">
        <w:rPr>
          <w:rFonts w:ascii="Garamond" w:hAnsi="Garamond" w:cs="Garamond"/>
          <w:spacing w:val="-12"/>
          <w:sz w:val="26"/>
          <w:szCs w:val="26"/>
          <w:lang w:val="es-ES" w:eastAsia="es-ES"/>
        </w:rPr>
        <w:t>…</w:t>
      </w:r>
      <w:r>
        <w:rPr>
          <w:rFonts w:ascii="Garamond" w:hAnsi="Garamond" w:cs="Garamond"/>
          <w:spacing w:val="-12"/>
          <w:sz w:val="26"/>
          <w:szCs w:val="26"/>
          <w:lang w:val="es-ES" w:eastAsia="es-ES"/>
        </w:rPr>
        <w:t>.</w:t>
      </w:r>
      <w:proofErr w:type="gramEnd"/>
      <w:r>
        <w:rPr>
          <w:rFonts w:ascii="Garamond" w:hAnsi="Garamond" w:cs="Garamond"/>
          <w:spacing w:val="-12"/>
          <w:sz w:val="26"/>
          <w:szCs w:val="26"/>
          <w:lang w:val="es-ES" w:eastAsia="es-ES"/>
        </w:rPr>
        <w:t xml:space="preserve"> ACTO O </w:t>
      </w:r>
      <w:r>
        <w:rPr>
          <w:rFonts w:ascii="Garamond" w:hAnsi="Garamond" w:cs="Garamond"/>
          <w:spacing w:val="-9"/>
          <w:sz w:val="26"/>
          <w:szCs w:val="26"/>
          <w:lang w:val="es-ES" w:eastAsia="es-ES"/>
        </w:rPr>
        <w:t xml:space="preserve">ACUERDO IMPUGNADO: Artículo 10 de la Sesión 035-2002, de la Junta Directiva </w:t>
      </w:r>
      <w:r>
        <w:rPr>
          <w:rFonts w:ascii="Garamond" w:hAnsi="Garamond" w:cs="Garamond"/>
          <w:spacing w:val="4"/>
          <w:sz w:val="26"/>
          <w:szCs w:val="26"/>
          <w:lang w:val="es-ES" w:eastAsia="es-ES"/>
        </w:rPr>
        <w:t xml:space="preserve">del Consejo de Transporte Público del 09 de mayo del 2002. </w:t>
      </w:r>
      <w:r>
        <w:rPr>
          <w:rFonts w:ascii="Bookman Old Style" w:hAnsi="Bookman Old Style" w:cs="Bookman Old Style"/>
          <w:b/>
          <w:bCs/>
          <w:spacing w:val="4"/>
          <w:sz w:val="22"/>
          <w:szCs w:val="22"/>
          <w:lang w:val="es-ES" w:eastAsia="es-ES"/>
        </w:rPr>
        <w:t xml:space="preserve">Expediente </w:t>
      </w:r>
      <w:r>
        <w:rPr>
          <w:rFonts w:ascii="Bookman Old Style" w:hAnsi="Bookman Old Style" w:cs="Bookman Old Style"/>
          <w:b/>
          <w:bCs/>
          <w:spacing w:val="-16"/>
          <w:sz w:val="22"/>
          <w:szCs w:val="22"/>
          <w:lang w:val="es-ES" w:eastAsia="es-ES"/>
        </w:rPr>
        <w:t>Administrativo N° TAT-002-06.</w:t>
      </w:r>
    </w:p>
    <w:p w:rsidR="00000000" w:rsidRDefault="003C7410">
      <w:pPr>
        <w:pStyle w:val="Style1"/>
        <w:kinsoku w:val="0"/>
        <w:autoSpaceDE/>
        <w:autoSpaceDN/>
        <w:adjustRightInd/>
        <w:spacing w:before="576" w:line="199" w:lineRule="auto"/>
        <w:ind w:left="3240"/>
        <w:rPr>
          <w:rFonts w:ascii="Bookman Old Style" w:hAnsi="Bookman Old Style" w:cs="Bookman Old Style"/>
          <w:b/>
          <w:bCs/>
          <w:sz w:val="22"/>
          <w:szCs w:val="22"/>
          <w:lang w:val="es-ES" w:eastAsia="es-E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es-ES" w:eastAsia="es-ES"/>
        </w:rPr>
        <w:t>RESULTANDO:</w:t>
      </w:r>
    </w:p>
    <w:p w:rsidR="00000000" w:rsidRDefault="003C7410">
      <w:pPr>
        <w:pStyle w:val="Style1"/>
        <w:kinsoku w:val="0"/>
        <w:autoSpaceDE/>
        <w:autoSpaceDN/>
        <w:adjustRightInd/>
        <w:spacing w:before="288" w:line="208" w:lineRule="auto"/>
        <w:ind w:right="216"/>
        <w:jc w:val="both"/>
        <w:rPr>
          <w:rFonts w:ascii="Garamond" w:hAnsi="Garamond" w:cs="Garamond"/>
          <w:spacing w:val="-10"/>
          <w:sz w:val="26"/>
          <w:szCs w:val="26"/>
          <w:lang w:val="es-ES" w:eastAsia="es-ES"/>
        </w:rPr>
      </w:pPr>
      <w:r>
        <w:rPr>
          <w:rFonts w:ascii="Bookman Old Style" w:hAnsi="Bookman Old Style" w:cs="Bookman Old Style"/>
          <w:b/>
          <w:bCs/>
          <w:spacing w:val="-5"/>
          <w:sz w:val="22"/>
          <w:szCs w:val="22"/>
          <w:lang w:val="es-ES" w:eastAsia="es-ES"/>
        </w:rPr>
        <w:t xml:space="preserve">Primero: </w:t>
      </w:r>
      <w:r>
        <w:rPr>
          <w:rFonts w:ascii="Garamond" w:hAnsi="Garamond" w:cs="Garamond"/>
          <w:spacing w:val="-5"/>
          <w:sz w:val="26"/>
          <w:szCs w:val="26"/>
          <w:lang w:val="es-ES" w:eastAsia="es-ES"/>
        </w:rPr>
        <w:t xml:space="preserve">Que </w:t>
      </w:r>
      <w:r w:rsidR="00172C31">
        <w:rPr>
          <w:rFonts w:ascii="Garamond" w:hAnsi="Garamond" w:cs="Garamond"/>
          <w:spacing w:val="-5"/>
          <w:sz w:val="26"/>
          <w:szCs w:val="26"/>
          <w:lang w:val="es-ES" w:eastAsia="es-ES"/>
        </w:rPr>
        <w:t>A</w:t>
      </w:r>
      <w:r>
        <w:rPr>
          <w:rFonts w:ascii="Garamond" w:hAnsi="Garamond" w:cs="Garamond"/>
          <w:spacing w:val="-5"/>
          <w:sz w:val="26"/>
          <w:szCs w:val="26"/>
          <w:lang w:val="es-ES" w:eastAsia="es-ES"/>
        </w:rPr>
        <w:t>G</w:t>
      </w:r>
      <w:r>
        <w:rPr>
          <w:rFonts w:ascii="Garamond" w:hAnsi="Garamond" w:cs="Garamond"/>
          <w:spacing w:val="-5"/>
          <w:sz w:val="26"/>
          <w:szCs w:val="26"/>
          <w:lang w:val="es-ES" w:eastAsia="es-ES"/>
        </w:rPr>
        <w:t xml:space="preserve"> S.A., es permisionaria de la ruta 542 denominada Nicoya </w:t>
      </w:r>
      <w:r>
        <w:rPr>
          <w:rFonts w:ascii="Garamond" w:hAnsi="Garamond" w:cs="Garamond"/>
          <w:spacing w:val="-7"/>
          <w:sz w:val="26"/>
          <w:szCs w:val="26"/>
          <w:lang w:val="es-ES" w:eastAsia="es-ES"/>
        </w:rPr>
        <w:t xml:space="preserve">Nandayure y Viceversa, y viene a impugnar el artículo 10 de la Sesión 035-2002 del 09 </w:t>
      </w:r>
      <w:r>
        <w:rPr>
          <w:rFonts w:ascii="Garamond" w:hAnsi="Garamond" w:cs="Garamond"/>
          <w:spacing w:val="-13"/>
          <w:sz w:val="26"/>
          <w:szCs w:val="26"/>
          <w:lang w:val="es-ES" w:eastAsia="es-ES"/>
        </w:rPr>
        <w:t xml:space="preserve">de mayo del 2002, de la Junta Directiva del Consejo de Transporte Público, dictado con </w:t>
      </w:r>
      <w:r>
        <w:rPr>
          <w:rFonts w:ascii="Garamond" w:hAnsi="Garamond" w:cs="Garamond"/>
          <w:spacing w:val="-8"/>
          <w:sz w:val="26"/>
          <w:szCs w:val="26"/>
          <w:lang w:val="es-ES" w:eastAsia="es-ES"/>
        </w:rPr>
        <w:t>fundamento en e</w:t>
      </w:r>
      <w:r>
        <w:rPr>
          <w:rFonts w:ascii="Garamond" w:hAnsi="Garamond" w:cs="Garamond"/>
          <w:spacing w:val="-8"/>
          <w:sz w:val="26"/>
          <w:szCs w:val="26"/>
          <w:lang w:val="es-ES" w:eastAsia="es-ES"/>
        </w:rPr>
        <w:t xml:space="preserve">l informe N° IT- 2002- 0155, de fecha 26 de abril del 2002. Toda vez </w:t>
      </w:r>
      <w:r>
        <w:rPr>
          <w:rFonts w:ascii="Garamond" w:hAnsi="Garamond" w:cs="Garamond"/>
          <w:spacing w:val="-7"/>
          <w:sz w:val="26"/>
          <w:szCs w:val="26"/>
          <w:lang w:val="es-ES" w:eastAsia="es-ES"/>
        </w:rPr>
        <w:t xml:space="preserve">que al reestructurar y aumentar los horarios solicitados por la ruta 543 denominada </w:t>
      </w:r>
      <w:r>
        <w:rPr>
          <w:rFonts w:ascii="Garamond" w:hAnsi="Garamond" w:cs="Garamond"/>
          <w:spacing w:val="-5"/>
          <w:sz w:val="26"/>
          <w:szCs w:val="26"/>
          <w:lang w:val="es-ES" w:eastAsia="es-ES"/>
        </w:rPr>
        <w:t xml:space="preserve">Nicoya- Playa Naranjo, provocó un choque en varios horarios de los autorizados </w:t>
      </w:r>
      <w:r>
        <w:rPr>
          <w:rFonts w:ascii="Garamond" w:hAnsi="Garamond" w:cs="Garamond"/>
          <w:spacing w:val="-2"/>
          <w:sz w:val="26"/>
          <w:szCs w:val="26"/>
          <w:lang w:val="es-ES" w:eastAsia="es-ES"/>
        </w:rPr>
        <w:t>principalmente en los ho</w:t>
      </w:r>
      <w:r>
        <w:rPr>
          <w:rFonts w:ascii="Garamond" w:hAnsi="Garamond" w:cs="Garamond"/>
          <w:spacing w:val="-2"/>
          <w:sz w:val="26"/>
          <w:szCs w:val="26"/>
          <w:lang w:val="es-ES" w:eastAsia="es-ES"/>
        </w:rPr>
        <w:t xml:space="preserve">rarios de Nicoya y, uno de la localidad de Nandayure. </w:t>
      </w:r>
      <w:r>
        <w:rPr>
          <w:rFonts w:ascii="Garamond" w:hAnsi="Garamond" w:cs="Garamond"/>
          <w:spacing w:val="-11"/>
          <w:sz w:val="26"/>
          <w:szCs w:val="26"/>
          <w:lang w:val="es-ES" w:eastAsia="es-ES"/>
        </w:rPr>
        <w:t xml:space="preserve">Argumenta que tal modificación afecta sus intereses y los de su representada porque la </w:t>
      </w:r>
      <w:r>
        <w:rPr>
          <w:rFonts w:ascii="Garamond" w:hAnsi="Garamond" w:cs="Garamond"/>
          <w:spacing w:val="-10"/>
          <w:sz w:val="26"/>
          <w:szCs w:val="26"/>
          <w:lang w:val="es-ES" w:eastAsia="es-ES"/>
        </w:rPr>
        <w:t>empresa ARSA solo prestaba dos horarios, y no tres como sí los tenía autorizados, la variación e incremento de hora</w:t>
      </w:r>
      <w:r>
        <w:rPr>
          <w:rFonts w:ascii="Garamond" w:hAnsi="Garamond" w:cs="Garamond"/>
          <w:spacing w:val="-10"/>
          <w:sz w:val="26"/>
          <w:szCs w:val="26"/>
          <w:lang w:val="es-ES" w:eastAsia="es-ES"/>
        </w:rPr>
        <w:t xml:space="preserve">rios debe ser respaldado por el debido proceso, que existe </w:t>
      </w:r>
      <w:r>
        <w:rPr>
          <w:rFonts w:ascii="Garamond" w:hAnsi="Garamond" w:cs="Garamond"/>
          <w:spacing w:val="-8"/>
          <w:sz w:val="26"/>
          <w:szCs w:val="26"/>
          <w:lang w:val="es-ES" w:eastAsia="es-ES"/>
        </w:rPr>
        <w:t xml:space="preserve">un perjuicio directo contra su representada que debe anularse. Alega también que la </w:t>
      </w:r>
      <w:r>
        <w:rPr>
          <w:rFonts w:ascii="Garamond" w:hAnsi="Garamond" w:cs="Garamond"/>
          <w:spacing w:val="-1"/>
          <w:sz w:val="26"/>
          <w:szCs w:val="26"/>
          <w:lang w:val="es-ES" w:eastAsia="es-ES"/>
        </w:rPr>
        <w:t xml:space="preserve">aprobación de horarios se efectuó sin el debido proceso al no notificarle a su </w:t>
      </w:r>
      <w:r>
        <w:rPr>
          <w:rFonts w:ascii="Garamond" w:hAnsi="Garamond" w:cs="Garamond"/>
          <w:spacing w:val="-13"/>
          <w:sz w:val="26"/>
          <w:szCs w:val="26"/>
          <w:lang w:val="es-ES" w:eastAsia="es-ES"/>
        </w:rPr>
        <w:t>representada. Subsecuentemente est</w:t>
      </w:r>
      <w:r>
        <w:rPr>
          <w:rFonts w:ascii="Garamond" w:hAnsi="Garamond" w:cs="Garamond"/>
          <w:spacing w:val="-13"/>
          <w:sz w:val="26"/>
          <w:szCs w:val="26"/>
          <w:lang w:val="es-ES" w:eastAsia="es-ES"/>
        </w:rPr>
        <w:t xml:space="preserve">ablece una denuncia contra ARSA, porque presta un </w:t>
      </w:r>
      <w:r>
        <w:rPr>
          <w:rFonts w:ascii="Garamond" w:hAnsi="Garamond" w:cs="Garamond"/>
          <w:spacing w:val="-9"/>
          <w:sz w:val="26"/>
          <w:szCs w:val="26"/>
          <w:lang w:val="es-ES" w:eastAsia="es-ES"/>
        </w:rPr>
        <w:t xml:space="preserve">servicio a la ciudad de Nandayure que no </w:t>
      </w:r>
      <w:proofErr w:type="spellStart"/>
      <w:r>
        <w:rPr>
          <w:rFonts w:ascii="Garamond" w:hAnsi="Garamond" w:cs="Garamond"/>
          <w:spacing w:val="-9"/>
          <w:sz w:val="26"/>
          <w:szCs w:val="26"/>
          <w:lang w:val="es-ES" w:eastAsia="es-ES"/>
        </w:rPr>
        <w:t>esta</w:t>
      </w:r>
      <w:proofErr w:type="spellEnd"/>
      <w:r>
        <w:rPr>
          <w:rFonts w:ascii="Garamond" w:hAnsi="Garamond" w:cs="Garamond"/>
          <w:spacing w:val="-9"/>
          <w:sz w:val="26"/>
          <w:szCs w:val="26"/>
          <w:lang w:val="es-ES" w:eastAsia="es-ES"/>
        </w:rPr>
        <w:t xml:space="preserve"> autorizado y que atenta contra su empresa </w:t>
      </w:r>
      <w:r>
        <w:rPr>
          <w:rFonts w:ascii="Garamond" w:hAnsi="Garamond" w:cs="Garamond"/>
          <w:spacing w:val="-14"/>
          <w:sz w:val="26"/>
          <w:szCs w:val="26"/>
          <w:lang w:val="es-ES" w:eastAsia="es-ES"/>
        </w:rPr>
        <w:t xml:space="preserve">y la empresa RYOZUMO. Que es necesario que se estudie y que se inicie un proceso de </w:t>
      </w:r>
      <w:r>
        <w:rPr>
          <w:rFonts w:ascii="Garamond" w:hAnsi="Garamond" w:cs="Garamond"/>
          <w:spacing w:val="-10"/>
          <w:sz w:val="26"/>
          <w:szCs w:val="26"/>
          <w:lang w:val="es-ES" w:eastAsia="es-ES"/>
        </w:rPr>
        <w:t>caducidad contra ARSA.</w:t>
      </w:r>
    </w:p>
    <w:p w:rsidR="003C7410" w:rsidRDefault="003C7410">
      <w:pPr>
        <w:pStyle w:val="Style1"/>
        <w:kinsoku w:val="0"/>
        <w:autoSpaceDE/>
        <w:autoSpaceDN/>
        <w:adjustRightInd/>
        <w:spacing w:before="252" w:line="429" w:lineRule="auto"/>
        <w:ind w:right="1152"/>
        <w:rPr>
          <w:rFonts w:ascii="Garamond" w:hAnsi="Garamond" w:cs="Garamond"/>
          <w:spacing w:val="-15"/>
          <w:sz w:val="26"/>
          <w:szCs w:val="26"/>
          <w:lang w:val="es-ES" w:eastAsia="es-ES"/>
        </w:rPr>
      </w:pPr>
      <w:r>
        <w:rPr>
          <w:rFonts w:ascii="Bookman Old Style" w:hAnsi="Bookman Old Style" w:cs="Bookman Old Style"/>
          <w:b/>
          <w:bCs/>
          <w:spacing w:val="-15"/>
          <w:sz w:val="22"/>
          <w:szCs w:val="22"/>
          <w:lang w:val="es-ES" w:eastAsia="es-ES"/>
        </w:rPr>
        <w:t xml:space="preserve">Segundo: </w:t>
      </w:r>
      <w:r>
        <w:rPr>
          <w:rFonts w:ascii="Garamond" w:hAnsi="Garamond" w:cs="Garamond"/>
          <w:spacing w:val="-15"/>
          <w:sz w:val="26"/>
          <w:szCs w:val="26"/>
          <w:lang w:val="es-ES" w:eastAsia="es-ES"/>
        </w:rPr>
        <w:t xml:space="preserve">Que en los procedimientos se han seguido las prescripciones de ley. </w:t>
      </w:r>
    </w:p>
    <w:p w:rsidR="00000000" w:rsidRDefault="003C7410">
      <w:pPr>
        <w:pStyle w:val="Style1"/>
        <w:kinsoku w:val="0"/>
        <w:autoSpaceDE/>
        <w:autoSpaceDN/>
        <w:adjustRightInd/>
        <w:spacing w:before="252" w:line="429" w:lineRule="auto"/>
        <w:ind w:right="1152"/>
        <w:rPr>
          <w:rFonts w:ascii="Bookman Old Style" w:hAnsi="Bookman Old Style" w:cs="Bookman Old Style"/>
          <w:b/>
          <w:bCs/>
          <w:spacing w:val="-4"/>
          <w:sz w:val="22"/>
          <w:szCs w:val="22"/>
          <w:lang w:val="es-ES" w:eastAsia="es-ES"/>
        </w:rPr>
      </w:pPr>
      <w:r>
        <w:rPr>
          <w:rFonts w:ascii="Bookman Old Style" w:hAnsi="Bookman Old Style" w:cs="Bookman Old Style"/>
          <w:b/>
          <w:bCs/>
          <w:spacing w:val="-4"/>
          <w:sz w:val="22"/>
          <w:szCs w:val="22"/>
          <w:lang w:val="es-ES" w:eastAsia="es-ES"/>
        </w:rPr>
        <w:t>REDACTA EL JUEZ PORTUGUEZ MÉNDEZ, Y</w:t>
      </w:r>
    </w:p>
    <w:p w:rsidR="00000000" w:rsidRDefault="003C7410">
      <w:pPr>
        <w:pStyle w:val="Style1"/>
        <w:kinsoku w:val="0"/>
        <w:autoSpaceDE/>
        <w:autoSpaceDN/>
        <w:adjustRightInd/>
        <w:spacing w:before="180" w:line="204" w:lineRule="auto"/>
        <w:ind w:left="3096"/>
        <w:rPr>
          <w:rFonts w:ascii="Bookman Old Style" w:hAnsi="Bookman Old Style" w:cs="Bookman Old Style"/>
          <w:b/>
          <w:bCs/>
          <w:sz w:val="22"/>
          <w:szCs w:val="22"/>
          <w:lang w:val="es-ES" w:eastAsia="es-E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es-ES" w:eastAsia="es-ES"/>
        </w:rPr>
        <w:t>CONSIDERANDO</w:t>
      </w:r>
    </w:p>
    <w:p w:rsidR="00000000" w:rsidRDefault="003C7410">
      <w:pPr>
        <w:pStyle w:val="Style1"/>
        <w:kinsoku w:val="0"/>
        <w:autoSpaceDE/>
        <w:autoSpaceDN/>
        <w:adjustRightInd/>
        <w:spacing w:before="216" w:line="204" w:lineRule="auto"/>
        <w:ind w:right="216"/>
        <w:jc w:val="both"/>
        <w:rPr>
          <w:rFonts w:ascii="Garamond" w:hAnsi="Garamond" w:cs="Garamond"/>
          <w:spacing w:val="-13"/>
          <w:sz w:val="26"/>
          <w:szCs w:val="26"/>
          <w:lang w:val="es-ES" w:eastAsia="es-ES"/>
        </w:rPr>
      </w:pPr>
      <w:r>
        <w:rPr>
          <w:rFonts w:ascii="Bookman Old Style" w:hAnsi="Bookman Old Style" w:cs="Bookman Old Style"/>
          <w:b/>
          <w:bCs/>
          <w:spacing w:val="-1"/>
          <w:sz w:val="22"/>
          <w:szCs w:val="22"/>
          <w:lang w:val="es-ES" w:eastAsia="es-ES"/>
        </w:rPr>
        <w:t>I.-</w:t>
      </w:r>
      <w:r>
        <w:rPr>
          <w:rFonts w:ascii="Bookman Old Style" w:hAnsi="Bookman Old Style" w:cs="Bookman Old Style"/>
          <w:b/>
          <w:bCs/>
          <w:spacing w:val="-1"/>
          <w:sz w:val="6"/>
          <w:szCs w:val="6"/>
          <w:lang w:val="es-ES" w:eastAsia="es-ES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22"/>
          <w:szCs w:val="22"/>
          <w:lang w:val="es-ES" w:eastAsia="es-ES"/>
        </w:rPr>
        <w:t xml:space="preserve">SOBRE LA COMPETENCIA: </w:t>
      </w:r>
      <w:r>
        <w:rPr>
          <w:rFonts w:ascii="Garamond" w:hAnsi="Garamond" w:cs="Garamond"/>
          <w:spacing w:val="-1"/>
          <w:sz w:val="26"/>
          <w:szCs w:val="26"/>
          <w:lang w:val="es-ES" w:eastAsia="es-ES"/>
        </w:rPr>
        <w:t xml:space="preserve">De conformidad con el artículo 22 de la Ley </w:t>
      </w:r>
      <w:r>
        <w:rPr>
          <w:rFonts w:ascii="Garamond" w:hAnsi="Garamond" w:cs="Garamond"/>
          <w:spacing w:val="-8"/>
          <w:sz w:val="26"/>
          <w:szCs w:val="26"/>
          <w:lang w:val="es-ES" w:eastAsia="es-ES"/>
        </w:rPr>
        <w:t>Reguladora del Servicio Públi</w:t>
      </w:r>
      <w:r>
        <w:rPr>
          <w:rFonts w:ascii="Garamond" w:hAnsi="Garamond" w:cs="Garamond"/>
          <w:spacing w:val="-8"/>
          <w:sz w:val="26"/>
          <w:szCs w:val="26"/>
          <w:lang w:val="es-ES" w:eastAsia="es-ES"/>
        </w:rPr>
        <w:t xml:space="preserve">co de Transporte Remunerado de Personas en Vehículos </w:t>
      </w:r>
      <w:r>
        <w:rPr>
          <w:rFonts w:ascii="Garamond" w:hAnsi="Garamond" w:cs="Garamond"/>
          <w:spacing w:val="-7"/>
          <w:sz w:val="26"/>
          <w:szCs w:val="26"/>
          <w:lang w:val="es-ES" w:eastAsia="es-ES"/>
        </w:rPr>
        <w:t xml:space="preserve">en la Modalidad de Taxi, N° 7969 del 22 de diciembre de 1999, y sus reformas y el </w:t>
      </w:r>
      <w:r>
        <w:rPr>
          <w:rFonts w:ascii="Garamond" w:hAnsi="Garamond" w:cs="Garamond"/>
          <w:spacing w:val="-5"/>
          <w:sz w:val="26"/>
          <w:szCs w:val="26"/>
          <w:lang w:val="es-ES" w:eastAsia="es-ES"/>
        </w:rPr>
        <w:t xml:space="preserve">Dictamen de la Procuraduría General de la República </w:t>
      </w:r>
      <w:r>
        <w:rPr>
          <w:rFonts w:ascii="Bookman Old Style" w:hAnsi="Bookman Old Style" w:cs="Bookman Old Style"/>
          <w:b/>
          <w:bCs/>
          <w:spacing w:val="-5"/>
          <w:sz w:val="22"/>
          <w:szCs w:val="22"/>
          <w:lang w:val="es-ES" w:eastAsia="es-ES"/>
        </w:rPr>
        <w:t>N° C</w:t>
      </w:r>
      <w:r>
        <w:rPr>
          <w:rFonts w:ascii="Bookman Old Style" w:hAnsi="Bookman Old Style" w:cs="Bookman Old Style"/>
          <w:b/>
          <w:bCs/>
          <w:spacing w:val="-5"/>
          <w:sz w:val="6"/>
          <w:szCs w:val="6"/>
          <w:lang w:val="es-ES" w:eastAsia="es-ES"/>
        </w:rPr>
        <w:t>-</w:t>
      </w:r>
      <w:r>
        <w:rPr>
          <w:rFonts w:ascii="Bookman Old Style" w:hAnsi="Bookman Old Style" w:cs="Bookman Old Style"/>
          <w:b/>
          <w:bCs/>
          <w:spacing w:val="-5"/>
          <w:sz w:val="22"/>
          <w:szCs w:val="22"/>
          <w:lang w:val="es-ES" w:eastAsia="es-ES"/>
        </w:rPr>
        <w:t>037</w:t>
      </w:r>
      <w:r>
        <w:rPr>
          <w:rFonts w:ascii="Bookman Old Style" w:hAnsi="Bookman Old Style" w:cs="Bookman Old Style"/>
          <w:b/>
          <w:bCs/>
          <w:spacing w:val="-5"/>
          <w:sz w:val="6"/>
          <w:szCs w:val="6"/>
          <w:lang w:val="es-ES" w:eastAsia="es-ES"/>
        </w:rPr>
        <w:t>-</w:t>
      </w:r>
      <w:r>
        <w:rPr>
          <w:rFonts w:ascii="Bookman Old Style" w:hAnsi="Bookman Old Style" w:cs="Bookman Old Style"/>
          <w:b/>
          <w:bCs/>
          <w:spacing w:val="-5"/>
          <w:sz w:val="22"/>
          <w:szCs w:val="22"/>
          <w:lang w:val="es-ES" w:eastAsia="es-ES"/>
        </w:rPr>
        <w:t xml:space="preserve">2000 del 25 de </w:t>
      </w:r>
      <w:r>
        <w:rPr>
          <w:rFonts w:ascii="Bookman Old Style" w:hAnsi="Bookman Old Style" w:cs="Bookman Old Style"/>
          <w:b/>
          <w:bCs/>
          <w:spacing w:val="-10"/>
          <w:sz w:val="22"/>
          <w:szCs w:val="22"/>
          <w:lang w:val="es-ES" w:eastAsia="es-ES"/>
        </w:rPr>
        <w:t xml:space="preserve">febrero de 2000; el Tribunal </w:t>
      </w:r>
      <w:r>
        <w:rPr>
          <w:rFonts w:ascii="Garamond" w:hAnsi="Garamond" w:cs="Garamond"/>
          <w:spacing w:val="-10"/>
          <w:sz w:val="26"/>
          <w:szCs w:val="26"/>
          <w:lang w:val="es-ES" w:eastAsia="es-ES"/>
        </w:rPr>
        <w:t>Administrat</w:t>
      </w:r>
      <w:r>
        <w:rPr>
          <w:rFonts w:ascii="Garamond" w:hAnsi="Garamond" w:cs="Garamond"/>
          <w:spacing w:val="-10"/>
          <w:sz w:val="26"/>
          <w:szCs w:val="26"/>
          <w:lang w:val="es-ES" w:eastAsia="es-ES"/>
        </w:rPr>
        <w:t xml:space="preserve">ivo de Transporte es el competente para </w:t>
      </w:r>
      <w:r>
        <w:rPr>
          <w:rFonts w:ascii="Garamond" w:hAnsi="Garamond" w:cs="Garamond"/>
          <w:spacing w:val="-13"/>
          <w:sz w:val="26"/>
          <w:szCs w:val="26"/>
          <w:lang w:val="es-ES" w:eastAsia="es-ES"/>
        </w:rPr>
        <w:t xml:space="preserve">conocer y resolver </w:t>
      </w:r>
      <w:r>
        <w:rPr>
          <w:rFonts w:ascii="Bookman Old Style" w:hAnsi="Bookman Old Style" w:cs="Bookman Old Style"/>
          <w:b/>
          <w:bCs/>
          <w:spacing w:val="-13"/>
          <w:sz w:val="22"/>
          <w:szCs w:val="22"/>
          <w:lang w:val="es-ES" w:eastAsia="es-ES"/>
        </w:rPr>
        <w:t xml:space="preserve">el presente </w:t>
      </w:r>
      <w:r>
        <w:rPr>
          <w:rFonts w:ascii="Garamond" w:hAnsi="Garamond" w:cs="Garamond"/>
          <w:spacing w:val="-13"/>
          <w:sz w:val="26"/>
          <w:szCs w:val="26"/>
          <w:lang w:val="es-ES" w:eastAsia="es-ES"/>
        </w:rPr>
        <w:t>recurso y nulidad concomitante.</w:t>
      </w:r>
    </w:p>
    <w:p w:rsidR="00000000" w:rsidRDefault="003C7410" w:rsidP="003C7410">
      <w:pPr>
        <w:pStyle w:val="Style2"/>
        <w:kinsoku w:val="0"/>
        <w:autoSpaceDE/>
        <w:autoSpaceDN/>
        <w:adjustRightInd/>
        <w:spacing w:before="72" w:line="206" w:lineRule="auto"/>
        <w:ind w:right="234"/>
        <w:jc w:val="both"/>
        <w:rPr>
          <w:rStyle w:val="CharacterStyle3"/>
          <w:rFonts w:ascii="Garamond" w:hAnsi="Garamond" w:cs="Garamond"/>
          <w:spacing w:val="-8"/>
          <w:sz w:val="26"/>
          <w:szCs w:val="26"/>
          <w:lang w:val="es-ES" w:eastAsia="es-ES"/>
        </w:rPr>
      </w:pPr>
      <w:r w:rsidRPr="003C7410">
        <w:rPr>
          <w:rFonts w:ascii="Bookman Old Style" w:hAnsi="Bookman Old Style" w:cs="Bookman Old Style"/>
          <w:b/>
          <w:bCs/>
          <w:spacing w:val="-1"/>
          <w:sz w:val="22"/>
          <w:szCs w:val="22"/>
          <w:lang w:val="es-CR"/>
        </w:rPr>
        <w:t>II.</w:t>
      </w:r>
      <w:r w:rsidRPr="003C7410">
        <w:rPr>
          <w:rFonts w:ascii="Bookman Old Style" w:hAnsi="Bookman Old Style" w:cs="Bookman Old Style"/>
          <w:b/>
          <w:bCs/>
          <w:spacing w:val="-1"/>
          <w:sz w:val="22"/>
          <w:szCs w:val="22"/>
          <w:lang w:val="es-CR"/>
        </w:rPr>
        <w:t>-</w:t>
      </w:r>
      <w:r>
        <w:rPr>
          <w:rStyle w:val="CharacterStyle3"/>
          <w:rFonts w:ascii="Garamond" w:hAnsi="Garamond" w:cs="Garamond"/>
          <w:spacing w:val="35"/>
          <w:sz w:val="23"/>
          <w:szCs w:val="23"/>
          <w:lang w:val="es-ES" w:eastAsia="es-ES"/>
        </w:rPr>
        <w:t xml:space="preserve"> </w:t>
      </w:r>
      <w:r w:rsidRPr="003C7410">
        <w:rPr>
          <w:rFonts w:ascii="Bookman Old Style" w:hAnsi="Bookman Old Style" w:cs="Bookman Old Style"/>
          <w:b/>
          <w:spacing w:val="-1"/>
          <w:sz w:val="22"/>
          <w:szCs w:val="22"/>
          <w:lang w:val="es-CR"/>
        </w:rPr>
        <w:t>SOBRE LA ADMISIBILIDAD DEL RECURSO</w:t>
      </w:r>
      <w:r>
        <w:rPr>
          <w:rStyle w:val="CharacterStyle3"/>
          <w:b/>
          <w:bCs/>
          <w:spacing w:val="35"/>
          <w:sz w:val="23"/>
          <w:szCs w:val="23"/>
          <w:lang w:val="es-ES" w:eastAsia="es-ES"/>
        </w:rPr>
        <w:t xml:space="preserve">: a) En cuanto a la </w:t>
      </w:r>
      <w:r>
        <w:rPr>
          <w:rStyle w:val="CharacterStyle3"/>
          <w:b/>
          <w:bCs/>
          <w:spacing w:val="-2"/>
          <w:sz w:val="23"/>
          <w:szCs w:val="23"/>
          <w:lang w:val="es-ES" w:eastAsia="es-ES"/>
        </w:rPr>
        <w:t xml:space="preserve">legitimación: </w:t>
      </w:r>
      <w:r>
        <w:rPr>
          <w:rStyle w:val="CharacterStyle3"/>
          <w:rFonts w:ascii="Garamond" w:hAnsi="Garamond" w:cs="Garamond"/>
          <w:spacing w:val="-2"/>
          <w:sz w:val="26"/>
          <w:szCs w:val="26"/>
          <w:lang w:val="es-ES" w:eastAsia="es-ES"/>
        </w:rPr>
        <w:t xml:space="preserve">El </w:t>
      </w:r>
      <w:r>
        <w:rPr>
          <w:rStyle w:val="CharacterStyle3"/>
          <w:b/>
          <w:bCs/>
          <w:spacing w:val="-2"/>
          <w:sz w:val="23"/>
          <w:szCs w:val="23"/>
          <w:lang w:val="es-ES" w:eastAsia="es-ES"/>
        </w:rPr>
        <w:t xml:space="preserve">recurso </w:t>
      </w:r>
      <w:r>
        <w:rPr>
          <w:rStyle w:val="CharacterStyle3"/>
          <w:rFonts w:ascii="Garamond" w:hAnsi="Garamond" w:cs="Garamond"/>
          <w:spacing w:val="-2"/>
          <w:sz w:val="26"/>
          <w:szCs w:val="26"/>
          <w:lang w:val="es-ES" w:eastAsia="es-ES"/>
        </w:rPr>
        <w:t>es interpuesto por Daniel Barrantes Quiró</w:t>
      </w:r>
      <w:r>
        <w:rPr>
          <w:rStyle w:val="CharacterStyle3"/>
          <w:rFonts w:ascii="Garamond" w:hAnsi="Garamond" w:cs="Garamond"/>
          <w:spacing w:val="-2"/>
          <w:sz w:val="26"/>
          <w:szCs w:val="26"/>
          <w:lang w:val="es-ES" w:eastAsia="es-ES"/>
        </w:rPr>
        <w:t xml:space="preserve">s, en su carácter de </w:t>
      </w:r>
      <w:r>
        <w:rPr>
          <w:rStyle w:val="CharacterStyle3"/>
          <w:rFonts w:ascii="Garamond" w:hAnsi="Garamond" w:cs="Garamond"/>
          <w:spacing w:val="-5"/>
          <w:sz w:val="26"/>
          <w:szCs w:val="26"/>
          <w:lang w:val="es-ES" w:eastAsia="es-ES"/>
        </w:rPr>
        <w:t>representante de la empresa AG</w:t>
      </w:r>
      <w:r>
        <w:rPr>
          <w:rStyle w:val="CharacterStyle3"/>
          <w:rFonts w:ascii="Garamond" w:hAnsi="Garamond" w:cs="Garamond"/>
          <w:spacing w:val="-5"/>
          <w:sz w:val="26"/>
          <w:szCs w:val="26"/>
          <w:lang w:val="es-ES" w:eastAsia="es-ES"/>
        </w:rPr>
        <w:t xml:space="preserve"> (AG</w:t>
      </w:r>
      <w:r>
        <w:rPr>
          <w:rStyle w:val="CharacterStyle3"/>
          <w:rFonts w:ascii="Garamond" w:hAnsi="Garamond" w:cs="Garamond"/>
          <w:spacing w:val="-5"/>
          <w:sz w:val="26"/>
          <w:szCs w:val="26"/>
          <w:lang w:val="es-ES" w:eastAsia="es-ES"/>
        </w:rPr>
        <w:t xml:space="preserve"> S.A.), quien no </w:t>
      </w:r>
      <w:r>
        <w:rPr>
          <w:rStyle w:val="CharacterStyle3"/>
          <w:rFonts w:ascii="Garamond" w:hAnsi="Garamond" w:cs="Garamond"/>
          <w:spacing w:val="1"/>
          <w:sz w:val="26"/>
          <w:szCs w:val="26"/>
          <w:lang w:val="es-ES" w:eastAsia="es-ES"/>
        </w:rPr>
        <w:t xml:space="preserve">ostenta la legitimación establecida en el artículo 275 de la Ley General de la </w:t>
      </w:r>
      <w:r>
        <w:rPr>
          <w:rStyle w:val="CharacterStyle3"/>
          <w:rFonts w:ascii="Garamond" w:hAnsi="Garamond" w:cs="Garamond"/>
          <w:spacing w:val="-8"/>
          <w:sz w:val="26"/>
          <w:szCs w:val="26"/>
          <w:lang w:val="es-ES" w:eastAsia="es-ES"/>
        </w:rPr>
        <w:t xml:space="preserve">Administración Pública, </w:t>
      </w:r>
      <w:r>
        <w:rPr>
          <w:rStyle w:val="CharacterStyle3"/>
          <w:b/>
          <w:bCs/>
          <w:spacing w:val="-8"/>
          <w:sz w:val="23"/>
          <w:szCs w:val="23"/>
          <w:lang w:val="es-ES" w:eastAsia="es-ES"/>
        </w:rPr>
        <w:t xml:space="preserve">por lo </w:t>
      </w:r>
      <w:r>
        <w:rPr>
          <w:rStyle w:val="CharacterStyle3"/>
          <w:rFonts w:ascii="Garamond" w:hAnsi="Garamond" w:cs="Garamond"/>
          <w:spacing w:val="-8"/>
          <w:sz w:val="26"/>
          <w:szCs w:val="26"/>
          <w:lang w:val="es-ES" w:eastAsia="es-ES"/>
        </w:rPr>
        <w:t>que seguidamente se dirá:</w:t>
      </w:r>
    </w:p>
    <w:p w:rsidR="00000000" w:rsidRDefault="003C7410" w:rsidP="003C7410">
      <w:pPr>
        <w:pStyle w:val="Style3"/>
        <w:kinsoku w:val="0"/>
        <w:autoSpaceDE/>
        <w:autoSpaceDN/>
        <w:ind w:right="234"/>
        <w:rPr>
          <w:rStyle w:val="CharacterStyle2"/>
          <w:rFonts w:ascii="Garamond" w:hAnsi="Garamond" w:cs="Garamond"/>
          <w:spacing w:val="-9"/>
          <w:lang w:val="es-ES" w:eastAsia="es-ES"/>
        </w:rPr>
      </w:pPr>
      <w:r>
        <w:rPr>
          <w:rStyle w:val="CharacterStyle2"/>
          <w:rFonts w:ascii="Garamond" w:hAnsi="Garamond" w:cs="Garamond"/>
          <w:spacing w:val="-5"/>
          <w:lang w:val="es-ES" w:eastAsia="es-ES"/>
        </w:rPr>
        <w:t>Una vez vistos los alegatos qu</w:t>
      </w:r>
      <w:r>
        <w:rPr>
          <w:rStyle w:val="CharacterStyle2"/>
          <w:rFonts w:ascii="Garamond" w:hAnsi="Garamond" w:cs="Garamond"/>
          <w:spacing w:val="-5"/>
          <w:lang w:val="es-ES" w:eastAsia="es-ES"/>
        </w:rPr>
        <w:t xml:space="preserve">e expone la recurrente en los libelos que corren en </w:t>
      </w:r>
      <w:r>
        <w:rPr>
          <w:rStyle w:val="CharacterStyle2"/>
          <w:rFonts w:ascii="Garamond" w:hAnsi="Garamond" w:cs="Garamond"/>
          <w:spacing w:val="-11"/>
          <w:lang w:val="es-ES" w:eastAsia="es-ES"/>
        </w:rPr>
        <w:t xml:space="preserve">expediente N° 002-06, se observa claramente que su inconformidad consiste en que el </w:t>
      </w:r>
      <w:r>
        <w:rPr>
          <w:rStyle w:val="CharacterStyle2"/>
          <w:rFonts w:ascii="Garamond" w:hAnsi="Garamond" w:cs="Garamond"/>
          <w:spacing w:val="-9"/>
          <w:lang w:val="es-ES" w:eastAsia="es-ES"/>
        </w:rPr>
        <w:t>órgano aquí recurrido Consejo de Transporte Público, no le dio audiencia al emitir el artículo que impugna N° 10 de la s</w:t>
      </w:r>
      <w:r>
        <w:rPr>
          <w:rStyle w:val="CharacterStyle2"/>
          <w:rFonts w:ascii="Garamond" w:hAnsi="Garamond" w:cs="Garamond"/>
          <w:spacing w:val="-9"/>
          <w:lang w:val="es-ES" w:eastAsia="es-ES"/>
        </w:rPr>
        <w:t>esión ordinaria N° 35- 2002.</w:t>
      </w:r>
    </w:p>
    <w:p w:rsidR="00000000" w:rsidRDefault="003C7410" w:rsidP="003C7410">
      <w:pPr>
        <w:pStyle w:val="Style3"/>
        <w:kinsoku w:val="0"/>
        <w:autoSpaceDE/>
        <w:autoSpaceDN/>
        <w:ind w:right="234"/>
        <w:rPr>
          <w:rStyle w:val="CharacterStyle2"/>
          <w:rFonts w:ascii="Garamond" w:hAnsi="Garamond" w:cs="Garamond"/>
          <w:spacing w:val="-10"/>
          <w:lang w:val="es-ES" w:eastAsia="es-ES"/>
        </w:rPr>
      </w:pPr>
      <w:r>
        <w:rPr>
          <w:rStyle w:val="CharacterStyle2"/>
          <w:rFonts w:ascii="Garamond" w:hAnsi="Garamond" w:cs="Garamond"/>
          <w:spacing w:val="-5"/>
          <w:lang w:val="es-ES" w:eastAsia="es-ES"/>
        </w:rPr>
        <w:t xml:space="preserve">Sin embargo este Tribunal Administrativo, considera que el vicio alegado no existe, </w:t>
      </w:r>
      <w:r>
        <w:rPr>
          <w:rStyle w:val="CharacterStyle2"/>
          <w:rFonts w:ascii="Garamond" w:hAnsi="Garamond" w:cs="Garamond"/>
          <w:spacing w:val="-12"/>
          <w:lang w:val="es-ES" w:eastAsia="es-ES"/>
        </w:rPr>
        <w:t xml:space="preserve">más bien se trata de una errónea apreciación de la impugnante, toda vez, como bien lo </w:t>
      </w:r>
      <w:r>
        <w:rPr>
          <w:rStyle w:val="CharacterStyle2"/>
          <w:rFonts w:ascii="Garamond" w:hAnsi="Garamond" w:cs="Garamond"/>
          <w:spacing w:val="-8"/>
          <w:lang w:val="es-ES" w:eastAsia="es-ES"/>
        </w:rPr>
        <w:t>determinó la Sala Constitucional mediante resolución N°</w:t>
      </w:r>
      <w:r>
        <w:rPr>
          <w:rStyle w:val="CharacterStyle2"/>
          <w:rFonts w:ascii="Garamond" w:hAnsi="Garamond" w:cs="Garamond"/>
          <w:spacing w:val="-8"/>
          <w:lang w:val="es-ES" w:eastAsia="es-ES"/>
        </w:rPr>
        <w:t xml:space="preserve"> 2002- 09717, al declarar sin </w:t>
      </w:r>
      <w:r>
        <w:rPr>
          <w:rStyle w:val="CharacterStyle2"/>
          <w:rFonts w:ascii="Garamond" w:hAnsi="Garamond" w:cs="Garamond"/>
          <w:spacing w:val="-11"/>
          <w:lang w:val="es-ES" w:eastAsia="es-ES"/>
        </w:rPr>
        <w:t xml:space="preserve">lugar el recurso interpuesto por la aquí recurrente, en razón de que la Administración </w:t>
      </w:r>
      <w:r>
        <w:rPr>
          <w:rStyle w:val="CharacterStyle2"/>
          <w:rFonts w:ascii="Garamond" w:hAnsi="Garamond" w:cs="Garamond"/>
          <w:spacing w:val="-10"/>
          <w:lang w:val="es-ES" w:eastAsia="es-ES"/>
        </w:rPr>
        <w:t xml:space="preserve">recurrida solamente debe otorgar la audiencia prevista en el artículo 10 de la Ley </w:t>
      </w:r>
      <w:r>
        <w:rPr>
          <w:rStyle w:val="CharacterStyle2"/>
          <w:rFonts w:ascii="Garamond" w:hAnsi="Garamond" w:cs="Garamond"/>
          <w:spacing w:val="-10"/>
          <w:w w:val="105"/>
          <w:sz w:val="23"/>
          <w:szCs w:val="23"/>
          <w:lang w:val="es-ES" w:eastAsia="es-ES"/>
        </w:rPr>
        <w:t xml:space="preserve">3503, </w:t>
      </w:r>
      <w:r>
        <w:rPr>
          <w:rStyle w:val="CharacterStyle2"/>
          <w:rFonts w:ascii="Garamond" w:hAnsi="Garamond" w:cs="Garamond"/>
          <w:spacing w:val="-10"/>
          <w:lang w:val="es-ES" w:eastAsia="es-ES"/>
        </w:rPr>
        <w:t xml:space="preserve">cuando el </w:t>
      </w:r>
      <w:r>
        <w:rPr>
          <w:rStyle w:val="CharacterStyle2"/>
          <w:b/>
          <w:bCs/>
          <w:spacing w:val="-10"/>
          <w:w w:val="105"/>
          <w:sz w:val="24"/>
          <w:szCs w:val="24"/>
          <w:u w:val="single"/>
          <w:lang w:val="es-ES" w:eastAsia="es-ES"/>
        </w:rPr>
        <w:t>nuevo servicio</w:t>
      </w:r>
      <w:r>
        <w:rPr>
          <w:rStyle w:val="CharacterStyle2"/>
          <w:rFonts w:ascii="Garamond" w:hAnsi="Garamond" w:cs="Garamond"/>
          <w:spacing w:val="-10"/>
          <w:lang w:val="es-ES" w:eastAsia="es-ES"/>
        </w:rPr>
        <w:t xml:space="preserve"> que pretenda brindarse te</w:t>
      </w:r>
      <w:r>
        <w:rPr>
          <w:rStyle w:val="CharacterStyle2"/>
          <w:rFonts w:ascii="Garamond" w:hAnsi="Garamond" w:cs="Garamond"/>
          <w:spacing w:val="-10"/>
          <w:lang w:val="es-ES" w:eastAsia="es-ES"/>
        </w:rPr>
        <w:t xml:space="preserve">nga sustancialmente idéntica ruta </w:t>
      </w:r>
      <w:r>
        <w:rPr>
          <w:rStyle w:val="CharacterStyle2"/>
          <w:rFonts w:ascii="Garamond" w:hAnsi="Garamond" w:cs="Garamond"/>
          <w:spacing w:val="-10"/>
          <w:lang w:val="es-ES" w:eastAsia="es-ES"/>
        </w:rPr>
        <w:lastRenderedPageBreak/>
        <w:t xml:space="preserve">o </w:t>
      </w:r>
      <w:r>
        <w:rPr>
          <w:rStyle w:val="CharacterStyle2"/>
          <w:rFonts w:ascii="Garamond" w:hAnsi="Garamond" w:cs="Garamond"/>
          <w:spacing w:val="-8"/>
          <w:lang w:val="es-ES" w:eastAsia="es-ES"/>
        </w:rPr>
        <w:t xml:space="preserve">línea en operación y de conformidad con el informe de Ingeniería no se trata de un </w:t>
      </w:r>
      <w:r>
        <w:rPr>
          <w:rStyle w:val="CharacterStyle2"/>
          <w:rFonts w:ascii="Garamond" w:hAnsi="Garamond" w:cs="Garamond"/>
          <w:spacing w:val="-6"/>
          <w:lang w:val="es-ES" w:eastAsia="es-ES"/>
        </w:rPr>
        <w:t xml:space="preserve">servicio nuevo, más bien, la modificación recomendada procura brindar un mejor </w:t>
      </w:r>
      <w:r>
        <w:rPr>
          <w:rStyle w:val="CharacterStyle2"/>
          <w:rFonts w:ascii="Garamond" w:hAnsi="Garamond" w:cs="Garamond"/>
          <w:spacing w:val="-2"/>
          <w:lang w:val="es-ES" w:eastAsia="es-ES"/>
        </w:rPr>
        <w:t>servicio a los usuarios de la línea 543, distinta a la que</w:t>
      </w:r>
      <w:r>
        <w:rPr>
          <w:rStyle w:val="CharacterStyle2"/>
          <w:rFonts w:ascii="Garamond" w:hAnsi="Garamond" w:cs="Garamond"/>
          <w:spacing w:val="-2"/>
          <w:lang w:val="es-ES" w:eastAsia="es-ES"/>
        </w:rPr>
        <w:t xml:space="preserve"> presta la permisionaria </w:t>
      </w:r>
      <w:r>
        <w:rPr>
          <w:rStyle w:val="CharacterStyle2"/>
          <w:rFonts w:ascii="Garamond" w:hAnsi="Garamond" w:cs="Garamond"/>
          <w:spacing w:val="-10"/>
          <w:lang w:val="es-ES" w:eastAsia="es-ES"/>
        </w:rPr>
        <w:t>recurrente.</w:t>
      </w:r>
    </w:p>
    <w:p w:rsidR="00000000" w:rsidRDefault="003C7410" w:rsidP="003C7410">
      <w:pPr>
        <w:pStyle w:val="Style2"/>
        <w:kinsoku w:val="0"/>
        <w:autoSpaceDE/>
        <w:autoSpaceDN/>
        <w:adjustRightInd/>
        <w:spacing w:before="288" w:line="206" w:lineRule="auto"/>
        <w:ind w:right="234"/>
        <w:jc w:val="both"/>
        <w:rPr>
          <w:rStyle w:val="CharacterStyle3"/>
          <w:rFonts w:ascii="Garamond" w:hAnsi="Garamond" w:cs="Garamond"/>
          <w:spacing w:val="-11"/>
          <w:sz w:val="26"/>
          <w:szCs w:val="26"/>
          <w:lang w:val="es-ES" w:eastAsia="es-ES"/>
        </w:rPr>
      </w:pPr>
      <w:r>
        <w:rPr>
          <w:rStyle w:val="CharacterStyle3"/>
          <w:rFonts w:ascii="Garamond" w:hAnsi="Garamond" w:cs="Garamond"/>
          <w:spacing w:val="-11"/>
          <w:sz w:val="26"/>
          <w:szCs w:val="26"/>
          <w:lang w:val="es-ES" w:eastAsia="es-ES"/>
        </w:rPr>
        <w:t>Por otro lado la recurrente AG, AG</w:t>
      </w:r>
      <w:r>
        <w:rPr>
          <w:rStyle w:val="CharacterStyle3"/>
          <w:rFonts w:ascii="Garamond" w:hAnsi="Garamond" w:cs="Garamond"/>
          <w:spacing w:val="-11"/>
          <w:sz w:val="26"/>
          <w:szCs w:val="26"/>
          <w:lang w:val="es-ES" w:eastAsia="es-ES"/>
        </w:rPr>
        <w:t xml:space="preserve">, S.A., expresa </w:t>
      </w:r>
      <w:r>
        <w:rPr>
          <w:rStyle w:val="CharacterStyle3"/>
          <w:i/>
          <w:iCs/>
          <w:spacing w:val="-11"/>
          <w:w w:val="105"/>
          <w:sz w:val="23"/>
          <w:szCs w:val="23"/>
          <w:lang w:val="es-ES" w:eastAsia="es-ES"/>
        </w:rPr>
        <w:t xml:space="preserve">que </w:t>
      </w:r>
      <w:r>
        <w:rPr>
          <w:rStyle w:val="CharacterStyle3"/>
          <w:rFonts w:ascii="Garamond" w:hAnsi="Garamond" w:cs="Garamond"/>
          <w:spacing w:val="-11"/>
          <w:sz w:val="26"/>
          <w:szCs w:val="26"/>
          <w:lang w:val="es-ES" w:eastAsia="es-ES"/>
        </w:rPr>
        <w:t xml:space="preserve">los efectos del </w:t>
      </w:r>
      <w:r>
        <w:rPr>
          <w:rStyle w:val="CharacterStyle3"/>
          <w:rFonts w:ascii="Garamond" w:hAnsi="Garamond" w:cs="Garamond"/>
          <w:spacing w:val="-5"/>
          <w:sz w:val="26"/>
          <w:szCs w:val="26"/>
          <w:lang w:val="es-ES" w:eastAsia="es-ES"/>
        </w:rPr>
        <w:t xml:space="preserve">artículo 10 </w:t>
      </w:r>
      <w:r>
        <w:rPr>
          <w:rStyle w:val="CharacterStyle3"/>
          <w:b/>
          <w:bCs/>
          <w:spacing w:val="-5"/>
          <w:sz w:val="23"/>
          <w:szCs w:val="23"/>
          <w:lang w:val="es-ES" w:eastAsia="es-ES"/>
        </w:rPr>
        <w:t>que aquí impugna, le causa perjuicios. Asimismo cuestiona principalmente el Informe Técnico N°</w:t>
      </w:r>
      <w:r>
        <w:rPr>
          <w:rStyle w:val="CharacterStyle3"/>
          <w:b/>
          <w:bCs/>
          <w:spacing w:val="-5"/>
          <w:sz w:val="23"/>
          <w:szCs w:val="23"/>
          <w:lang w:val="es-ES" w:eastAsia="es-ES"/>
        </w:rPr>
        <w:t xml:space="preserve"> IT- 2002- 0155 de fecha 26 de abril del 2002, sin </w:t>
      </w:r>
      <w:r>
        <w:rPr>
          <w:rStyle w:val="CharacterStyle3"/>
          <w:rFonts w:ascii="Garamond" w:hAnsi="Garamond" w:cs="Garamond"/>
          <w:spacing w:val="-5"/>
          <w:sz w:val="26"/>
          <w:szCs w:val="26"/>
          <w:lang w:val="es-ES" w:eastAsia="es-ES"/>
        </w:rPr>
        <w:t xml:space="preserve">tan siquiera </w:t>
      </w:r>
      <w:r>
        <w:rPr>
          <w:rStyle w:val="CharacterStyle3"/>
          <w:rFonts w:ascii="Garamond" w:hAnsi="Garamond" w:cs="Garamond"/>
          <w:spacing w:val="-11"/>
          <w:sz w:val="26"/>
          <w:szCs w:val="26"/>
          <w:lang w:val="es-ES" w:eastAsia="es-ES"/>
        </w:rPr>
        <w:t>aportar un informe técnico que así lo compruebe.</w:t>
      </w:r>
    </w:p>
    <w:p w:rsidR="00000000" w:rsidRDefault="003C7410" w:rsidP="003C7410">
      <w:pPr>
        <w:pStyle w:val="Style2"/>
        <w:kinsoku w:val="0"/>
        <w:autoSpaceDE/>
        <w:autoSpaceDN/>
        <w:adjustRightInd/>
        <w:spacing w:before="324" w:line="204" w:lineRule="auto"/>
        <w:ind w:left="3312" w:right="234"/>
        <w:rPr>
          <w:rStyle w:val="CharacterStyle3"/>
          <w:b/>
          <w:bCs/>
          <w:sz w:val="23"/>
          <w:szCs w:val="23"/>
          <w:lang w:val="es-ES" w:eastAsia="es-ES"/>
        </w:rPr>
      </w:pPr>
      <w:r>
        <w:rPr>
          <w:rStyle w:val="CharacterStyle3"/>
          <w:b/>
          <w:bCs/>
          <w:sz w:val="23"/>
          <w:szCs w:val="23"/>
          <w:lang w:val="es-ES" w:eastAsia="es-ES"/>
        </w:rPr>
        <w:t>POR TANTO</w:t>
      </w:r>
    </w:p>
    <w:p w:rsidR="003C7410" w:rsidRPr="003C7410" w:rsidRDefault="003C7410" w:rsidP="003C7410">
      <w:pPr>
        <w:pStyle w:val="Style3"/>
        <w:kinsoku w:val="0"/>
        <w:autoSpaceDE/>
        <w:autoSpaceDN/>
        <w:spacing w:before="216" w:after="216" w:line="196" w:lineRule="auto"/>
        <w:ind w:right="234"/>
        <w:rPr>
          <w:rStyle w:val="CharacterStyle2"/>
          <w:rFonts w:ascii="Garamond" w:hAnsi="Garamond" w:cs="Garamond"/>
          <w:spacing w:val="-3"/>
          <w:lang w:val="es-ES" w:eastAsia="es-ES"/>
        </w:rPr>
      </w:pPr>
      <w:r w:rsidRPr="003C7410">
        <w:rPr>
          <w:rStyle w:val="CharacterStyle2"/>
          <w:rFonts w:ascii="Garamond" w:hAnsi="Garamond" w:cs="Garamond"/>
          <w:b/>
          <w:spacing w:val="2"/>
          <w:lang w:val="es-ES" w:eastAsia="es-ES"/>
        </w:rPr>
        <w:t>I.-</w:t>
      </w:r>
      <w:r>
        <w:rPr>
          <w:rStyle w:val="CharacterStyle2"/>
          <w:rFonts w:ascii="Garamond" w:hAnsi="Garamond" w:cs="Garamond"/>
          <w:spacing w:val="2"/>
          <w:lang w:val="es-ES" w:eastAsia="es-ES"/>
        </w:rPr>
        <w:t xml:space="preserve"> </w:t>
      </w:r>
      <w:r w:rsidRPr="003C7410">
        <w:rPr>
          <w:rStyle w:val="CharacterStyle2"/>
          <w:rFonts w:ascii="Garamond" w:hAnsi="Garamond" w:cs="Garamond"/>
          <w:spacing w:val="2"/>
          <w:lang w:val="es-ES" w:eastAsia="es-ES"/>
        </w:rPr>
        <w:t xml:space="preserve">Se declara </w:t>
      </w:r>
      <w:r w:rsidRPr="003C7410">
        <w:rPr>
          <w:rStyle w:val="CharacterStyle2"/>
          <w:bCs/>
          <w:spacing w:val="2"/>
          <w:sz w:val="23"/>
          <w:szCs w:val="23"/>
          <w:lang w:val="es-ES" w:eastAsia="es-ES"/>
        </w:rPr>
        <w:t xml:space="preserve">inadmisible por falta de legitimación el Recurso </w:t>
      </w:r>
      <w:r w:rsidRPr="003C7410">
        <w:rPr>
          <w:rStyle w:val="CharacterStyle2"/>
          <w:rFonts w:ascii="Garamond" w:hAnsi="Garamond" w:cs="Garamond"/>
          <w:spacing w:val="2"/>
          <w:lang w:val="es-ES" w:eastAsia="es-ES"/>
        </w:rPr>
        <w:t xml:space="preserve">de Apelación, </w:t>
      </w:r>
      <w:r w:rsidRPr="003C7410">
        <w:rPr>
          <w:rStyle w:val="CharacterStyle2"/>
          <w:rFonts w:ascii="Garamond" w:hAnsi="Garamond" w:cs="Garamond"/>
          <w:spacing w:val="-7"/>
          <w:lang w:val="es-ES" w:eastAsia="es-ES"/>
        </w:rPr>
        <w:t xml:space="preserve">interpuesto por </w:t>
      </w:r>
      <w:r w:rsidRPr="003C7410">
        <w:rPr>
          <w:rStyle w:val="CharacterStyle2"/>
          <w:bCs/>
          <w:spacing w:val="-7"/>
          <w:sz w:val="23"/>
          <w:szCs w:val="23"/>
          <w:lang w:val="es-ES" w:eastAsia="es-ES"/>
        </w:rPr>
        <w:t>DBQ</w:t>
      </w:r>
      <w:r w:rsidRPr="003C7410">
        <w:rPr>
          <w:rStyle w:val="CharacterStyle2"/>
          <w:rFonts w:ascii="Garamond" w:hAnsi="Garamond" w:cs="Garamond"/>
          <w:spacing w:val="-7"/>
          <w:lang w:val="es-ES" w:eastAsia="es-ES"/>
        </w:rPr>
        <w:t xml:space="preserve">, cédula de </w:t>
      </w:r>
      <w:r w:rsidRPr="003C7410">
        <w:rPr>
          <w:rStyle w:val="CharacterStyle2"/>
          <w:bCs/>
          <w:spacing w:val="-7"/>
          <w:sz w:val="23"/>
          <w:szCs w:val="23"/>
          <w:lang w:val="es-ES" w:eastAsia="es-ES"/>
        </w:rPr>
        <w:t>iden</w:t>
      </w:r>
      <w:r w:rsidRPr="003C7410">
        <w:rPr>
          <w:rStyle w:val="CharacterStyle2"/>
          <w:bCs/>
          <w:spacing w:val="-7"/>
          <w:sz w:val="23"/>
          <w:szCs w:val="23"/>
          <w:lang w:val="es-ES" w:eastAsia="es-ES"/>
        </w:rPr>
        <w:t>tidad N</w:t>
      </w:r>
      <w:proofErr w:type="gramStart"/>
      <w:r w:rsidRPr="003C7410">
        <w:rPr>
          <w:rStyle w:val="CharacterStyle2"/>
          <w:bCs/>
          <w:spacing w:val="-7"/>
          <w:sz w:val="23"/>
          <w:szCs w:val="23"/>
          <w:lang w:val="es-ES" w:eastAsia="es-ES"/>
        </w:rPr>
        <w:t>° …</w:t>
      </w:r>
      <w:proofErr w:type="gramEnd"/>
      <w:r w:rsidRPr="003C7410">
        <w:rPr>
          <w:rStyle w:val="CharacterStyle2"/>
          <w:rFonts w:ascii="Garamond" w:hAnsi="Garamond" w:cs="Garamond"/>
          <w:spacing w:val="-7"/>
          <w:lang w:val="es-ES" w:eastAsia="es-ES"/>
        </w:rPr>
        <w:t xml:space="preserve"> en su condición de </w:t>
      </w:r>
      <w:r w:rsidRPr="003C7410">
        <w:rPr>
          <w:rStyle w:val="CharacterStyle2"/>
          <w:bCs/>
          <w:spacing w:val="-7"/>
          <w:sz w:val="23"/>
          <w:szCs w:val="23"/>
          <w:lang w:val="es-ES" w:eastAsia="es-ES"/>
        </w:rPr>
        <w:t xml:space="preserve">representante de la empresa </w:t>
      </w:r>
      <w:r w:rsidRPr="003C7410">
        <w:rPr>
          <w:rStyle w:val="CharacterStyle2"/>
          <w:rFonts w:ascii="Garamond" w:hAnsi="Garamond" w:cs="Garamond"/>
          <w:spacing w:val="-7"/>
          <w:lang w:val="es-ES" w:eastAsia="es-ES"/>
        </w:rPr>
        <w:t xml:space="preserve">AG </w:t>
      </w:r>
      <w:proofErr w:type="spellStart"/>
      <w:r w:rsidRPr="003C7410">
        <w:rPr>
          <w:rStyle w:val="CharacterStyle2"/>
          <w:rFonts w:ascii="Garamond" w:hAnsi="Garamond" w:cs="Garamond"/>
          <w:spacing w:val="-7"/>
          <w:lang w:val="es-ES" w:eastAsia="es-ES"/>
        </w:rPr>
        <w:t>AG</w:t>
      </w:r>
      <w:proofErr w:type="spellEnd"/>
      <w:r w:rsidRPr="003C7410">
        <w:rPr>
          <w:rStyle w:val="CharacterStyle2"/>
          <w:bCs/>
          <w:spacing w:val="-7"/>
          <w:sz w:val="23"/>
          <w:szCs w:val="23"/>
          <w:lang w:val="es-ES" w:eastAsia="es-ES"/>
        </w:rPr>
        <w:t xml:space="preserve"> S.A., </w:t>
      </w:r>
      <w:r w:rsidRPr="003C7410">
        <w:rPr>
          <w:rStyle w:val="CharacterStyle2"/>
          <w:rFonts w:ascii="Garamond" w:hAnsi="Garamond" w:cs="Garamond"/>
          <w:spacing w:val="-7"/>
          <w:lang w:val="es-ES" w:eastAsia="es-ES"/>
        </w:rPr>
        <w:t>cédula de persona jurídica …</w:t>
      </w:r>
      <w:r w:rsidRPr="003C7410">
        <w:rPr>
          <w:rStyle w:val="CharacterStyle2"/>
          <w:rFonts w:ascii="Garamond" w:hAnsi="Garamond" w:cs="Garamond"/>
          <w:spacing w:val="-7"/>
          <w:lang w:val="es-ES" w:eastAsia="es-ES"/>
        </w:rPr>
        <w:t xml:space="preserve">, contra del Artículo 10 </w:t>
      </w:r>
      <w:r w:rsidRPr="003C7410">
        <w:rPr>
          <w:rStyle w:val="CharacterStyle2"/>
          <w:bCs/>
          <w:spacing w:val="-7"/>
          <w:sz w:val="23"/>
          <w:szCs w:val="23"/>
          <w:lang w:val="es-ES" w:eastAsia="es-ES"/>
        </w:rPr>
        <w:t xml:space="preserve">de la Sesión </w:t>
      </w:r>
      <w:r w:rsidRPr="003C7410">
        <w:rPr>
          <w:rStyle w:val="CharacterStyle2"/>
          <w:rFonts w:ascii="Garamond" w:hAnsi="Garamond" w:cs="Garamond"/>
          <w:spacing w:val="-7"/>
          <w:lang w:val="es-ES" w:eastAsia="es-ES"/>
        </w:rPr>
        <w:t xml:space="preserve">Ordinaria N° </w:t>
      </w:r>
      <w:r w:rsidRPr="003C7410">
        <w:rPr>
          <w:rStyle w:val="CharacterStyle2"/>
          <w:rFonts w:ascii="Garamond" w:hAnsi="Garamond" w:cs="Garamond"/>
          <w:spacing w:val="-7"/>
          <w:w w:val="105"/>
          <w:sz w:val="23"/>
          <w:szCs w:val="23"/>
          <w:lang w:val="es-ES" w:eastAsia="es-ES"/>
        </w:rPr>
        <w:t>035</w:t>
      </w:r>
      <w:r w:rsidRPr="003C7410">
        <w:rPr>
          <w:rStyle w:val="CharacterStyle2"/>
          <w:rFonts w:ascii="Garamond" w:hAnsi="Garamond" w:cs="Garamond"/>
          <w:spacing w:val="-7"/>
          <w:w w:val="105"/>
          <w:sz w:val="23"/>
          <w:szCs w:val="23"/>
          <w:lang w:val="es-ES" w:eastAsia="es-ES"/>
        </w:rPr>
        <w:softHyphen/>
      </w:r>
      <w:r w:rsidRPr="003C7410">
        <w:rPr>
          <w:rStyle w:val="CharacterStyle2"/>
          <w:bCs/>
          <w:spacing w:val="-6"/>
          <w:sz w:val="23"/>
          <w:szCs w:val="23"/>
          <w:lang w:val="es-ES" w:eastAsia="es-ES"/>
        </w:rPr>
        <w:t xml:space="preserve">2002 de la </w:t>
      </w:r>
      <w:r w:rsidRPr="003C7410">
        <w:rPr>
          <w:rStyle w:val="CharacterStyle2"/>
          <w:rFonts w:ascii="Garamond" w:hAnsi="Garamond" w:cs="Garamond"/>
          <w:spacing w:val="-6"/>
          <w:lang w:val="es-ES" w:eastAsia="es-ES"/>
        </w:rPr>
        <w:t xml:space="preserve">Junta </w:t>
      </w:r>
      <w:r w:rsidRPr="003C7410">
        <w:rPr>
          <w:rStyle w:val="CharacterStyle2"/>
          <w:bCs/>
          <w:spacing w:val="-6"/>
          <w:sz w:val="23"/>
          <w:szCs w:val="23"/>
          <w:lang w:val="es-ES" w:eastAsia="es-ES"/>
        </w:rPr>
        <w:t>Directiva del Consejo de Transporte Pú</w:t>
      </w:r>
      <w:r w:rsidRPr="003C7410">
        <w:rPr>
          <w:rStyle w:val="CharacterStyle2"/>
          <w:bCs/>
          <w:spacing w:val="-6"/>
          <w:sz w:val="23"/>
          <w:szCs w:val="23"/>
          <w:lang w:val="es-ES" w:eastAsia="es-ES"/>
        </w:rPr>
        <w:t xml:space="preserve">blico del 9 de mayo </w:t>
      </w:r>
      <w:r w:rsidRPr="003C7410">
        <w:rPr>
          <w:rStyle w:val="CharacterStyle2"/>
          <w:rFonts w:ascii="Garamond" w:hAnsi="Garamond" w:cs="Garamond"/>
          <w:spacing w:val="-6"/>
          <w:lang w:val="es-ES" w:eastAsia="es-ES"/>
        </w:rPr>
        <w:t xml:space="preserve">de 2002. </w:t>
      </w:r>
    </w:p>
    <w:p w:rsidR="00000000" w:rsidRPr="003C7410" w:rsidRDefault="003C7410" w:rsidP="003C7410">
      <w:pPr>
        <w:pStyle w:val="Style3"/>
        <w:tabs>
          <w:tab w:val="num" w:pos="432"/>
        </w:tabs>
        <w:kinsoku w:val="0"/>
        <w:autoSpaceDE/>
        <w:autoSpaceDN/>
        <w:spacing w:before="216" w:after="216" w:line="196" w:lineRule="auto"/>
        <w:ind w:right="234"/>
        <w:rPr>
          <w:rStyle w:val="CharacterStyle3"/>
          <w:rFonts w:ascii="Garamond" w:hAnsi="Garamond" w:cs="Garamond"/>
          <w:spacing w:val="-3"/>
          <w:sz w:val="26"/>
          <w:szCs w:val="26"/>
          <w:lang w:val="es-ES" w:eastAsia="es-ES"/>
        </w:rPr>
      </w:pPr>
      <w:r w:rsidRPr="003C7410">
        <w:rPr>
          <w:rStyle w:val="CharacterStyle3"/>
          <w:rFonts w:ascii="Garamond" w:hAnsi="Garamond" w:cs="Garamond"/>
          <w:b/>
          <w:spacing w:val="-3"/>
          <w:sz w:val="26"/>
          <w:szCs w:val="26"/>
          <w:lang w:val="es-ES" w:eastAsia="es-ES"/>
        </w:rPr>
        <w:t xml:space="preserve">II.- </w:t>
      </w:r>
      <w:r w:rsidRPr="003C7410">
        <w:rPr>
          <w:rStyle w:val="CharacterStyle3"/>
          <w:rFonts w:ascii="Garamond" w:hAnsi="Garamond" w:cs="Garamond"/>
          <w:spacing w:val="-3"/>
          <w:sz w:val="26"/>
          <w:szCs w:val="26"/>
          <w:lang w:val="es-ES" w:eastAsia="es-ES"/>
        </w:rPr>
        <w:t>Se confirma en todos sus extremos el acto recurrido.</w:t>
      </w:r>
    </w:p>
    <w:p w:rsidR="00000000" w:rsidRPr="003C7410" w:rsidRDefault="003C7410">
      <w:pPr>
        <w:jc w:val="center"/>
        <w:rPr>
          <w:lang w:val="es-CR"/>
        </w:rPr>
      </w:pPr>
    </w:p>
    <w:p w:rsidR="00000000" w:rsidRPr="003C7410" w:rsidRDefault="003C7410" w:rsidP="003C7410">
      <w:pPr>
        <w:pStyle w:val="Style2"/>
        <w:kinsoku w:val="0"/>
        <w:autoSpaceDE/>
        <w:autoSpaceDN/>
        <w:adjustRightInd/>
        <w:spacing w:line="218" w:lineRule="auto"/>
        <w:rPr>
          <w:rStyle w:val="CharacterStyle3"/>
          <w:rFonts w:ascii="Garamond" w:hAnsi="Garamond" w:cs="Garamond"/>
          <w:spacing w:val="-3"/>
          <w:sz w:val="26"/>
          <w:szCs w:val="26"/>
          <w:lang w:val="es-ES" w:eastAsia="es-ES"/>
        </w:rPr>
      </w:pPr>
      <w:r w:rsidRPr="003C7410">
        <w:rPr>
          <w:rStyle w:val="CharacterStyle3"/>
          <w:rFonts w:ascii="Garamond" w:hAnsi="Garamond" w:cs="Garamond"/>
          <w:b/>
          <w:spacing w:val="-3"/>
          <w:sz w:val="26"/>
          <w:szCs w:val="26"/>
          <w:lang w:val="es-CR" w:eastAsia="es-ES"/>
        </w:rPr>
        <w:t>III.-</w:t>
      </w:r>
      <w:r w:rsidRPr="003C7410">
        <w:rPr>
          <w:rStyle w:val="CharacterStyle3"/>
          <w:rFonts w:ascii="Garamond" w:hAnsi="Garamond" w:cs="Garamond"/>
          <w:spacing w:val="-3"/>
          <w:sz w:val="26"/>
          <w:szCs w:val="26"/>
          <w:lang w:val="es-ES" w:eastAsia="es-ES"/>
        </w:rPr>
        <w:t xml:space="preserve">De </w:t>
      </w:r>
      <w:r w:rsidRPr="003C7410">
        <w:rPr>
          <w:rStyle w:val="CharacterStyle3"/>
          <w:rFonts w:ascii="Garamond" w:hAnsi="Garamond" w:cs="Garamond"/>
          <w:spacing w:val="-3"/>
          <w:sz w:val="26"/>
          <w:szCs w:val="26"/>
          <w:lang w:val="es-ES" w:eastAsia="es-ES"/>
        </w:rPr>
        <w:t xml:space="preserve">conformidad con el artículo 2 </w:t>
      </w:r>
      <w:r>
        <w:rPr>
          <w:rStyle w:val="CharacterStyle3"/>
          <w:rFonts w:ascii="Garamond" w:hAnsi="Garamond" w:cs="Garamond"/>
          <w:spacing w:val="-3"/>
          <w:sz w:val="26"/>
          <w:szCs w:val="26"/>
          <w:lang w:val="es-ES" w:eastAsia="es-ES"/>
        </w:rPr>
        <w:t xml:space="preserve">inciso c) de </w:t>
      </w:r>
      <w:r w:rsidRPr="003C7410">
        <w:rPr>
          <w:rStyle w:val="CharacterStyle3"/>
          <w:rFonts w:ascii="Garamond" w:hAnsi="Garamond" w:cs="Garamond"/>
          <w:spacing w:val="-3"/>
          <w:sz w:val="26"/>
          <w:szCs w:val="26"/>
          <w:lang w:val="es-ES" w:eastAsia="es-ES"/>
        </w:rPr>
        <w:t>la citada Ley 7969,</w:t>
      </w:r>
      <w:r>
        <w:rPr>
          <w:rStyle w:val="CharacterStyle3"/>
          <w:rFonts w:ascii="Garamond" w:hAnsi="Garamond" w:cs="Garamond"/>
          <w:spacing w:val="-3"/>
          <w:sz w:val="26"/>
          <w:szCs w:val="26"/>
          <w:lang w:val="es-ES" w:eastAsia="es-ES"/>
        </w:rPr>
        <w:t xml:space="preserve"> </w:t>
      </w:r>
      <w:r w:rsidRPr="003C7410">
        <w:rPr>
          <w:rStyle w:val="CharacterStyle3"/>
          <w:rFonts w:ascii="Garamond" w:hAnsi="Garamond" w:cs="Garamond"/>
          <w:spacing w:val="-3"/>
          <w:sz w:val="26"/>
          <w:szCs w:val="26"/>
          <w:lang w:val="es-ES" w:eastAsia="es-ES"/>
        </w:rPr>
        <w:t>la presente</w:t>
      </w:r>
      <w:r>
        <w:rPr>
          <w:rStyle w:val="CharacterStyle3"/>
          <w:rFonts w:ascii="Garamond" w:hAnsi="Garamond" w:cs="Garamond"/>
          <w:spacing w:val="-3"/>
          <w:sz w:val="26"/>
          <w:szCs w:val="26"/>
          <w:lang w:val="es-ES" w:eastAsia="es-ES"/>
        </w:rPr>
        <w:t xml:space="preserve"> </w:t>
      </w:r>
      <w:r w:rsidRPr="003C7410">
        <w:rPr>
          <w:rStyle w:val="CharacterStyle3"/>
          <w:rFonts w:ascii="Garamond" w:hAnsi="Garamond" w:cs="Garamond"/>
          <w:spacing w:val="-3"/>
          <w:sz w:val="26"/>
          <w:szCs w:val="26"/>
          <w:lang w:val="es-ES" w:eastAsia="es-ES"/>
        </w:rPr>
        <w:t xml:space="preserve">resolución no tiene ulterior recurso </w:t>
      </w:r>
      <w:r>
        <w:rPr>
          <w:rStyle w:val="CharacterStyle3"/>
          <w:rFonts w:ascii="Garamond" w:hAnsi="Garamond" w:cs="Garamond"/>
          <w:spacing w:val="-3"/>
          <w:sz w:val="26"/>
          <w:szCs w:val="26"/>
          <w:lang w:val="es-ES" w:eastAsia="es-ES"/>
        </w:rPr>
        <w:t xml:space="preserve">por lo que, </w:t>
      </w:r>
      <w:r w:rsidRPr="003C7410">
        <w:rPr>
          <w:rStyle w:val="CharacterStyle3"/>
          <w:rFonts w:ascii="Garamond" w:hAnsi="Garamond" w:cs="Garamond"/>
          <w:spacing w:val="-3"/>
          <w:sz w:val="26"/>
          <w:szCs w:val="26"/>
          <w:lang w:val="es-ES" w:eastAsia="es-ES"/>
        </w:rPr>
        <w:t xml:space="preserve">se tiene por agotada la vía </w:t>
      </w:r>
      <w:r>
        <w:rPr>
          <w:rStyle w:val="CharacterStyle3"/>
          <w:rFonts w:ascii="Garamond" w:hAnsi="Garamond" w:cs="Garamond"/>
          <w:spacing w:val="-3"/>
          <w:sz w:val="26"/>
          <w:szCs w:val="26"/>
          <w:lang w:val="es-ES" w:eastAsia="es-ES"/>
        </w:rPr>
        <w:t>adminis</w:t>
      </w:r>
      <w:r w:rsidRPr="003C7410">
        <w:rPr>
          <w:rStyle w:val="CharacterStyle3"/>
          <w:rFonts w:ascii="Garamond" w:hAnsi="Garamond" w:cs="Garamond"/>
          <w:spacing w:val="-3"/>
          <w:sz w:val="26"/>
          <w:szCs w:val="26"/>
          <w:lang w:val="es-ES" w:eastAsia="es-ES"/>
        </w:rPr>
        <w:t xml:space="preserve">trativa. </w:t>
      </w:r>
      <w:r w:rsidRPr="003C7410">
        <w:rPr>
          <w:rStyle w:val="CharacterStyle3"/>
          <w:rFonts w:ascii="Garamond" w:hAnsi="Garamond" w:cs="Garamond"/>
          <w:b/>
          <w:spacing w:val="-3"/>
          <w:sz w:val="26"/>
          <w:szCs w:val="26"/>
          <w:lang w:val="es-ES" w:eastAsia="es-ES"/>
        </w:rPr>
        <w:t>NOTIFÍ Q</w:t>
      </w:r>
      <w:r w:rsidRPr="003C7410">
        <w:rPr>
          <w:rStyle w:val="CharacterStyle3"/>
          <w:rFonts w:ascii="Garamond" w:hAnsi="Garamond" w:cs="Garamond"/>
          <w:b/>
          <w:spacing w:val="-3"/>
          <w:sz w:val="26"/>
          <w:szCs w:val="26"/>
          <w:lang w:val="es-ES" w:eastAsia="es-ES"/>
        </w:rPr>
        <w:t>USE.</w:t>
      </w:r>
      <w:r w:rsidRPr="003C7410">
        <w:rPr>
          <w:rStyle w:val="CharacterStyle3"/>
          <w:rFonts w:ascii="Garamond" w:hAnsi="Garamond" w:cs="Garamond"/>
          <w:b/>
          <w:spacing w:val="-3"/>
          <w:sz w:val="26"/>
          <w:szCs w:val="26"/>
          <w:lang w:val="es-ES" w:eastAsia="es-ES"/>
        </w:rPr>
        <w:t>-</w:t>
      </w:r>
    </w:p>
    <w:p w:rsidR="00000000" w:rsidRDefault="003C7410">
      <w:pPr>
        <w:pStyle w:val="Style2"/>
        <w:kinsoku w:val="0"/>
        <w:autoSpaceDE/>
        <w:autoSpaceDN/>
        <w:adjustRightInd/>
        <w:spacing w:line="208" w:lineRule="auto"/>
        <w:rPr>
          <w:rStyle w:val="CharacterStyle3"/>
          <w:rFonts w:ascii="Garamond" w:hAnsi="Garamond" w:cs="Garamond"/>
          <w:spacing w:val="-3"/>
          <w:sz w:val="26"/>
          <w:szCs w:val="26"/>
          <w:lang w:val="es-ES" w:eastAsia="es-ES"/>
        </w:rPr>
      </w:pPr>
    </w:p>
    <w:p w:rsidR="003C7410" w:rsidRDefault="003C7410">
      <w:pPr>
        <w:pStyle w:val="Style2"/>
        <w:kinsoku w:val="0"/>
        <w:autoSpaceDE/>
        <w:autoSpaceDN/>
        <w:adjustRightInd/>
        <w:spacing w:line="208" w:lineRule="auto"/>
        <w:rPr>
          <w:rStyle w:val="CharacterStyle3"/>
          <w:rFonts w:ascii="Garamond" w:hAnsi="Garamond" w:cs="Garamond"/>
          <w:spacing w:val="-3"/>
          <w:sz w:val="26"/>
          <w:szCs w:val="26"/>
          <w:lang w:val="es-ES" w:eastAsia="es-ES"/>
        </w:rPr>
      </w:pPr>
    </w:p>
    <w:p w:rsidR="003C7410" w:rsidRPr="007A7E6E" w:rsidRDefault="003C7410" w:rsidP="003C7410">
      <w:pPr>
        <w:pStyle w:val="Sinespaciado"/>
        <w:jc w:val="center"/>
        <w:rPr>
          <w:b/>
          <w:i/>
          <w:sz w:val="22"/>
          <w:szCs w:val="22"/>
          <w:lang w:val="es-CR" w:eastAsia="es-ES"/>
        </w:rPr>
      </w:pPr>
      <w:r w:rsidRPr="007A7E6E">
        <w:rPr>
          <w:b/>
          <w:sz w:val="22"/>
          <w:szCs w:val="22"/>
          <w:lang w:val="es-CR" w:eastAsia="es-ES"/>
        </w:rPr>
        <w:t>Lic. Luis Gerardo Fallas Acosta</w:t>
      </w:r>
    </w:p>
    <w:p w:rsidR="003C7410" w:rsidRPr="007A7E6E" w:rsidRDefault="003C7410" w:rsidP="003C7410">
      <w:pPr>
        <w:pStyle w:val="Sinespaciado"/>
        <w:jc w:val="center"/>
        <w:rPr>
          <w:b/>
          <w:sz w:val="22"/>
          <w:szCs w:val="22"/>
          <w:lang w:val="es-CR" w:eastAsia="es-ES"/>
        </w:rPr>
      </w:pPr>
      <w:r w:rsidRPr="007A7E6E">
        <w:rPr>
          <w:b/>
          <w:sz w:val="22"/>
          <w:szCs w:val="22"/>
          <w:lang w:val="es-CR" w:eastAsia="es-ES"/>
        </w:rPr>
        <w:t>Presidente</w:t>
      </w:r>
    </w:p>
    <w:p w:rsidR="003C7410" w:rsidRPr="007A7E6E" w:rsidRDefault="003C7410" w:rsidP="003C7410">
      <w:pPr>
        <w:pStyle w:val="Sinespaciado"/>
        <w:jc w:val="center"/>
        <w:rPr>
          <w:b/>
          <w:sz w:val="22"/>
          <w:szCs w:val="22"/>
          <w:lang w:val="es-CR" w:eastAsia="es-ES"/>
        </w:rPr>
      </w:pPr>
    </w:p>
    <w:p w:rsidR="003C7410" w:rsidRPr="007A7E6E" w:rsidRDefault="003C7410" w:rsidP="003C7410">
      <w:pPr>
        <w:pStyle w:val="Sinespaciado"/>
        <w:jc w:val="center"/>
        <w:rPr>
          <w:b/>
          <w:sz w:val="22"/>
          <w:szCs w:val="22"/>
          <w:lang w:val="es-CR" w:eastAsia="es-ES"/>
        </w:rPr>
      </w:pPr>
    </w:p>
    <w:p w:rsidR="003C7410" w:rsidRPr="007A7E6E" w:rsidRDefault="003C7410" w:rsidP="003C7410">
      <w:pPr>
        <w:pStyle w:val="Sinespaciado"/>
        <w:jc w:val="center"/>
        <w:rPr>
          <w:b/>
          <w:sz w:val="22"/>
          <w:szCs w:val="22"/>
          <w:lang w:val="es-CR" w:eastAsia="es-ES"/>
        </w:rPr>
      </w:pPr>
      <w:r w:rsidRPr="007A7E6E">
        <w:rPr>
          <w:b/>
          <w:sz w:val="22"/>
          <w:szCs w:val="22"/>
          <w:lang w:val="es-CR" w:eastAsia="es-ES"/>
        </w:rPr>
        <w:t xml:space="preserve">Lic. Carlos Miguel Portuguez Méndez </w:t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  <w:t>Licda. Marta Luz Pérez Peláez</w:t>
      </w:r>
    </w:p>
    <w:p w:rsidR="003C7410" w:rsidRPr="007A7E6E" w:rsidRDefault="003C7410" w:rsidP="003C7410">
      <w:pPr>
        <w:pStyle w:val="Sinespaciado"/>
        <w:jc w:val="center"/>
        <w:rPr>
          <w:rStyle w:val="CharacterStyle5"/>
          <w:b/>
          <w:spacing w:val="-3"/>
          <w:sz w:val="22"/>
          <w:szCs w:val="22"/>
          <w:lang w:val="es-CR" w:eastAsia="es-ES"/>
        </w:rPr>
      </w:pPr>
      <w:r w:rsidRPr="007A7E6E">
        <w:rPr>
          <w:b/>
          <w:sz w:val="22"/>
          <w:szCs w:val="22"/>
          <w:lang w:val="es-CR" w:eastAsia="es-ES"/>
        </w:rPr>
        <w:t>Juez</w:t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</w:r>
      <w:r w:rsidRPr="007A7E6E">
        <w:rPr>
          <w:b/>
          <w:sz w:val="22"/>
          <w:szCs w:val="22"/>
          <w:lang w:val="es-CR" w:eastAsia="es-ES"/>
        </w:rPr>
        <w:tab/>
        <w:t xml:space="preserve">    </w:t>
      </w:r>
      <w:r w:rsidRPr="007A7E6E">
        <w:rPr>
          <w:b/>
          <w:sz w:val="22"/>
          <w:szCs w:val="22"/>
          <w:lang w:val="es-CR" w:eastAsia="es-ES"/>
        </w:rPr>
        <w:tab/>
        <w:t xml:space="preserve">    Juez</w:t>
      </w:r>
    </w:p>
    <w:p w:rsidR="003C7410" w:rsidRPr="003C7410" w:rsidRDefault="003C7410">
      <w:pPr>
        <w:pStyle w:val="Style2"/>
        <w:kinsoku w:val="0"/>
        <w:autoSpaceDE/>
        <w:autoSpaceDN/>
        <w:adjustRightInd/>
        <w:spacing w:line="208" w:lineRule="auto"/>
        <w:rPr>
          <w:rStyle w:val="CharacterStyle3"/>
          <w:rFonts w:ascii="Garamond" w:hAnsi="Garamond" w:cs="Garamond"/>
          <w:spacing w:val="-3"/>
          <w:sz w:val="26"/>
          <w:szCs w:val="26"/>
          <w:lang w:val="es-CR" w:eastAsia="es-ES"/>
        </w:rPr>
      </w:pPr>
    </w:p>
    <w:sectPr w:rsidR="003C7410" w:rsidRPr="003C7410">
      <w:pgSz w:w="12134" w:h="15840"/>
      <w:pgMar w:top="754" w:right="338" w:bottom="443" w:left="206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2B74"/>
    <w:multiLevelType w:val="singleLevel"/>
    <w:tmpl w:val="777E8134"/>
    <w:lvl w:ilvl="0">
      <w:start w:val="1"/>
      <w:numFmt w:val="upperRoman"/>
      <w:lvlText w:val="%1."/>
      <w:lvlJc w:val="left"/>
      <w:pPr>
        <w:ind w:left="432" w:hanging="360"/>
      </w:pPr>
      <w:rPr>
        <w:rFonts w:ascii="Times New Roman" w:hAnsi="Times New Roman" w:cs="Times New Roman" w:hint="default"/>
        <w:b/>
        <w:snapToGrid/>
        <w:spacing w:val="-3"/>
        <w:sz w:val="23"/>
        <w:szCs w:val="26"/>
      </w:rPr>
    </w:lvl>
  </w:abstractNum>
  <w:abstractNum w:abstractNumId="1">
    <w:nsid w:val="05DE1F66"/>
    <w:multiLevelType w:val="singleLevel"/>
    <w:tmpl w:val="52552610"/>
    <w:lvl w:ilvl="0">
      <w:start w:val="3"/>
      <w:numFmt w:val="upperRoman"/>
      <w:lvlText w:val="%1.-"/>
      <w:lvlJc w:val="left"/>
      <w:pPr>
        <w:tabs>
          <w:tab w:val="num" w:pos="432"/>
        </w:tabs>
        <w:ind w:firstLine="72"/>
      </w:pPr>
      <w:rPr>
        <w:rFonts w:ascii="Garamond" w:hAnsi="Garamond" w:cs="Garamond"/>
        <w:snapToGrid/>
        <w:spacing w:val="-9"/>
        <w:sz w:val="26"/>
        <w:szCs w:val="26"/>
      </w:rPr>
    </w:lvl>
  </w:abstractNum>
  <w:abstractNum w:abstractNumId="2">
    <w:nsid w:val="4E944F45"/>
    <w:multiLevelType w:val="hybridMultilevel"/>
    <w:tmpl w:val="0F8A9822"/>
    <w:lvl w:ilvl="0" w:tplc="777E81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3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1B02E3"/>
    <w:rsid w:val="00172C31"/>
    <w:rsid w:val="001B02E3"/>
    <w:rsid w:val="003C7410"/>
    <w:rsid w:val="00BB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252" w:line="208" w:lineRule="auto"/>
      <w:ind w:right="1224"/>
      <w:jc w:val="both"/>
    </w:pPr>
    <w:rPr>
      <w:sz w:val="26"/>
      <w:szCs w:val="26"/>
    </w:r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ind w:left="144"/>
    </w:pPr>
    <w:rPr>
      <w:sz w:val="23"/>
      <w:szCs w:val="23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Pr>
      <w:sz w:val="26"/>
      <w:szCs w:val="26"/>
    </w:rPr>
  </w:style>
  <w:style w:type="character" w:customStyle="1" w:styleId="CharacterStyle3">
    <w:name w:val="Character Style 3"/>
    <w:uiPriority w:val="99"/>
    <w:rPr>
      <w:sz w:val="20"/>
      <w:szCs w:val="20"/>
    </w:rPr>
  </w:style>
  <w:style w:type="character" w:customStyle="1" w:styleId="CharacterStyle4">
    <w:name w:val="Character Style 4"/>
    <w:uiPriority w:val="99"/>
    <w:rPr>
      <w:sz w:val="23"/>
      <w:szCs w:val="2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4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410"/>
    <w:rPr>
      <w:rFonts w:ascii="Tahoma" w:hAnsi="Tahoma" w:cs="Tahoma"/>
      <w:sz w:val="16"/>
      <w:szCs w:val="16"/>
      <w:lang w:val="en-US"/>
    </w:rPr>
  </w:style>
  <w:style w:type="character" w:customStyle="1" w:styleId="CharacterStyle5">
    <w:name w:val="Character Style 5"/>
    <w:uiPriority w:val="99"/>
    <w:rsid w:val="003C7410"/>
    <w:rPr>
      <w:sz w:val="25"/>
      <w:szCs w:val="25"/>
    </w:rPr>
  </w:style>
  <w:style w:type="paragraph" w:styleId="Sinespaciado">
    <w:name w:val="No Spacing"/>
    <w:uiPriority w:val="1"/>
    <w:qFormat/>
    <w:rsid w:val="003C7410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748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4</cp:revision>
  <dcterms:created xsi:type="dcterms:W3CDTF">2012-11-05T18:01:00Z</dcterms:created>
  <dcterms:modified xsi:type="dcterms:W3CDTF">2012-11-05T18:09:00Z</dcterms:modified>
</cp:coreProperties>
</file>