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DD2" w:rsidRDefault="00B92DD2">
      <w:pPr>
        <w:pStyle w:val="Style1"/>
        <w:kinsoku w:val="0"/>
        <w:autoSpaceDE/>
        <w:autoSpaceDN/>
        <w:adjustRightInd/>
        <w:spacing w:before="540" w:line="196" w:lineRule="auto"/>
        <w:jc w:val="center"/>
        <w:rPr>
          <w:rFonts w:ascii="Verdana" w:hAnsi="Verdana" w:cs="Verdana"/>
          <w:b/>
          <w:bCs/>
          <w:spacing w:val="-2"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-2"/>
          <w:w w:val="105"/>
          <w:sz w:val="20"/>
          <w:szCs w:val="20"/>
          <w:lang w:val="es-ES" w:eastAsia="es-ES"/>
        </w:rPr>
        <w:t>RESOLUCION No. TAT- 2181-2013</w:t>
      </w:r>
    </w:p>
    <w:p w:rsidR="00B92DD2" w:rsidRDefault="00B92DD2">
      <w:pPr>
        <w:pStyle w:val="Style1"/>
        <w:kinsoku w:val="0"/>
        <w:autoSpaceDE/>
        <w:autoSpaceDN/>
        <w:adjustRightInd/>
        <w:spacing w:before="504"/>
        <w:ind w:left="72"/>
        <w:rPr>
          <w:rFonts w:ascii="Verdana" w:hAnsi="Verdana" w:cs="Verdana"/>
          <w:spacing w:val="8"/>
          <w:sz w:val="19"/>
          <w:szCs w:val="19"/>
          <w:lang w:val="es-ES" w:eastAsia="es-ES"/>
        </w:rPr>
      </w:pPr>
      <w:r>
        <w:rPr>
          <w:rFonts w:ascii="Verdana" w:hAnsi="Verdana" w:cs="Verdana"/>
          <w:b/>
          <w:bCs/>
          <w:spacing w:val="4"/>
          <w:w w:val="105"/>
          <w:sz w:val="20"/>
          <w:szCs w:val="20"/>
          <w:lang w:val="es-ES" w:eastAsia="es-ES"/>
        </w:rPr>
        <w:t xml:space="preserve">TRIBUNAL ADMINISTRATIVO DE TRANSPORTE. </w:t>
      </w:r>
      <w:r>
        <w:rPr>
          <w:rFonts w:ascii="Verdana" w:hAnsi="Verdana" w:cs="Verdana"/>
          <w:spacing w:val="4"/>
          <w:sz w:val="19"/>
          <w:szCs w:val="19"/>
          <w:lang w:val="es-ES" w:eastAsia="es-ES"/>
        </w:rPr>
        <w:t xml:space="preserve">San José, a las diez </w:t>
      </w:r>
      <w:r>
        <w:rPr>
          <w:rFonts w:ascii="Verdana" w:hAnsi="Verdana" w:cs="Verdana"/>
          <w:spacing w:val="8"/>
          <w:sz w:val="19"/>
          <w:szCs w:val="19"/>
          <w:lang w:val="es-ES" w:eastAsia="es-ES"/>
        </w:rPr>
        <w:t>horas cincuenta y nueve minutos del veinticuatro de julio de dos mil trece.</w:t>
      </w:r>
    </w:p>
    <w:p w:rsidR="00B92DD2" w:rsidRDefault="00B92DD2">
      <w:pPr>
        <w:pStyle w:val="Style1"/>
        <w:kinsoku w:val="0"/>
        <w:autoSpaceDE/>
        <w:autoSpaceDN/>
        <w:adjustRightInd/>
        <w:spacing w:before="288"/>
        <w:ind w:firstLine="72"/>
        <w:jc w:val="both"/>
        <w:rPr>
          <w:rFonts w:ascii="Verdana" w:hAnsi="Verdana" w:cs="Verdana"/>
          <w:b/>
          <w:bCs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spacing w:val="-4"/>
          <w:sz w:val="19"/>
          <w:szCs w:val="19"/>
          <w:lang w:val="es-ES" w:eastAsia="es-ES"/>
        </w:rPr>
        <w:t xml:space="preserve">RECURSO DE APELACIÓN Y NULIDAD CONCOMITANTE, interpuesto por la empresa </w:t>
      </w:r>
      <w:r w:rsidRPr="000A45F6">
        <w:rPr>
          <w:rFonts w:ascii="Garamond" w:hAnsi="Garamond" w:cs="Garamond"/>
          <w:b/>
          <w:spacing w:val="17"/>
          <w:sz w:val="23"/>
          <w:szCs w:val="23"/>
          <w:lang w:val="es-ES" w:eastAsia="es-ES"/>
        </w:rPr>
        <w:t>T</w:t>
      </w:r>
      <w:r w:rsidR="00600522">
        <w:rPr>
          <w:rFonts w:ascii="Garamond" w:hAnsi="Garamond" w:cs="Garamond"/>
          <w:b/>
          <w:spacing w:val="17"/>
          <w:sz w:val="23"/>
          <w:szCs w:val="23"/>
          <w:lang w:val="es-ES" w:eastAsia="es-ES"/>
        </w:rPr>
        <w:t>.</w:t>
      </w:r>
      <w:r w:rsidRPr="000A45F6">
        <w:rPr>
          <w:rFonts w:ascii="Garamond" w:hAnsi="Garamond" w:cs="Garamond"/>
          <w:b/>
          <w:spacing w:val="17"/>
          <w:sz w:val="23"/>
          <w:szCs w:val="23"/>
          <w:lang w:val="es-ES" w:eastAsia="es-ES"/>
        </w:rPr>
        <w:t>P</w:t>
      </w:r>
      <w:r w:rsidR="00600522">
        <w:rPr>
          <w:rFonts w:ascii="Garamond" w:hAnsi="Garamond" w:cs="Garamond"/>
          <w:b/>
          <w:spacing w:val="17"/>
          <w:sz w:val="23"/>
          <w:szCs w:val="23"/>
          <w:lang w:val="es-ES" w:eastAsia="es-ES"/>
        </w:rPr>
        <w:t>.</w:t>
      </w:r>
      <w:r>
        <w:rPr>
          <w:rFonts w:ascii="Verdana" w:hAnsi="Verdana" w:cs="Verdana"/>
          <w:b/>
          <w:bCs/>
          <w:spacing w:val="17"/>
          <w:w w:val="105"/>
          <w:sz w:val="20"/>
          <w:szCs w:val="20"/>
          <w:lang w:val="es-ES" w:eastAsia="es-ES"/>
        </w:rPr>
        <w:t>G</w:t>
      </w:r>
      <w:r w:rsidR="00600522">
        <w:rPr>
          <w:rFonts w:ascii="Verdana" w:hAnsi="Verdana" w:cs="Verdana"/>
          <w:b/>
          <w:bCs/>
          <w:spacing w:val="17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17"/>
          <w:w w:val="105"/>
          <w:sz w:val="20"/>
          <w:szCs w:val="20"/>
          <w:lang w:val="es-ES" w:eastAsia="es-ES"/>
        </w:rPr>
        <w:t>G</w:t>
      </w:r>
      <w:r w:rsidR="00600522">
        <w:rPr>
          <w:rFonts w:ascii="Verdana" w:hAnsi="Verdana" w:cs="Verdana"/>
          <w:b/>
          <w:bCs/>
          <w:spacing w:val="17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17"/>
          <w:w w:val="105"/>
          <w:sz w:val="20"/>
          <w:szCs w:val="20"/>
          <w:lang w:val="es-ES" w:eastAsia="es-ES"/>
        </w:rPr>
        <w:t>S.A.</w:t>
      </w:r>
      <w:r w:rsidR="00600522">
        <w:rPr>
          <w:rFonts w:ascii="Verdana" w:hAnsi="Verdana" w:cs="Verdana"/>
          <w:b/>
          <w:bCs/>
          <w:spacing w:val="17"/>
          <w:w w:val="105"/>
          <w:sz w:val="20"/>
          <w:szCs w:val="20"/>
          <w:lang w:val="es-ES" w:eastAsia="es-ES"/>
        </w:rPr>
        <w:t>,</w:t>
      </w:r>
      <w:r>
        <w:rPr>
          <w:rFonts w:ascii="Verdana" w:hAnsi="Verdana" w:cs="Verdana"/>
          <w:b/>
          <w:bCs/>
          <w:spacing w:val="17"/>
          <w:w w:val="105"/>
          <w:sz w:val="20"/>
          <w:szCs w:val="20"/>
          <w:lang w:val="es-ES" w:eastAsia="es-ES"/>
        </w:rPr>
        <w:t xml:space="preserve"> </w:t>
      </w:r>
      <w:r>
        <w:rPr>
          <w:rFonts w:ascii="Verdana" w:hAnsi="Verdana" w:cs="Verdana"/>
          <w:spacing w:val="17"/>
          <w:sz w:val="19"/>
          <w:szCs w:val="19"/>
          <w:lang w:val="es-ES" w:eastAsia="es-ES"/>
        </w:rPr>
        <w:t xml:space="preserve">cédula </w:t>
      </w:r>
      <w:proofErr w:type="gramStart"/>
      <w:r>
        <w:rPr>
          <w:rFonts w:ascii="Verdana" w:hAnsi="Verdana" w:cs="Verdana"/>
          <w:spacing w:val="17"/>
          <w:sz w:val="19"/>
          <w:szCs w:val="19"/>
          <w:lang w:val="es-ES" w:eastAsia="es-ES"/>
        </w:rPr>
        <w:t xml:space="preserve">jurídica </w:t>
      </w:r>
      <w:r w:rsidR="00600522">
        <w:rPr>
          <w:rFonts w:ascii="Verdana" w:hAnsi="Verdana" w:cs="Verdana"/>
          <w:spacing w:val="17"/>
          <w:sz w:val="19"/>
          <w:szCs w:val="19"/>
          <w:lang w:val="es-ES" w:eastAsia="es-ES"/>
        </w:rPr>
        <w:t>…</w:t>
      </w:r>
      <w:proofErr w:type="gramEnd"/>
      <w:r>
        <w:rPr>
          <w:rFonts w:ascii="Verdana" w:hAnsi="Verdana" w:cs="Verdana"/>
          <w:spacing w:val="17"/>
          <w:sz w:val="19"/>
          <w:szCs w:val="19"/>
          <w:lang w:val="es-ES" w:eastAsia="es-ES"/>
        </w:rPr>
        <w:t xml:space="preserve">, por </w:t>
      </w:r>
      <w:r>
        <w:rPr>
          <w:rFonts w:ascii="Verdana" w:hAnsi="Verdana" w:cs="Verdana"/>
          <w:spacing w:val="13"/>
          <w:sz w:val="19"/>
          <w:szCs w:val="19"/>
          <w:lang w:val="es-ES" w:eastAsia="es-ES"/>
        </w:rPr>
        <w:t xml:space="preserve">medio de su Apoderado Generalísimo sin límite de suma, señor </w:t>
      </w:r>
      <w:r>
        <w:rPr>
          <w:rFonts w:ascii="Verdana" w:hAnsi="Verdana" w:cs="Verdana"/>
          <w:b/>
          <w:bCs/>
          <w:spacing w:val="13"/>
          <w:w w:val="105"/>
          <w:sz w:val="20"/>
          <w:szCs w:val="20"/>
          <w:lang w:val="es-ES" w:eastAsia="es-ES"/>
        </w:rPr>
        <w:t>O</w:t>
      </w:r>
      <w:r w:rsidR="00600522">
        <w:rPr>
          <w:rFonts w:ascii="Verdana" w:hAnsi="Verdana" w:cs="Verdana"/>
          <w:b/>
          <w:bCs/>
          <w:spacing w:val="13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6"/>
          <w:w w:val="105"/>
          <w:sz w:val="20"/>
          <w:szCs w:val="20"/>
          <w:lang w:val="es-ES" w:eastAsia="es-ES"/>
        </w:rPr>
        <w:t>G</w:t>
      </w:r>
      <w:r w:rsidR="00600522">
        <w:rPr>
          <w:rFonts w:ascii="Verdana" w:hAnsi="Verdana" w:cs="Verdana"/>
          <w:b/>
          <w:bCs/>
          <w:spacing w:val="6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6"/>
          <w:w w:val="105"/>
          <w:sz w:val="20"/>
          <w:szCs w:val="20"/>
          <w:lang w:val="es-ES" w:eastAsia="es-ES"/>
        </w:rPr>
        <w:t>C</w:t>
      </w:r>
      <w:r w:rsidR="00600522">
        <w:rPr>
          <w:rFonts w:ascii="Verdana" w:hAnsi="Verdana" w:cs="Verdana"/>
          <w:b/>
          <w:bCs/>
          <w:spacing w:val="6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6"/>
          <w:w w:val="105"/>
          <w:sz w:val="20"/>
          <w:szCs w:val="20"/>
          <w:lang w:val="es-ES" w:eastAsia="es-ES"/>
        </w:rPr>
        <w:t>Z</w:t>
      </w:r>
      <w:r w:rsidR="00600522">
        <w:rPr>
          <w:rFonts w:ascii="Verdana" w:hAnsi="Verdana" w:cs="Verdana"/>
          <w:b/>
          <w:bCs/>
          <w:spacing w:val="6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6"/>
          <w:w w:val="105"/>
          <w:sz w:val="20"/>
          <w:szCs w:val="20"/>
          <w:lang w:val="es-ES" w:eastAsia="es-ES"/>
        </w:rPr>
        <w:t xml:space="preserve">, </w:t>
      </w:r>
      <w:r>
        <w:rPr>
          <w:rFonts w:ascii="Verdana" w:hAnsi="Verdana" w:cs="Verdana"/>
          <w:spacing w:val="6"/>
          <w:sz w:val="19"/>
          <w:szCs w:val="19"/>
          <w:lang w:val="es-ES" w:eastAsia="es-ES"/>
        </w:rPr>
        <w:t xml:space="preserve">cédula de identidad número </w:t>
      </w:r>
      <w:r w:rsidR="00600522">
        <w:rPr>
          <w:rFonts w:ascii="Verdana" w:hAnsi="Verdana" w:cs="Verdana"/>
          <w:spacing w:val="6"/>
          <w:sz w:val="19"/>
          <w:szCs w:val="19"/>
          <w:lang w:val="es-ES" w:eastAsia="es-ES"/>
        </w:rPr>
        <w:t>…</w:t>
      </w:r>
      <w:r>
        <w:rPr>
          <w:rFonts w:ascii="Verdana" w:hAnsi="Verdana" w:cs="Verdana"/>
          <w:spacing w:val="6"/>
          <w:sz w:val="19"/>
          <w:szCs w:val="19"/>
          <w:lang w:val="es-ES" w:eastAsia="es-ES"/>
        </w:rPr>
        <w:t xml:space="preserve">, contra </w:t>
      </w:r>
      <w:r>
        <w:rPr>
          <w:rFonts w:ascii="Verdana" w:hAnsi="Verdana" w:cs="Verdana"/>
          <w:spacing w:val="9"/>
          <w:sz w:val="19"/>
          <w:szCs w:val="19"/>
          <w:lang w:val="es-ES" w:eastAsia="es-ES"/>
        </w:rPr>
        <w:t xml:space="preserve">los artículos 2.1.24, de la Sesión Extraordinaria 03-2012, de 23 de abril de </w:t>
      </w:r>
      <w:r>
        <w:rPr>
          <w:rFonts w:ascii="Verdana" w:hAnsi="Verdana" w:cs="Verdana"/>
          <w:spacing w:val="12"/>
          <w:sz w:val="19"/>
          <w:szCs w:val="19"/>
          <w:lang w:val="es-ES" w:eastAsia="es-ES"/>
        </w:rPr>
        <w:t xml:space="preserve">2012 y el 3.1 la Sesión Ordinaria 42-2012 de 2 de julio de 2012, ambos </w:t>
      </w:r>
      <w:r>
        <w:rPr>
          <w:rFonts w:ascii="Verdana" w:hAnsi="Verdana" w:cs="Verdana"/>
          <w:spacing w:val="5"/>
          <w:sz w:val="19"/>
          <w:szCs w:val="19"/>
          <w:lang w:val="es-ES" w:eastAsia="es-ES"/>
        </w:rPr>
        <w:t xml:space="preserve">dictados por la JUNTA DIRECTIVA DEL CONSEJO DE TRANSPORTE PÚBLICO y </w:t>
      </w:r>
      <w:r>
        <w:rPr>
          <w:rFonts w:ascii="Verdana" w:hAnsi="Verdana" w:cs="Verdana"/>
          <w:spacing w:val="6"/>
          <w:sz w:val="19"/>
          <w:szCs w:val="19"/>
          <w:lang w:val="es-ES" w:eastAsia="es-ES"/>
        </w:rPr>
        <w:t xml:space="preserve">tramitado en este despacho bajo </w:t>
      </w:r>
      <w:r>
        <w:rPr>
          <w:rFonts w:ascii="Verdana" w:hAnsi="Verdana" w:cs="Verdana"/>
          <w:b/>
          <w:bCs/>
          <w:spacing w:val="6"/>
          <w:w w:val="105"/>
          <w:sz w:val="20"/>
          <w:szCs w:val="20"/>
          <w:lang w:val="es-ES" w:eastAsia="es-ES"/>
        </w:rPr>
        <w:t>Expediente Administrativo No. TAT</w:t>
      </w:r>
      <w:r>
        <w:rPr>
          <w:rFonts w:ascii="Verdana" w:hAnsi="Verdana" w:cs="Verdana"/>
          <w:b/>
          <w:bCs/>
          <w:spacing w:val="6"/>
          <w:w w:val="105"/>
          <w:sz w:val="20"/>
          <w:szCs w:val="20"/>
          <w:lang w:val="es-ES" w:eastAsia="es-ES"/>
        </w:rPr>
        <w:softHyphen/>
      </w:r>
      <w:r>
        <w:rPr>
          <w:rFonts w:ascii="Verdana" w:hAnsi="Verdana" w:cs="Verdana"/>
          <w:b/>
          <w:bCs/>
          <w:w w:val="105"/>
          <w:sz w:val="20"/>
          <w:szCs w:val="20"/>
          <w:lang w:val="es-ES" w:eastAsia="es-ES"/>
        </w:rPr>
        <w:t>051-13.</w:t>
      </w:r>
    </w:p>
    <w:p w:rsidR="00B92DD2" w:rsidRDefault="00B92DD2">
      <w:pPr>
        <w:pStyle w:val="Style1"/>
        <w:kinsoku w:val="0"/>
        <w:autoSpaceDE/>
        <w:autoSpaceDN/>
        <w:adjustRightInd/>
        <w:spacing w:before="360"/>
        <w:rPr>
          <w:rFonts w:ascii="Verdana" w:hAnsi="Verdana" w:cs="Verdana"/>
          <w:b/>
          <w:bCs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w w:val="105"/>
          <w:sz w:val="20"/>
          <w:szCs w:val="20"/>
          <w:lang w:val="es-ES" w:eastAsia="es-ES"/>
        </w:rPr>
        <w:t>Redacta la Jueza Pérez Peláez; y,</w:t>
      </w:r>
    </w:p>
    <w:p w:rsidR="00B92DD2" w:rsidRDefault="00B92DD2">
      <w:pPr>
        <w:pStyle w:val="Style1"/>
        <w:kinsoku w:val="0"/>
        <w:autoSpaceDE/>
        <w:autoSpaceDN/>
        <w:adjustRightInd/>
        <w:spacing w:before="504"/>
        <w:ind w:left="2664"/>
        <w:rPr>
          <w:rFonts w:ascii="Verdana" w:hAnsi="Verdana" w:cs="Verdana"/>
          <w:b/>
          <w:bCs/>
          <w:w w:val="105"/>
          <w:sz w:val="19"/>
          <w:szCs w:val="19"/>
          <w:lang w:val="es-ES" w:eastAsia="es-ES"/>
        </w:rPr>
      </w:pPr>
      <w:r>
        <w:rPr>
          <w:rFonts w:ascii="Verdana" w:hAnsi="Verdana" w:cs="Verdana"/>
          <w:b/>
          <w:bCs/>
          <w:w w:val="105"/>
          <w:sz w:val="20"/>
          <w:szCs w:val="20"/>
          <w:lang w:val="es-ES" w:eastAsia="es-ES"/>
        </w:rPr>
        <w:t xml:space="preserve">CONSIDERANDO </w:t>
      </w:r>
      <w:r>
        <w:rPr>
          <w:rFonts w:ascii="Verdana" w:hAnsi="Verdana" w:cs="Verdana"/>
          <w:b/>
          <w:bCs/>
          <w:w w:val="105"/>
          <w:sz w:val="19"/>
          <w:szCs w:val="19"/>
          <w:lang w:val="es-ES" w:eastAsia="es-ES"/>
        </w:rPr>
        <w:t>ÚNICO</w:t>
      </w:r>
    </w:p>
    <w:p w:rsidR="00B92DD2" w:rsidRDefault="00B92DD2">
      <w:pPr>
        <w:pStyle w:val="Style1"/>
        <w:kinsoku w:val="0"/>
        <w:autoSpaceDE/>
        <w:autoSpaceDN/>
        <w:adjustRightInd/>
        <w:spacing w:before="504"/>
        <w:rPr>
          <w:rFonts w:ascii="Verdana" w:hAnsi="Verdana" w:cs="Verdana"/>
          <w:b/>
          <w:bCs/>
          <w:w w:val="105"/>
          <w:sz w:val="20"/>
          <w:szCs w:val="20"/>
          <w:u w:val="single"/>
          <w:lang w:val="es-ES" w:eastAsia="es-ES"/>
        </w:rPr>
      </w:pPr>
      <w:r>
        <w:rPr>
          <w:rFonts w:ascii="Verdana" w:hAnsi="Verdana" w:cs="Verdana"/>
          <w:b/>
          <w:bCs/>
          <w:w w:val="105"/>
          <w:sz w:val="20"/>
          <w:szCs w:val="20"/>
          <w:u w:val="single"/>
          <w:lang w:val="es-ES" w:eastAsia="es-ES"/>
        </w:rPr>
        <w:t xml:space="preserve">Se rechaza por extemporáneo </w:t>
      </w:r>
    </w:p>
    <w:p w:rsidR="00B92DD2" w:rsidRDefault="00B92DD2">
      <w:pPr>
        <w:pStyle w:val="Style1"/>
        <w:kinsoku w:val="0"/>
        <w:autoSpaceDE/>
        <w:autoSpaceDN/>
        <w:adjustRightInd/>
        <w:spacing w:before="540"/>
        <w:jc w:val="both"/>
        <w:rPr>
          <w:rFonts w:ascii="Verdana" w:hAnsi="Verdana" w:cs="Verdana"/>
          <w:spacing w:val="8"/>
          <w:sz w:val="19"/>
          <w:szCs w:val="19"/>
          <w:lang w:val="es-ES" w:eastAsia="es-ES"/>
        </w:rPr>
      </w:pPr>
      <w:r>
        <w:rPr>
          <w:rFonts w:ascii="Verdana" w:hAnsi="Verdana" w:cs="Verdana"/>
          <w:spacing w:val="8"/>
          <w:sz w:val="19"/>
          <w:szCs w:val="19"/>
          <w:lang w:val="es-ES" w:eastAsia="es-ES"/>
        </w:rPr>
        <w:t xml:space="preserve">Conforme al estudio efectuado el Recurso de Apelación fue presentado fuera </w:t>
      </w:r>
      <w:r>
        <w:rPr>
          <w:rFonts w:ascii="Verdana" w:hAnsi="Verdana" w:cs="Verdana"/>
          <w:spacing w:val="9"/>
          <w:sz w:val="19"/>
          <w:szCs w:val="19"/>
          <w:lang w:val="es-ES" w:eastAsia="es-ES"/>
        </w:rPr>
        <w:t xml:space="preserve">del plazo legal establecido para tal fin, en los términos del artículo 11 de la </w:t>
      </w:r>
      <w:r>
        <w:rPr>
          <w:rFonts w:ascii="Verdana" w:hAnsi="Verdana" w:cs="Verdana"/>
          <w:spacing w:val="22"/>
          <w:sz w:val="19"/>
          <w:szCs w:val="19"/>
          <w:lang w:val="es-ES" w:eastAsia="es-ES"/>
        </w:rPr>
        <w:t xml:space="preserve">Ley Reguladora del Servicio Público de Transporte Remunerado de </w:t>
      </w:r>
      <w:r>
        <w:rPr>
          <w:rFonts w:ascii="Verdana" w:hAnsi="Verdana" w:cs="Verdana"/>
          <w:spacing w:val="8"/>
          <w:sz w:val="19"/>
          <w:szCs w:val="19"/>
          <w:lang w:val="es-ES" w:eastAsia="es-ES"/>
        </w:rPr>
        <w:t xml:space="preserve">Personas en vehículos en la modalidad de taxi, Ley N°7969, del 28 de enero </w:t>
      </w:r>
      <w:r>
        <w:rPr>
          <w:rFonts w:ascii="Verdana" w:hAnsi="Verdana" w:cs="Verdana"/>
          <w:spacing w:val="16"/>
          <w:sz w:val="19"/>
          <w:szCs w:val="19"/>
          <w:lang w:val="es-ES" w:eastAsia="es-ES"/>
        </w:rPr>
        <w:t xml:space="preserve">del 2000, ya que el acuerdo le fue notificado a la recurrente el 22 de </w:t>
      </w:r>
      <w:r>
        <w:rPr>
          <w:rFonts w:ascii="Verdana" w:hAnsi="Verdana" w:cs="Verdana"/>
          <w:spacing w:val="8"/>
          <w:sz w:val="19"/>
          <w:szCs w:val="19"/>
          <w:lang w:val="es-ES" w:eastAsia="es-ES"/>
        </w:rPr>
        <w:t>agosto de 2012 y el recurso fue presentado el 30 de agosto del mismo año.</w:t>
      </w:r>
    </w:p>
    <w:p w:rsidR="00B92DD2" w:rsidRDefault="00B92DD2">
      <w:pPr>
        <w:pStyle w:val="Style1"/>
        <w:kinsoku w:val="0"/>
        <w:autoSpaceDE/>
        <w:autoSpaceDN/>
        <w:adjustRightInd/>
        <w:spacing w:before="288" w:line="319" w:lineRule="auto"/>
        <w:ind w:left="360"/>
        <w:rPr>
          <w:rFonts w:ascii="Tahoma" w:hAnsi="Tahoma" w:cs="Tahoma"/>
          <w:spacing w:val="15"/>
          <w:sz w:val="14"/>
          <w:szCs w:val="14"/>
          <w:lang w:val="es-ES" w:eastAsia="es-ES"/>
        </w:rPr>
      </w:pPr>
      <w:r>
        <w:rPr>
          <w:rFonts w:ascii="Tahoma" w:hAnsi="Tahoma" w:cs="Tahoma"/>
          <w:spacing w:val="15"/>
          <w:sz w:val="14"/>
          <w:szCs w:val="14"/>
          <w:lang w:val="es-ES" w:eastAsia="es-ES"/>
        </w:rPr>
        <w:t>"ARTÍCULO 11.- Funcionamiento del órgano en general.</w:t>
      </w:r>
    </w:p>
    <w:p w:rsidR="00B92DD2" w:rsidRDefault="00B92DD2">
      <w:pPr>
        <w:pStyle w:val="Style1"/>
        <w:kinsoku w:val="0"/>
        <w:autoSpaceDE/>
        <w:autoSpaceDN/>
        <w:adjustRightInd/>
        <w:ind w:left="360" w:right="432"/>
        <w:jc w:val="both"/>
        <w:rPr>
          <w:rFonts w:ascii="Tahoma" w:hAnsi="Tahoma" w:cs="Tahoma"/>
          <w:spacing w:val="14"/>
          <w:sz w:val="14"/>
          <w:szCs w:val="14"/>
          <w:lang w:val="es-ES" w:eastAsia="es-ES"/>
        </w:rPr>
      </w:pPr>
      <w:r>
        <w:rPr>
          <w:rFonts w:ascii="Tahoma" w:hAnsi="Tahoma" w:cs="Tahoma"/>
          <w:spacing w:val="17"/>
          <w:sz w:val="14"/>
          <w:szCs w:val="14"/>
          <w:lang w:val="es-ES" w:eastAsia="es-ES"/>
        </w:rPr>
        <w:t xml:space="preserve">En cuanto al funcionamiento del órgano, salvo lo ordenado en esta ley y su reglamento, </w:t>
      </w:r>
      <w:r>
        <w:rPr>
          <w:rFonts w:ascii="Tahoma" w:hAnsi="Tahoma" w:cs="Tahoma"/>
          <w:spacing w:val="15"/>
          <w:sz w:val="14"/>
          <w:szCs w:val="14"/>
          <w:lang w:val="es-ES" w:eastAsia="es-ES"/>
        </w:rPr>
        <w:t xml:space="preserve">supletoriamente se aplicará lo dispuesto en el Título II, Capítulo II, de la Ley General de </w:t>
      </w:r>
      <w:r>
        <w:rPr>
          <w:rFonts w:ascii="Tahoma" w:hAnsi="Tahoma" w:cs="Tahoma"/>
          <w:spacing w:val="14"/>
          <w:sz w:val="14"/>
          <w:szCs w:val="14"/>
          <w:lang w:val="es-ES" w:eastAsia="es-ES"/>
        </w:rPr>
        <w:t>Administración Pública.</w:t>
      </w:r>
    </w:p>
    <w:p w:rsidR="00B92DD2" w:rsidRDefault="00B92DD2">
      <w:pPr>
        <w:pStyle w:val="Style1"/>
        <w:kinsoku w:val="0"/>
        <w:autoSpaceDE/>
        <w:autoSpaceDN/>
        <w:adjustRightInd/>
        <w:spacing w:before="252"/>
        <w:ind w:left="360" w:right="432"/>
        <w:jc w:val="both"/>
        <w:rPr>
          <w:rFonts w:ascii="Tahoma" w:hAnsi="Tahoma" w:cs="Tahoma"/>
          <w:spacing w:val="10"/>
          <w:sz w:val="14"/>
          <w:szCs w:val="14"/>
          <w:lang w:val="es-ES" w:eastAsia="es-ES"/>
        </w:rPr>
      </w:pPr>
      <w:r>
        <w:rPr>
          <w:rFonts w:ascii="Tahoma" w:hAnsi="Tahoma" w:cs="Tahoma"/>
          <w:spacing w:val="15"/>
          <w:sz w:val="14"/>
          <w:szCs w:val="14"/>
          <w:lang w:val="es-ES" w:eastAsia="es-ES"/>
        </w:rPr>
        <w:t xml:space="preserve">Contra las resoluciones del Consejo cabrá recurso de revocatoria ante el órgano que dictó el </w:t>
      </w:r>
      <w:r>
        <w:rPr>
          <w:rFonts w:ascii="Tahoma" w:hAnsi="Tahoma" w:cs="Tahoma"/>
          <w:spacing w:val="21"/>
          <w:sz w:val="14"/>
          <w:szCs w:val="14"/>
          <w:lang w:val="es-ES" w:eastAsia="es-ES"/>
        </w:rPr>
        <w:t xml:space="preserve">acto, con apelación en subsidio para ante el Tribunal, </w:t>
      </w:r>
      <w:r>
        <w:rPr>
          <w:rFonts w:ascii="Verdana" w:hAnsi="Verdana" w:cs="Verdana"/>
          <w:b/>
          <w:bCs/>
          <w:spacing w:val="21"/>
          <w:sz w:val="14"/>
          <w:szCs w:val="14"/>
          <w:u w:val="single"/>
          <w:lang w:val="es-ES" w:eastAsia="es-ES"/>
        </w:rPr>
        <w:t xml:space="preserve">Ambos recursos deberán </w:t>
      </w:r>
      <w:r>
        <w:rPr>
          <w:rFonts w:ascii="Verdana" w:hAnsi="Verdana" w:cs="Verdana"/>
          <w:b/>
          <w:bCs/>
          <w:spacing w:val="14"/>
          <w:sz w:val="14"/>
          <w:szCs w:val="14"/>
          <w:u w:val="single"/>
          <w:lang w:val="es-ES" w:eastAsia="es-ES"/>
        </w:rPr>
        <w:t xml:space="preserve">interponerse dentro del plazo de cinco días hábiles, contados a partir </w:t>
      </w:r>
      <w:r>
        <w:rPr>
          <w:rFonts w:ascii="Verdana" w:hAnsi="Verdana" w:cs="Verdana"/>
          <w:b/>
          <w:bCs/>
          <w:i/>
          <w:iCs/>
          <w:spacing w:val="14"/>
          <w:sz w:val="14"/>
          <w:szCs w:val="14"/>
          <w:u w:val="single"/>
          <w:lang w:val="es-ES" w:eastAsia="es-ES"/>
        </w:rPr>
        <w:t xml:space="preserve">de </w:t>
      </w:r>
      <w:r>
        <w:rPr>
          <w:rFonts w:ascii="Verdana" w:hAnsi="Verdana" w:cs="Verdana"/>
          <w:b/>
          <w:bCs/>
          <w:spacing w:val="14"/>
          <w:sz w:val="14"/>
          <w:szCs w:val="14"/>
          <w:u w:val="single"/>
          <w:lang w:val="es-ES" w:eastAsia="es-ES"/>
        </w:rPr>
        <w:t xml:space="preserve">la </w:t>
      </w:r>
      <w:r>
        <w:rPr>
          <w:rFonts w:ascii="Verdana" w:hAnsi="Verdana" w:cs="Verdana"/>
          <w:b/>
          <w:bCs/>
          <w:spacing w:val="10"/>
          <w:sz w:val="14"/>
          <w:szCs w:val="14"/>
          <w:u w:val="single"/>
          <w:lang w:val="es-ES" w:eastAsia="es-ES"/>
        </w:rPr>
        <w:t>notificación."</w:t>
      </w:r>
      <w:r>
        <w:rPr>
          <w:rFonts w:ascii="Tahoma" w:hAnsi="Tahoma" w:cs="Tahoma"/>
          <w:spacing w:val="10"/>
          <w:sz w:val="14"/>
          <w:szCs w:val="14"/>
          <w:lang w:val="es-ES" w:eastAsia="es-ES"/>
        </w:rPr>
        <w:t xml:space="preserve"> (El Resaltado es nuestro)</w:t>
      </w:r>
    </w:p>
    <w:p w:rsidR="00B92DD2" w:rsidRDefault="00B92DD2">
      <w:pPr>
        <w:pStyle w:val="Style1"/>
        <w:kinsoku w:val="0"/>
        <w:autoSpaceDE/>
        <w:autoSpaceDN/>
        <w:adjustRightInd/>
        <w:spacing w:before="540" w:after="468"/>
        <w:ind w:right="72"/>
        <w:jc w:val="both"/>
        <w:rPr>
          <w:rFonts w:ascii="Verdana" w:hAnsi="Verdana" w:cs="Verdana"/>
          <w:spacing w:val="6"/>
          <w:sz w:val="19"/>
          <w:szCs w:val="19"/>
          <w:lang w:val="es-ES" w:eastAsia="es-ES"/>
        </w:rPr>
      </w:pPr>
      <w:r>
        <w:rPr>
          <w:rFonts w:ascii="Verdana" w:hAnsi="Verdana" w:cs="Verdana"/>
          <w:spacing w:val="5"/>
          <w:sz w:val="19"/>
          <w:szCs w:val="19"/>
          <w:lang w:val="es-ES" w:eastAsia="es-ES"/>
        </w:rPr>
        <w:t xml:space="preserve">De acuerdo con el numeral anterior y siendo que el plazo para interponer el </w:t>
      </w:r>
      <w:r>
        <w:rPr>
          <w:rFonts w:ascii="Verdana" w:hAnsi="Verdana" w:cs="Verdana"/>
          <w:spacing w:val="13"/>
          <w:sz w:val="19"/>
          <w:szCs w:val="19"/>
          <w:lang w:val="es-ES" w:eastAsia="es-ES"/>
        </w:rPr>
        <w:t xml:space="preserve">recurso le vencía a la recurrente el día 29 de agosto de 2011 y esta lo </w:t>
      </w:r>
      <w:r>
        <w:rPr>
          <w:rFonts w:ascii="Verdana" w:hAnsi="Verdana" w:cs="Verdana"/>
          <w:spacing w:val="17"/>
          <w:sz w:val="19"/>
          <w:szCs w:val="19"/>
          <w:lang w:val="es-ES" w:eastAsia="es-ES"/>
        </w:rPr>
        <w:t xml:space="preserve">presenta el día 30, no queda más que rechazar por extemporáneo el </w:t>
      </w:r>
      <w:r>
        <w:rPr>
          <w:rFonts w:ascii="Verdana" w:hAnsi="Verdana" w:cs="Verdana"/>
          <w:spacing w:val="6"/>
          <w:sz w:val="19"/>
          <w:szCs w:val="19"/>
          <w:lang w:val="es-ES" w:eastAsia="es-ES"/>
        </w:rPr>
        <w:t>recurso presentado.</w:t>
      </w:r>
    </w:p>
    <w:p w:rsidR="000A45F6" w:rsidRDefault="000A45F6">
      <w:pPr>
        <w:pStyle w:val="Style1"/>
        <w:kinsoku w:val="0"/>
        <w:autoSpaceDE/>
        <w:autoSpaceDN/>
        <w:adjustRightInd/>
        <w:spacing w:line="223" w:lineRule="auto"/>
        <w:ind w:right="108"/>
        <w:jc w:val="right"/>
        <w:rPr>
          <w:spacing w:val="8"/>
          <w:sz w:val="22"/>
          <w:szCs w:val="22"/>
          <w:lang w:val="es-ES" w:eastAsia="es-ES"/>
        </w:rPr>
      </w:pPr>
    </w:p>
    <w:p w:rsidR="00600522" w:rsidRDefault="00600522">
      <w:pPr>
        <w:pStyle w:val="Style1"/>
        <w:kinsoku w:val="0"/>
        <w:autoSpaceDE/>
        <w:autoSpaceDN/>
        <w:adjustRightInd/>
        <w:spacing w:line="223" w:lineRule="auto"/>
        <w:ind w:right="108"/>
        <w:jc w:val="right"/>
        <w:rPr>
          <w:spacing w:val="8"/>
          <w:sz w:val="22"/>
          <w:szCs w:val="22"/>
          <w:lang w:val="es-ES" w:eastAsia="es-ES"/>
        </w:rPr>
      </w:pPr>
    </w:p>
    <w:p w:rsidR="00600522" w:rsidRDefault="00600522">
      <w:pPr>
        <w:pStyle w:val="Style1"/>
        <w:kinsoku w:val="0"/>
        <w:autoSpaceDE/>
        <w:autoSpaceDN/>
        <w:adjustRightInd/>
        <w:spacing w:line="223" w:lineRule="auto"/>
        <w:ind w:right="108"/>
        <w:jc w:val="right"/>
        <w:rPr>
          <w:spacing w:val="8"/>
          <w:sz w:val="22"/>
          <w:szCs w:val="22"/>
          <w:lang w:val="es-ES" w:eastAsia="es-ES"/>
        </w:rPr>
      </w:pPr>
    </w:p>
    <w:p w:rsidR="00600522" w:rsidRDefault="00600522">
      <w:pPr>
        <w:pStyle w:val="Style1"/>
        <w:kinsoku w:val="0"/>
        <w:autoSpaceDE/>
        <w:autoSpaceDN/>
        <w:adjustRightInd/>
        <w:spacing w:line="223" w:lineRule="auto"/>
        <w:ind w:right="108"/>
        <w:jc w:val="right"/>
        <w:rPr>
          <w:spacing w:val="8"/>
          <w:sz w:val="22"/>
          <w:szCs w:val="22"/>
          <w:lang w:val="es-ES" w:eastAsia="es-ES"/>
        </w:rPr>
      </w:pPr>
    </w:p>
    <w:p w:rsidR="00600522" w:rsidRDefault="00600522">
      <w:pPr>
        <w:pStyle w:val="Style1"/>
        <w:kinsoku w:val="0"/>
        <w:autoSpaceDE/>
        <w:autoSpaceDN/>
        <w:adjustRightInd/>
        <w:spacing w:line="223" w:lineRule="auto"/>
        <w:ind w:right="108"/>
        <w:jc w:val="right"/>
        <w:rPr>
          <w:spacing w:val="8"/>
          <w:sz w:val="22"/>
          <w:szCs w:val="22"/>
          <w:lang w:val="es-ES" w:eastAsia="es-ES"/>
        </w:rPr>
      </w:pPr>
    </w:p>
    <w:p w:rsidR="00600522" w:rsidRDefault="00600522">
      <w:pPr>
        <w:pStyle w:val="Style1"/>
        <w:kinsoku w:val="0"/>
        <w:autoSpaceDE/>
        <w:autoSpaceDN/>
        <w:adjustRightInd/>
        <w:spacing w:line="223" w:lineRule="auto"/>
        <w:ind w:right="108"/>
        <w:jc w:val="right"/>
        <w:rPr>
          <w:spacing w:val="8"/>
          <w:sz w:val="22"/>
          <w:szCs w:val="22"/>
          <w:lang w:val="es-ES" w:eastAsia="es-ES"/>
        </w:rPr>
      </w:pPr>
    </w:p>
    <w:p w:rsidR="00600522" w:rsidRDefault="00600522">
      <w:pPr>
        <w:pStyle w:val="Style1"/>
        <w:kinsoku w:val="0"/>
        <w:autoSpaceDE/>
        <w:autoSpaceDN/>
        <w:adjustRightInd/>
        <w:spacing w:line="223" w:lineRule="auto"/>
        <w:ind w:right="108"/>
        <w:jc w:val="right"/>
        <w:rPr>
          <w:spacing w:val="8"/>
          <w:sz w:val="22"/>
          <w:szCs w:val="22"/>
          <w:lang w:val="es-ES" w:eastAsia="es-ES"/>
        </w:rPr>
      </w:pPr>
    </w:p>
    <w:p w:rsidR="000A45F6" w:rsidRDefault="000A45F6">
      <w:pPr>
        <w:pStyle w:val="Style1"/>
        <w:kinsoku w:val="0"/>
        <w:autoSpaceDE/>
        <w:autoSpaceDN/>
        <w:adjustRightInd/>
        <w:spacing w:line="223" w:lineRule="auto"/>
        <w:ind w:right="108"/>
        <w:jc w:val="right"/>
        <w:rPr>
          <w:spacing w:val="8"/>
          <w:sz w:val="22"/>
          <w:szCs w:val="22"/>
          <w:lang w:val="es-ES" w:eastAsia="es-ES"/>
        </w:rPr>
      </w:pPr>
    </w:p>
    <w:p w:rsidR="000A45F6" w:rsidRDefault="000A45F6">
      <w:pPr>
        <w:pStyle w:val="Style1"/>
        <w:kinsoku w:val="0"/>
        <w:autoSpaceDE/>
        <w:autoSpaceDN/>
        <w:adjustRightInd/>
        <w:spacing w:line="223" w:lineRule="auto"/>
        <w:ind w:right="108"/>
        <w:jc w:val="right"/>
        <w:rPr>
          <w:spacing w:val="8"/>
          <w:sz w:val="22"/>
          <w:szCs w:val="22"/>
          <w:lang w:val="es-ES" w:eastAsia="es-ES"/>
        </w:rPr>
      </w:pPr>
    </w:p>
    <w:p w:rsidR="00B92DD2" w:rsidRDefault="00B92DD2">
      <w:pPr>
        <w:pStyle w:val="Style2"/>
        <w:kinsoku w:val="0"/>
        <w:autoSpaceDE/>
        <w:autoSpaceDN/>
        <w:adjustRightInd/>
        <w:spacing w:line="208" w:lineRule="auto"/>
        <w:ind w:left="72"/>
        <w:rPr>
          <w:rStyle w:val="CharacterStyle3"/>
          <w:rFonts w:ascii="Verdana" w:hAnsi="Verdana" w:cs="Verdana"/>
          <w:b/>
          <w:bCs/>
          <w:spacing w:val="-7"/>
          <w:w w:val="105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-7"/>
          <w:w w:val="105"/>
          <w:lang w:val="es-ES" w:eastAsia="es-ES"/>
        </w:rPr>
        <w:lastRenderedPageBreak/>
        <w:t>SOBRE LA NULIDAD INVOCADA</w:t>
      </w:r>
    </w:p>
    <w:p w:rsidR="00B92DD2" w:rsidRDefault="00B92DD2">
      <w:pPr>
        <w:pStyle w:val="Style3"/>
        <w:kinsoku w:val="0"/>
        <w:autoSpaceDE/>
        <w:autoSpaceDN/>
        <w:spacing w:before="216"/>
        <w:ind w:left="72"/>
        <w:rPr>
          <w:rStyle w:val="CharacterStyle2"/>
          <w:rFonts w:ascii="Verdana" w:hAnsi="Verdana" w:cs="Verdana"/>
          <w:spacing w:val="-4"/>
          <w:lang w:val="es-ES" w:eastAsia="es-ES"/>
        </w:rPr>
      </w:pPr>
      <w:r>
        <w:rPr>
          <w:rStyle w:val="CharacterStyle2"/>
          <w:rFonts w:ascii="Verdana" w:hAnsi="Verdana" w:cs="Verdana"/>
          <w:spacing w:val="8"/>
          <w:lang w:val="es-ES" w:eastAsia="es-ES"/>
        </w:rPr>
        <w:t xml:space="preserve">No encuentra este Tribunal del análisis de los alegatos del recurrente, </w:t>
      </w:r>
      <w:r>
        <w:rPr>
          <w:rStyle w:val="CharacterStyle2"/>
          <w:rFonts w:ascii="Verdana" w:hAnsi="Verdana" w:cs="Verdana"/>
          <w:spacing w:val="1"/>
          <w:lang w:val="es-ES" w:eastAsia="es-ES"/>
        </w:rPr>
        <w:t xml:space="preserve">Nulidad alguna que deba ser declarada por el colegiado, más aún cuando el </w:t>
      </w:r>
      <w:r>
        <w:rPr>
          <w:rStyle w:val="CharacterStyle2"/>
          <w:rFonts w:ascii="Verdana" w:hAnsi="Verdana" w:cs="Verdana"/>
          <w:spacing w:val="17"/>
          <w:lang w:val="es-ES" w:eastAsia="es-ES"/>
        </w:rPr>
        <w:t xml:space="preserve">mismo recurrente reconoce que no contaban dos de los vehículos </w:t>
      </w:r>
      <w:r>
        <w:rPr>
          <w:rStyle w:val="CharacterStyle2"/>
          <w:rFonts w:ascii="Verdana" w:hAnsi="Verdana" w:cs="Verdana"/>
          <w:spacing w:val="-1"/>
          <w:lang w:val="es-ES" w:eastAsia="es-ES"/>
        </w:rPr>
        <w:t xml:space="preserve">presentados por ésta, con la Póliza del INS, que demanda la Ley 8955 en su </w:t>
      </w:r>
      <w:r>
        <w:rPr>
          <w:rStyle w:val="CharacterStyle2"/>
          <w:rFonts w:ascii="Verdana" w:hAnsi="Verdana" w:cs="Verdana"/>
          <w:spacing w:val="13"/>
          <w:lang w:val="es-ES" w:eastAsia="es-ES"/>
        </w:rPr>
        <w:t xml:space="preserve">transitorio I inciso K), por lo que el plazo para interponer la acción </w:t>
      </w:r>
      <w:r>
        <w:rPr>
          <w:rStyle w:val="CharacterStyle2"/>
          <w:rFonts w:ascii="Verdana" w:hAnsi="Verdana" w:cs="Verdana"/>
          <w:spacing w:val="10"/>
          <w:lang w:val="es-ES" w:eastAsia="es-ES"/>
        </w:rPr>
        <w:t xml:space="preserve">presentada, corre la misma suerte que el recurso mediante el cual se </w:t>
      </w:r>
      <w:r>
        <w:rPr>
          <w:rStyle w:val="CharacterStyle2"/>
          <w:rFonts w:ascii="Verdana" w:hAnsi="Verdana" w:cs="Verdana"/>
          <w:spacing w:val="23"/>
          <w:lang w:val="es-ES" w:eastAsia="es-ES"/>
        </w:rPr>
        <w:t xml:space="preserve">interpone y por lo tanto las acciones recursivas se encuentran </w:t>
      </w:r>
      <w:r>
        <w:rPr>
          <w:rStyle w:val="CharacterStyle2"/>
          <w:rFonts w:ascii="Verdana" w:hAnsi="Verdana" w:cs="Verdana"/>
          <w:spacing w:val="-4"/>
          <w:lang w:val="es-ES" w:eastAsia="es-ES"/>
        </w:rPr>
        <w:t>extemporáneas.</w:t>
      </w:r>
    </w:p>
    <w:p w:rsidR="00B92DD2" w:rsidRDefault="00B92DD2">
      <w:pPr>
        <w:pStyle w:val="Style2"/>
        <w:kinsoku w:val="0"/>
        <w:autoSpaceDE/>
        <w:autoSpaceDN/>
        <w:adjustRightInd/>
        <w:spacing w:before="612" w:line="204" w:lineRule="auto"/>
        <w:jc w:val="center"/>
        <w:rPr>
          <w:rStyle w:val="CharacterStyle3"/>
          <w:rFonts w:ascii="Verdana" w:hAnsi="Verdana" w:cs="Verdana"/>
          <w:b/>
          <w:bCs/>
          <w:spacing w:val="-10"/>
          <w:w w:val="105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-10"/>
          <w:w w:val="105"/>
          <w:lang w:val="es-ES" w:eastAsia="es-ES"/>
        </w:rPr>
        <w:t>POR TANTO</w:t>
      </w:r>
    </w:p>
    <w:p w:rsidR="00B92DD2" w:rsidRDefault="00B92DD2">
      <w:pPr>
        <w:pStyle w:val="Style3"/>
        <w:numPr>
          <w:ilvl w:val="0"/>
          <w:numId w:val="1"/>
        </w:numPr>
        <w:tabs>
          <w:tab w:val="clear" w:pos="576"/>
          <w:tab w:val="num" w:pos="648"/>
        </w:tabs>
        <w:kinsoku w:val="0"/>
        <w:autoSpaceDE/>
        <w:autoSpaceDN/>
        <w:rPr>
          <w:rStyle w:val="CharacterStyle2"/>
          <w:rFonts w:ascii="Verdana" w:hAnsi="Verdana" w:cs="Verdana"/>
          <w:spacing w:val="-21"/>
          <w:lang w:val="es-ES" w:eastAsia="es-ES"/>
        </w:rPr>
      </w:pPr>
      <w:r>
        <w:rPr>
          <w:rStyle w:val="CharacterStyle2"/>
          <w:rFonts w:ascii="Verdana" w:hAnsi="Verdana" w:cs="Verdana"/>
          <w:spacing w:val="-5"/>
          <w:lang w:val="es-ES" w:eastAsia="es-ES"/>
        </w:rPr>
        <w:t xml:space="preserve">Se rechaza por extemporáneo el RECURSO DE APELACIÓN Y LA NULIDAD </w:t>
      </w:r>
      <w:r>
        <w:rPr>
          <w:rStyle w:val="CharacterStyle2"/>
          <w:rFonts w:ascii="Verdana" w:hAnsi="Verdana" w:cs="Verdana"/>
          <w:spacing w:val="4"/>
          <w:lang w:val="es-ES" w:eastAsia="es-ES"/>
        </w:rPr>
        <w:t xml:space="preserve">interpuestos por la empresa </w:t>
      </w:r>
      <w:r>
        <w:rPr>
          <w:rStyle w:val="CharacterStyle2"/>
          <w:rFonts w:ascii="Verdana" w:hAnsi="Verdana" w:cs="Verdana"/>
          <w:b/>
          <w:bCs/>
          <w:spacing w:val="4"/>
          <w:w w:val="105"/>
          <w:lang w:val="es-ES" w:eastAsia="es-ES"/>
        </w:rPr>
        <w:t>T</w:t>
      </w:r>
      <w:r w:rsidR="00600522">
        <w:rPr>
          <w:rStyle w:val="CharacterStyle2"/>
          <w:rFonts w:ascii="Verdana" w:hAnsi="Verdana" w:cs="Verdana"/>
          <w:b/>
          <w:bCs/>
          <w:spacing w:val="4"/>
          <w:w w:val="105"/>
          <w:lang w:val="es-ES" w:eastAsia="es-ES"/>
        </w:rPr>
        <w:t>.</w:t>
      </w:r>
      <w:r>
        <w:rPr>
          <w:rStyle w:val="CharacterStyle2"/>
          <w:rFonts w:ascii="Verdana" w:hAnsi="Verdana" w:cs="Verdana"/>
          <w:b/>
          <w:bCs/>
          <w:spacing w:val="4"/>
          <w:w w:val="105"/>
          <w:lang w:val="es-ES" w:eastAsia="es-ES"/>
        </w:rPr>
        <w:t>P</w:t>
      </w:r>
      <w:r w:rsidR="00600522">
        <w:rPr>
          <w:rStyle w:val="CharacterStyle2"/>
          <w:rFonts w:ascii="Verdana" w:hAnsi="Verdana" w:cs="Verdana"/>
          <w:b/>
          <w:bCs/>
          <w:spacing w:val="4"/>
          <w:w w:val="105"/>
          <w:lang w:val="es-ES" w:eastAsia="es-ES"/>
        </w:rPr>
        <w:t>.</w:t>
      </w:r>
      <w:r w:rsidRPr="000A45F6">
        <w:rPr>
          <w:rStyle w:val="CharacterStyle2"/>
          <w:rFonts w:ascii="Verdana" w:hAnsi="Verdana" w:cs="Verdana"/>
          <w:b/>
          <w:spacing w:val="4"/>
          <w:lang w:val="es-ES" w:eastAsia="es-ES"/>
        </w:rPr>
        <w:t>G</w:t>
      </w:r>
      <w:r w:rsidR="00600522">
        <w:rPr>
          <w:rStyle w:val="CharacterStyle2"/>
          <w:rFonts w:ascii="Verdana" w:hAnsi="Verdana" w:cs="Verdana"/>
          <w:b/>
          <w:spacing w:val="4"/>
          <w:lang w:val="es-ES" w:eastAsia="es-ES"/>
        </w:rPr>
        <w:t>.</w:t>
      </w:r>
      <w:r w:rsidRPr="000A45F6">
        <w:rPr>
          <w:rStyle w:val="CharacterStyle2"/>
          <w:rFonts w:ascii="Verdana" w:hAnsi="Verdana" w:cs="Verdana"/>
          <w:b/>
          <w:spacing w:val="4"/>
          <w:lang w:val="es-ES" w:eastAsia="es-ES"/>
        </w:rPr>
        <w:t>G</w:t>
      </w:r>
      <w:r w:rsidR="00600522">
        <w:rPr>
          <w:rStyle w:val="CharacterStyle2"/>
          <w:rFonts w:ascii="Verdana" w:hAnsi="Verdana" w:cs="Verdana"/>
          <w:b/>
          <w:spacing w:val="4"/>
          <w:lang w:val="es-ES" w:eastAsia="es-ES"/>
        </w:rPr>
        <w:t>.</w:t>
      </w:r>
      <w:r>
        <w:rPr>
          <w:rStyle w:val="CharacterStyle2"/>
          <w:rFonts w:ascii="Verdana" w:hAnsi="Verdana" w:cs="Verdana"/>
          <w:b/>
          <w:bCs/>
          <w:spacing w:val="4"/>
          <w:w w:val="105"/>
          <w:lang w:val="es-ES" w:eastAsia="es-ES"/>
        </w:rPr>
        <w:t>S.A.</w:t>
      </w:r>
      <w:r w:rsidR="00600522">
        <w:rPr>
          <w:rStyle w:val="CharacterStyle2"/>
          <w:rFonts w:ascii="Verdana" w:hAnsi="Verdana" w:cs="Verdana"/>
          <w:b/>
          <w:bCs/>
          <w:spacing w:val="4"/>
          <w:w w:val="105"/>
          <w:lang w:val="es-ES" w:eastAsia="es-ES"/>
        </w:rPr>
        <w:t>,</w:t>
      </w:r>
      <w:r>
        <w:rPr>
          <w:rStyle w:val="CharacterStyle2"/>
          <w:rFonts w:ascii="Verdana" w:hAnsi="Verdana" w:cs="Verdana"/>
          <w:b/>
          <w:bCs/>
          <w:spacing w:val="4"/>
          <w:w w:val="105"/>
          <w:lang w:val="es-ES" w:eastAsia="es-ES"/>
        </w:rPr>
        <w:t xml:space="preserve"> </w:t>
      </w:r>
      <w:r>
        <w:rPr>
          <w:rStyle w:val="CharacterStyle2"/>
          <w:rFonts w:ascii="Verdana" w:hAnsi="Verdana" w:cs="Verdana"/>
          <w:spacing w:val="4"/>
          <w:lang w:val="es-ES" w:eastAsia="es-ES"/>
        </w:rPr>
        <w:t xml:space="preserve">cédula </w:t>
      </w:r>
      <w:proofErr w:type="gramStart"/>
      <w:r>
        <w:rPr>
          <w:rStyle w:val="CharacterStyle2"/>
          <w:rFonts w:ascii="Verdana" w:hAnsi="Verdana" w:cs="Verdana"/>
          <w:spacing w:val="4"/>
          <w:lang w:val="es-ES" w:eastAsia="es-ES"/>
        </w:rPr>
        <w:t xml:space="preserve">jurídica </w:t>
      </w:r>
      <w:r w:rsidR="00600522">
        <w:rPr>
          <w:rStyle w:val="CharacterStyle2"/>
          <w:rFonts w:ascii="Verdana" w:hAnsi="Verdana" w:cs="Verdana"/>
          <w:spacing w:val="4"/>
          <w:lang w:val="es-ES" w:eastAsia="es-ES"/>
        </w:rPr>
        <w:t>…</w:t>
      </w:r>
      <w:proofErr w:type="gramEnd"/>
      <w:r>
        <w:rPr>
          <w:rStyle w:val="CharacterStyle2"/>
          <w:rFonts w:ascii="Verdana" w:hAnsi="Verdana" w:cs="Verdana"/>
          <w:spacing w:val="4"/>
          <w:lang w:val="es-ES" w:eastAsia="es-ES"/>
        </w:rPr>
        <w:t xml:space="preserve">, por medio de su Apoderado Generalísimo sin límite </w:t>
      </w:r>
      <w:r>
        <w:rPr>
          <w:rStyle w:val="CharacterStyle2"/>
          <w:rFonts w:ascii="Verdana" w:hAnsi="Verdana" w:cs="Verdana"/>
          <w:spacing w:val="2"/>
          <w:lang w:val="es-ES" w:eastAsia="es-ES"/>
        </w:rPr>
        <w:t xml:space="preserve">de suma, señor </w:t>
      </w:r>
      <w:r>
        <w:rPr>
          <w:rStyle w:val="CharacterStyle2"/>
          <w:rFonts w:ascii="Verdana" w:hAnsi="Verdana" w:cs="Verdana"/>
          <w:b/>
          <w:bCs/>
          <w:spacing w:val="2"/>
          <w:w w:val="105"/>
          <w:lang w:val="es-ES" w:eastAsia="es-ES"/>
        </w:rPr>
        <w:t>O</w:t>
      </w:r>
      <w:r w:rsidR="00600522">
        <w:rPr>
          <w:rStyle w:val="CharacterStyle2"/>
          <w:rFonts w:ascii="Verdana" w:hAnsi="Verdana" w:cs="Verdana"/>
          <w:b/>
          <w:bCs/>
          <w:spacing w:val="2"/>
          <w:w w:val="105"/>
          <w:lang w:val="es-ES" w:eastAsia="es-ES"/>
        </w:rPr>
        <w:t>.</w:t>
      </w:r>
      <w:r>
        <w:rPr>
          <w:rStyle w:val="CharacterStyle2"/>
          <w:rFonts w:ascii="Verdana" w:hAnsi="Verdana" w:cs="Verdana"/>
          <w:b/>
          <w:bCs/>
          <w:spacing w:val="2"/>
          <w:w w:val="105"/>
          <w:lang w:val="es-ES" w:eastAsia="es-ES"/>
        </w:rPr>
        <w:t>G</w:t>
      </w:r>
      <w:r w:rsidR="00600522">
        <w:rPr>
          <w:rStyle w:val="CharacterStyle2"/>
          <w:rFonts w:ascii="Verdana" w:hAnsi="Verdana" w:cs="Verdana"/>
          <w:b/>
          <w:bCs/>
          <w:spacing w:val="2"/>
          <w:w w:val="105"/>
          <w:lang w:val="es-ES" w:eastAsia="es-ES"/>
        </w:rPr>
        <w:t>.</w:t>
      </w:r>
      <w:r>
        <w:rPr>
          <w:rStyle w:val="CharacterStyle2"/>
          <w:rFonts w:ascii="Verdana" w:hAnsi="Verdana" w:cs="Verdana"/>
          <w:b/>
          <w:bCs/>
          <w:spacing w:val="2"/>
          <w:w w:val="105"/>
          <w:lang w:val="es-ES" w:eastAsia="es-ES"/>
        </w:rPr>
        <w:t>C</w:t>
      </w:r>
      <w:r w:rsidR="00600522">
        <w:rPr>
          <w:rStyle w:val="CharacterStyle2"/>
          <w:rFonts w:ascii="Verdana" w:hAnsi="Verdana" w:cs="Verdana"/>
          <w:b/>
          <w:bCs/>
          <w:spacing w:val="2"/>
          <w:w w:val="105"/>
          <w:lang w:val="es-ES" w:eastAsia="es-ES"/>
        </w:rPr>
        <w:t>.</w:t>
      </w:r>
      <w:r>
        <w:rPr>
          <w:rStyle w:val="CharacterStyle2"/>
          <w:rFonts w:ascii="Verdana" w:hAnsi="Verdana" w:cs="Verdana"/>
          <w:b/>
          <w:bCs/>
          <w:spacing w:val="2"/>
          <w:w w:val="105"/>
          <w:lang w:val="es-ES" w:eastAsia="es-ES"/>
        </w:rPr>
        <w:t>Z</w:t>
      </w:r>
      <w:r w:rsidR="00600522">
        <w:rPr>
          <w:rStyle w:val="CharacterStyle2"/>
          <w:rFonts w:ascii="Verdana" w:hAnsi="Verdana" w:cs="Verdana"/>
          <w:b/>
          <w:bCs/>
          <w:spacing w:val="2"/>
          <w:w w:val="105"/>
          <w:lang w:val="es-ES" w:eastAsia="es-ES"/>
        </w:rPr>
        <w:t>.</w:t>
      </w:r>
      <w:r>
        <w:rPr>
          <w:rStyle w:val="CharacterStyle2"/>
          <w:rFonts w:ascii="Verdana" w:hAnsi="Verdana" w:cs="Verdana"/>
          <w:b/>
          <w:bCs/>
          <w:spacing w:val="2"/>
          <w:w w:val="105"/>
          <w:lang w:val="es-ES" w:eastAsia="es-ES"/>
        </w:rPr>
        <w:t xml:space="preserve">, </w:t>
      </w:r>
      <w:r>
        <w:rPr>
          <w:rStyle w:val="CharacterStyle2"/>
          <w:rFonts w:ascii="Verdana" w:hAnsi="Verdana" w:cs="Verdana"/>
          <w:spacing w:val="2"/>
          <w:lang w:val="es-ES" w:eastAsia="es-ES"/>
        </w:rPr>
        <w:t xml:space="preserve">cédula de identidad </w:t>
      </w:r>
      <w:r>
        <w:rPr>
          <w:rStyle w:val="CharacterStyle2"/>
          <w:rFonts w:ascii="Verdana" w:hAnsi="Verdana" w:cs="Verdana"/>
          <w:spacing w:val="3"/>
          <w:lang w:val="es-ES" w:eastAsia="es-ES"/>
        </w:rPr>
        <w:t xml:space="preserve">número </w:t>
      </w:r>
      <w:r w:rsidR="00600522">
        <w:rPr>
          <w:rStyle w:val="CharacterStyle2"/>
          <w:rFonts w:ascii="Verdana" w:hAnsi="Verdana" w:cs="Verdana"/>
          <w:spacing w:val="3"/>
          <w:lang w:val="es-ES" w:eastAsia="es-ES"/>
        </w:rPr>
        <w:t>…</w:t>
      </w:r>
      <w:r>
        <w:rPr>
          <w:rStyle w:val="CharacterStyle2"/>
          <w:rFonts w:ascii="Verdana" w:hAnsi="Verdana" w:cs="Verdana"/>
          <w:spacing w:val="3"/>
          <w:lang w:val="es-ES" w:eastAsia="es-ES"/>
        </w:rPr>
        <w:t xml:space="preserve">, contra los artículos 2.1.24, de la Sesión Extraordinaria </w:t>
      </w:r>
      <w:r>
        <w:rPr>
          <w:rStyle w:val="CharacterStyle2"/>
          <w:rFonts w:ascii="Verdana" w:hAnsi="Verdana" w:cs="Verdana"/>
          <w:spacing w:val="4"/>
          <w:lang w:val="es-ES" w:eastAsia="es-ES"/>
        </w:rPr>
        <w:t xml:space="preserve">03-2012, de 23 de abril de 2012 y el 3.1 la Sesión Ordinaria 42-2012 de 2 </w:t>
      </w:r>
      <w:r>
        <w:rPr>
          <w:rStyle w:val="CharacterStyle2"/>
          <w:rFonts w:ascii="Verdana" w:hAnsi="Verdana" w:cs="Verdana"/>
          <w:spacing w:val="-1"/>
          <w:lang w:val="es-ES" w:eastAsia="es-ES"/>
        </w:rPr>
        <w:t xml:space="preserve">de julio de 2012, ambos dictados por la JUNTA DIRECTIVA DEL CONSEJO DE </w:t>
      </w:r>
      <w:r>
        <w:rPr>
          <w:rStyle w:val="CharacterStyle2"/>
          <w:rFonts w:ascii="Verdana" w:hAnsi="Verdana" w:cs="Verdana"/>
          <w:spacing w:val="-21"/>
          <w:lang w:val="es-ES" w:eastAsia="es-ES"/>
        </w:rPr>
        <w:t>TRANSPORTE PÚBLICO.</w:t>
      </w:r>
    </w:p>
    <w:p w:rsidR="00B92DD2" w:rsidRPr="000A45F6" w:rsidRDefault="00B92DD2" w:rsidP="000A45F6">
      <w:pPr>
        <w:pStyle w:val="Style3"/>
        <w:numPr>
          <w:ilvl w:val="0"/>
          <w:numId w:val="2"/>
        </w:numPr>
        <w:kinsoku w:val="0"/>
        <w:autoSpaceDE/>
        <w:autoSpaceDN/>
        <w:spacing w:after="72"/>
        <w:rPr>
          <w:rStyle w:val="CharacterStyle2"/>
          <w:rFonts w:ascii="Arial" w:hAnsi="Arial" w:cs="Arial"/>
          <w:b/>
          <w:bCs/>
          <w:spacing w:val="-2"/>
          <w:sz w:val="6"/>
          <w:szCs w:val="6"/>
          <w:lang w:val="es-ES" w:eastAsia="es-ES"/>
        </w:rPr>
      </w:pPr>
      <w:r w:rsidRPr="000A45F6">
        <w:rPr>
          <w:rStyle w:val="CharacterStyle2"/>
          <w:rFonts w:ascii="Verdana" w:hAnsi="Verdana" w:cs="Verdana"/>
          <w:lang w:val="es-ES" w:eastAsia="es-ES"/>
        </w:rPr>
        <w:t xml:space="preserve">De conformidad con el artículo 22, inciso c), de la citada Ley 7969, la </w:t>
      </w:r>
      <w:r w:rsidRPr="000A45F6">
        <w:rPr>
          <w:rStyle w:val="CharacterStyle2"/>
          <w:rFonts w:ascii="Verdana" w:hAnsi="Verdana" w:cs="Verdana"/>
          <w:spacing w:val="10"/>
          <w:lang w:val="es-ES" w:eastAsia="es-ES"/>
        </w:rPr>
        <w:t xml:space="preserve">presente resolución no tiene ulterior recurso por lo que, se </w:t>
      </w:r>
      <w:r w:rsidRPr="000A45F6">
        <w:rPr>
          <w:rStyle w:val="CharacterStyle2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tiene por </w:t>
      </w:r>
      <w:r w:rsidRPr="000A45F6">
        <w:rPr>
          <w:rStyle w:val="CharacterStyle2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agotada la vía administrativa. </w:t>
      </w:r>
      <w:r w:rsidRPr="000A45F6">
        <w:rPr>
          <w:rStyle w:val="CharacterStyle2"/>
          <w:rFonts w:ascii="Verdana" w:hAnsi="Verdana" w:cs="Verdana"/>
          <w:b/>
          <w:bCs/>
          <w:spacing w:val="-2"/>
          <w:w w:val="105"/>
          <w:lang w:val="es-ES" w:eastAsia="es-ES"/>
        </w:rPr>
        <w:t>NOTIFIQUESE.</w:t>
      </w:r>
      <w:r w:rsidRPr="000A45F6">
        <w:rPr>
          <w:rStyle w:val="CharacterStyle2"/>
          <w:rFonts w:ascii="Arial" w:hAnsi="Arial" w:cs="Arial"/>
          <w:b/>
          <w:bCs/>
          <w:spacing w:val="-2"/>
          <w:sz w:val="6"/>
          <w:szCs w:val="6"/>
          <w:lang w:val="es-ES" w:eastAsia="es-ES"/>
        </w:rPr>
        <w:t>-</w:t>
      </w:r>
      <w:r w:rsidR="000A45F6">
        <w:rPr>
          <w:rStyle w:val="CharacterStyle2"/>
          <w:rFonts w:ascii="Arial" w:hAnsi="Arial" w:cs="Arial"/>
          <w:b/>
          <w:bCs/>
          <w:spacing w:val="-2"/>
          <w:sz w:val="18"/>
          <w:szCs w:val="18"/>
          <w:lang w:val="es-ES" w:eastAsia="es-ES"/>
        </w:rPr>
        <w:t>-</w:t>
      </w:r>
    </w:p>
    <w:p w:rsidR="000A45F6" w:rsidRDefault="000A45F6" w:rsidP="000A45F6">
      <w:pPr>
        <w:pStyle w:val="Style3"/>
        <w:kinsoku w:val="0"/>
        <w:autoSpaceDE/>
        <w:autoSpaceDN/>
        <w:spacing w:after="72"/>
        <w:rPr>
          <w:rStyle w:val="CharacterStyle2"/>
          <w:rFonts w:ascii="Arial" w:hAnsi="Arial" w:cs="Arial"/>
          <w:b/>
          <w:bCs/>
          <w:spacing w:val="-2"/>
          <w:sz w:val="6"/>
          <w:szCs w:val="6"/>
          <w:lang w:val="es-ES" w:eastAsia="es-ES"/>
        </w:rPr>
      </w:pPr>
    </w:p>
    <w:p w:rsidR="000A45F6" w:rsidRDefault="000A45F6" w:rsidP="000A45F6">
      <w:pPr>
        <w:pStyle w:val="Style3"/>
        <w:kinsoku w:val="0"/>
        <w:autoSpaceDE/>
        <w:autoSpaceDN/>
        <w:spacing w:after="72"/>
        <w:rPr>
          <w:rStyle w:val="CharacterStyle2"/>
          <w:rFonts w:ascii="Arial" w:hAnsi="Arial" w:cs="Arial"/>
          <w:b/>
          <w:bCs/>
          <w:spacing w:val="-2"/>
          <w:sz w:val="6"/>
          <w:szCs w:val="6"/>
          <w:lang w:val="es-ES" w:eastAsia="es-ES"/>
        </w:rPr>
      </w:pPr>
    </w:p>
    <w:p w:rsidR="00B92DD2" w:rsidRDefault="00B92DD2">
      <w:pPr>
        <w:spacing w:before="53"/>
        <w:jc w:val="center"/>
      </w:pPr>
    </w:p>
    <w:p w:rsidR="000A45F6" w:rsidRDefault="000A45F6" w:rsidP="000A45F6">
      <w:pPr>
        <w:pStyle w:val="Style10"/>
        <w:kinsoku w:val="0"/>
        <w:autoSpaceDE/>
        <w:spacing w:line="206" w:lineRule="auto"/>
        <w:ind w:right="72"/>
        <w:jc w:val="center"/>
        <w:rPr>
          <w:spacing w:val="4"/>
          <w:sz w:val="22"/>
          <w:szCs w:val="22"/>
          <w:lang w:val="es-ES" w:eastAsia="es-ES"/>
        </w:rPr>
      </w:pPr>
      <w:r>
        <w:rPr>
          <w:spacing w:val="4"/>
          <w:sz w:val="22"/>
          <w:szCs w:val="22"/>
          <w:lang w:val="es-ES" w:eastAsia="es-ES"/>
        </w:rPr>
        <w:t>Lic. Carlos Miguel Portuguez Méndez</w:t>
      </w:r>
    </w:p>
    <w:p w:rsidR="000A45F6" w:rsidRDefault="000A45F6" w:rsidP="000A45F6">
      <w:pPr>
        <w:pStyle w:val="Style10"/>
        <w:kinsoku w:val="0"/>
        <w:autoSpaceDE/>
        <w:spacing w:line="206" w:lineRule="auto"/>
        <w:ind w:right="72"/>
        <w:jc w:val="center"/>
        <w:rPr>
          <w:b/>
          <w:spacing w:val="4"/>
          <w:sz w:val="22"/>
          <w:szCs w:val="22"/>
          <w:lang w:val="es-ES" w:eastAsia="es-ES"/>
        </w:rPr>
      </w:pPr>
      <w:r>
        <w:rPr>
          <w:b/>
          <w:spacing w:val="4"/>
          <w:sz w:val="22"/>
          <w:szCs w:val="22"/>
          <w:lang w:val="es-ES" w:eastAsia="es-ES"/>
        </w:rPr>
        <w:t>Presidente</w:t>
      </w:r>
    </w:p>
    <w:p w:rsidR="000A45F6" w:rsidRDefault="000A45F6" w:rsidP="000A45F6">
      <w:pPr>
        <w:pStyle w:val="Style10"/>
        <w:kinsoku w:val="0"/>
        <w:autoSpaceDE/>
        <w:spacing w:line="206" w:lineRule="auto"/>
        <w:ind w:right="72"/>
        <w:jc w:val="center"/>
        <w:rPr>
          <w:spacing w:val="4"/>
          <w:sz w:val="22"/>
          <w:szCs w:val="22"/>
          <w:lang w:val="es-ES" w:eastAsia="es-ES"/>
        </w:rPr>
      </w:pPr>
    </w:p>
    <w:p w:rsidR="000A45F6" w:rsidRDefault="000A45F6" w:rsidP="000A45F6">
      <w:pPr>
        <w:pStyle w:val="Style10"/>
        <w:kinsoku w:val="0"/>
        <w:autoSpaceDE/>
        <w:spacing w:line="206" w:lineRule="auto"/>
        <w:ind w:right="72"/>
        <w:jc w:val="center"/>
        <w:rPr>
          <w:spacing w:val="4"/>
          <w:sz w:val="22"/>
          <w:szCs w:val="22"/>
          <w:lang w:val="es-ES" w:eastAsia="es-ES"/>
        </w:rPr>
      </w:pPr>
    </w:p>
    <w:p w:rsidR="000A45F6" w:rsidRDefault="000A45F6" w:rsidP="000A45F6">
      <w:pPr>
        <w:pStyle w:val="Style10"/>
        <w:kinsoku w:val="0"/>
        <w:autoSpaceDE/>
        <w:spacing w:line="206" w:lineRule="auto"/>
        <w:ind w:right="72"/>
        <w:jc w:val="center"/>
        <w:rPr>
          <w:spacing w:val="4"/>
          <w:sz w:val="22"/>
          <w:szCs w:val="22"/>
          <w:lang w:val="es-ES" w:eastAsia="es-ES"/>
        </w:rPr>
      </w:pPr>
    </w:p>
    <w:p w:rsidR="000A45F6" w:rsidRDefault="000A45F6" w:rsidP="000A45F6">
      <w:pPr>
        <w:pStyle w:val="Style10"/>
        <w:kinsoku w:val="0"/>
        <w:autoSpaceDE/>
        <w:spacing w:line="206" w:lineRule="auto"/>
        <w:ind w:right="72"/>
        <w:jc w:val="center"/>
        <w:rPr>
          <w:spacing w:val="4"/>
          <w:sz w:val="22"/>
          <w:szCs w:val="22"/>
          <w:lang w:val="es-ES" w:eastAsia="es-ES"/>
        </w:rPr>
      </w:pPr>
      <w:r>
        <w:rPr>
          <w:spacing w:val="4"/>
          <w:sz w:val="22"/>
          <w:szCs w:val="22"/>
          <w:lang w:val="es-ES" w:eastAsia="es-ES"/>
        </w:rPr>
        <w:t>Licda. Marta Luz Pérez Peláez                                            Lic. Mario Quesada Aguirre</w:t>
      </w:r>
    </w:p>
    <w:p w:rsidR="000A45F6" w:rsidRDefault="000A45F6" w:rsidP="000A45F6">
      <w:pPr>
        <w:pStyle w:val="Style10"/>
        <w:kinsoku w:val="0"/>
        <w:autoSpaceDE/>
        <w:spacing w:line="206" w:lineRule="auto"/>
        <w:ind w:right="72"/>
        <w:jc w:val="center"/>
        <w:rPr>
          <w:b/>
          <w:spacing w:val="4"/>
          <w:sz w:val="22"/>
          <w:szCs w:val="22"/>
          <w:lang w:val="es-ES" w:eastAsia="es-ES"/>
        </w:rPr>
      </w:pPr>
      <w:r>
        <w:rPr>
          <w:b/>
          <w:spacing w:val="4"/>
          <w:sz w:val="22"/>
          <w:szCs w:val="22"/>
          <w:lang w:val="es-ES" w:eastAsia="es-ES"/>
        </w:rPr>
        <w:t xml:space="preserve">Juez                                                                                         </w:t>
      </w:r>
      <w:proofErr w:type="spellStart"/>
      <w:r>
        <w:rPr>
          <w:b/>
          <w:spacing w:val="4"/>
          <w:sz w:val="22"/>
          <w:szCs w:val="22"/>
          <w:lang w:val="es-ES" w:eastAsia="es-ES"/>
        </w:rPr>
        <w:t>Juez</w:t>
      </w:r>
      <w:proofErr w:type="spellEnd"/>
    </w:p>
    <w:p w:rsidR="000A45F6" w:rsidRDefault="000A45F6" w:rsidP="000A45F6">
      <w:pPr>
        <w:pStyle w:val="Style10"/>
        <w:kinsoku w:val="0"/>
        <w:autoSpaceDE/>
        <w:spacing w:line="206" w:lineRule="auto"/>
        <w:ind w:right="72"/>
        <w:jc w:val="right"/>
        <w:rPr>
          <w:spacing w:val="4"/>
          <w:sz w:val="22"/>
          <w:szCs w:val="22"/>
          <w:lang w:val="es-ES" w:eastAsia="es-ES"/>
        </w:rPr>
      </w:pPr>
    </w:p>
    <w:p w:rsidR="000A45F6" w:rsidRDefault="000A45F6">
      <w:pPr>
        <w:spacing w:before="53"/>
        <w:jc w:val="center"/>
      </w:pPr>
    </w:p>
    <w:p w:rsidR="000A45F6" w:rsidRDefault="000A45F6">
      <w:pPr>
        <w:spacing w:before="53"/>
        <w:jc w:val="center"/>
      </w:pPr>
    </w:p>
    <w:p w:rsidR="000A45F6" w:rsidRDefault="000A45F6">
      <w:pPr>
        <w:spacing w:before="53"/>
        <w:jc w:val="center"/>
      </w:pPr>
    </w:p>
    <w:p w:rsidR="000A45F6" w:rsidRDefault="000A45F6">
      <w:pPr>
        <w:spacing w:before="53"/>
        <w:jc w:val="center"/>
      </w:pPr>
    </w:p>
    <w:p w:rsidR="000A45F6" w:rsidRDefault="000A45F6">
      <w:pPr>
        <w:spacing w:before="53"/>
        <w:jc w:val="center"/>
      </w:pPr>
    </w:p>
    <w:p w:rsidR="000A45F6" w:rsidRDefault="000A45F6">
      <w:pPr>
        <w:spacing w:before="53"/>
        <w:jc w:val="center"/>
      </w:pPr>
    </w:p>
    <w:p w:rsidR="000A45F6" w:rsidRDefault="000A45F6">
      <w:pPr>
        <w:spacing w:before="53"/>
        <w:jc w:val="center"/>
      </w:pPr>
    </w:p>
    <w:p w:rsidR="000A45F6" w:rsidRDefault="000A45F6">
      <w:pPr>
        <w:spacing w:before="53"/>
        <w:jc w:val="center"/>
      </w:pPr>
    </w:p>
    <w:p w:rsidR="000A45F6" w:rsidRDefault="000A45F6">
      <w:pPr>
        <w:spacing w:before="53"/>
        <w:jc w:val="center"/>
      </w:pPr>
    </w:p>
    <w:sectPr w:rsidR="000A45F6">
      <w:pgSz w:w="12221" w:h="15802"/>
      <w:pgMar w:top="1345" w:right="1994" w:bottom="452" w:left="207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D480"/>
    <w:multiLevelType w:val="singleLevel"/>
    <w:tmpl w:val="1D589F1C"/>
    <w:lvl w:ilvl="0">
      <w:start w:val="1"/>
      <w:numFmt w:val="upperRoman"/>
      <w:lvlText w:val="%1.-"/>
      <w:lvlJc w:val="left"/>
      <w:pPr>
        <w:tabs>
          <w:tab w:val="num" w:pos="576"/>
        </w:tabs>
        <w:ind w:firstLine="72"/>
      </w:pPr>
      <w:rPr>
        <w:rFonts w:ascii="Verdana" w:hAnsi="Verdana" w:cs="Verdana"/>
        <w:snapToGrid/>
        <w:spacing w:val="-5"/>
        <w:sz w:val="20"/>
        <w:szCs w:val="20"/>
      </w:rPr>
    </w:lvl>
  </w:abstractNum>
  <w:num w:numId="1">
    <w:abstractNumId w:val="0"/>
  </w:num>
  <w:num w:numId="2">
    <w:abstractNumId w:val="0"/>
    <w:lvlOverride w:ilvl="0">
      <w:lvl w:ilvl="0">
        <w:numFmt w:val="upperRoman"/>
        <w:lvlText w:val="%1.-"/>
        <w:lvlJc w:val="left"/>
        <w:pPr>
          <w:tabs>
            <w:tab w:val="num" w:pos="648"/>
          </w:tabs>
        </w:pPr>
        <w:rPr>
          <w:rFonts w:ascii="Verdana" w:hAnsi="Verdana" w:cs="Verdana"/>
          <w:snapToGrid/>
          <w:sz w:val="20"/>
          <w:szCs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EC0012"/>
    <w:rsid w:val="000A45F6"/>
    <w:rsid w:val="00600522"/>
    <w:rsid w:val="00B92DD2"/>
    <w:rsid w:val="00CF7436"/>
    <w:rsid w:val="00EC0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288"/>
      <w:jc w:val="both"/>
    </w:pPr>
    <w:rPr>
      <w:sz w:val="20"/>
      <w:szCs w:val="20"/>
    </w:rPr>
  </w:style>
  <w:style w:type="character" w:customStyle="1" w:styleId="CharacterStyle3">
    <w:name w:val="Character Style 3"/>
    <w:uiPriority w:val="99"/>
    <w:rPr>
      <w:sz w:val="20"/>
      <w:szCs w:val="20"/>
    </w:rPr>
  </w:style>
  <w:style w:type="character" w:customStyle="1" w:styleId="CharacterStyle2">
    <w:name w:val="Character Style 2"/>
    <w:uiPriority w:val="99"/>
    <w:rPr>
      <w:sz w:val="20"/>
      <w:szCs w:val="20"/>
    </w:rPr>
  </w:style>
  <w:style w:type="paragraph" w:customStyle="1" w:styleId="Style10">
    <w:name w:val="Style 10"/>
    <w:basedOn w:val="Normal"/>
    <w:uiPriority w:val="99"/>
    <w:rsid w:val="000A45F6"/>
    <w:pPr>
      <w:kinsoku/>
      <w:autoSpaceDE w:val="0"/>
      <w:autoSpaceDN w:val="0"/>
      <w:ind w:right="576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8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2014-10-10T21:01:00Z</dcterms:created>
  <dcterms:modified xsi:type="dcterms:W3CDTF">2014-10-10T21:01:00Z</dcterms:modified>
</cp:coreProperties>
</file>