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FC" w:rsidRDefault="008C4FFC">
      <w:pPr>
        <w:pStyle w:val="Style1"/>
        <w:kinsoku w:val="0"/>
        <w:autoSpaceDE/>
        <w:autoSpaceDN/>
        <w:adjustRightInd/>
        <w:spacing w:before="576" w:line="206" w:lineRule="auto"/>
        <w:jc w:val="center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RESOLUCION No. TAT-2253-2014</w:t>
      </w:r>
    </w:p>
    <w:p w:rsidR="008C4FFC" w:rsidRDefault="008C4FFC" w:rsidP="004A67A0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San José, a las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catorce horas veinte minutos del treinta de abril de dos mil catorce.</w:t>
      </w:r>
    </w:p>
    <w:p w:rsidR="008C4FFC" w:rsidRDefault="008C4FFC" w:rsidP="00865D83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RECURSO DE APELACIÓN EN SUBSIDIO </w:t>
      </w:r>
      <w:r>
        <w:rPr>
          <w:spacing w:val="2"/>
          <w:sz w:val="22"/>
          <w:szCs w:val="22"/>
          <w:lang w:val="es-ES" w:eastAsia="es-ES"/>
        </w:rPr>
        <w:t xml:space="preserve">Y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NULIDAD CONCOMITANTE,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interpuesto</w:t>
      </w:r>
      <w:r w:rsidR="00865D83"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por la empresa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A</w:t>
      </w:r>
      <w:r w:rsidR="00865D83"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.P.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</w:t>
      </w:r>
      <w:r w:rsidR="00865D83"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S</w:t>
      </w:r>
      <w:r w:rsidR="00865D83"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J</w:t>
      </w:r>
      <w:r w:rsidR="007A6213"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17"/>
          <w:w w:val="105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17"/>
          <w:w w:val="105"/>
          <w:sz w:val="22"/>
          <w:szCs w:val="22"/>
          <w:lang w:val="es-ES" w:eastAsia="es-ES"/>
        </w:rPr>
        <w:t xml:space="preserve">jurídica </w:t>
      </w:r>
      <w:r w:rsidR="007A6213">
        <w:rPr>
          <w:rFonts w:ascii="Verdana" w:hAnsi="Verdana" w:cs="Verdana"/>
          <w:spacing w:val="17"/>
          <w:w w:val="105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spacing w:val="17"/>
          <w:w w:val="105"/>
          <w:sz w:val="22"/>
          <w:szCs w:val="22"/>
          <w:lang w:val="es-ES" w:eastAsia="es-ES"/>
        </w:rPr>
        <w:t xml:space="preserve">, por medio de su Apoderado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Generalísimo sin límite de suma, señor 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V</w:t>
      </w:r>
      <w:r w:rsidR="00865D83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H</w:t>
      </w:r>
      <w:r w:rsidR="00865D83"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.S.</w:t>
      </w: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>H</w:t>
      </w:r>
      <w:r w:rsidR="007A6213"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cédula de identidad número </w:t>
      </w:r>
      <w:r w:rsidR="007A6213"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, contra el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artículo 2.2.45, de la Sesión Extraordinaria 02-2012, de 16 de abril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de 2012 dictado por la 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JUNTA DIRECTIVA DEL CONSEJO DE TRANSPORTE </w:t>
      </w:r>
      <w:r>
        <w:rPr>
          <w:rFonts w:ascii="Verdana" w:hAnsi="Verdana" w:cs="Verdana"/>
          <w:spacing w:val="27"/>
          <w:sz w:val="18"/>
          <w:szCs w:val="18"/>
          <w:lang w:val="es-ES" w:eastAsia="es-ES"/>
        </w:rPr>
        <w:t xml:space="preserve">PÚBLICO </w:t>
      </w:r>
      <w:r>
        <w:rPr>
          <w:rFonts w:ascii="Verdana" w:hAnsi="Verdana" w:cs="Verdana"/>
          <w:spacing w:val="27"/>
          <w:w w:val="105"/>
          <w:sz w:val="22"/>
          <w:szCs w:val="22"/>
          <w:lang w:val="es-ES" w:eastAsia="es-ES"/>
        </w:rPr>
        <w:t xml:space="preserve">y tramitado en este despacho bajo </w:t>
      </w:r>
      <w:r>
        <w:rPr>
          <w:rFonts w:ascii="Verdana" w:hAnsi="Verdana" w:cs="Verdana"/>
          <w:b/>
          <w:bCs/>
          <w:spacing w:val="27"/>
          <w:sz w:val="22"/>
          <w:szCs w:val="22"/>
          <w:lang w:val="es-ES" w:eastAsia="es-ES"/>
        </w:rPr>
        <w:t xml:space="preserve">Expediente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Administrativo No. TAT-026-14.</w:t>
      </w:r>
    </w:p>
    <w:p w:rsidR="008C4FFC" w:rsidRDefault="008C4FFC">
      <w:pPr>
        <w:pStyle w:val="Style1"/>
        <w:kinsoku w:val="0"/>
        <w:autoSpaceDE/>
        <w:autoSpaceDN/>
        <w:adjustRightInd/>
        <w:spacing w:before="432" w:line="201" w:lineRule="auto"/>
        <w:jc w:val="center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8C4FFC" w:rsidRDefault="008C4FFC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Mediante Ley de la República número 8955, de 16 de junio de dos mil once, que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Reforma la Ley N° 3284 "Código de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diciembre de 1999,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el Legislador entre otros determino:</w:t>
      </w:r>
    </w:p>
    <w:p w:rsidR="008C4FFC" w:rsidRPr="004A67A0" w:rsidRDefault="008C4FFC">
      <w:pPr>
        <w:pStyle w:val="Style1"/>
        <w:kinsoku w:val="0"/>
        <w:autoSpaceDE/>
        <w:autoSpaceDN/>
        <w:adjustRightInd/>
        <w:spacing w:before="360" w:line="204" w:lineRule="auto"/>
        <w:ind w:left="360"/>
        <w:rPr>
          <w:lang w:val="es-CR" w:eastAsia="en-US"/>
        </w:rPr>
      </w:pPr>
      <w:r>
        <w:rPr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t>"TRANSITORIO L</w:t>
      </w:r>
      <w:r>
        <w:rPr>
          <w:rFonts w:ascii="Verdana" w:hAnsi="Verdana" w:cs="Verdana"/>
          <w:b/>
          <w:bCs/>
          <w:i/>
          <w:iCs/>
          <w:spacing w:val="8"/>
          <w:sz w:val="14"/>
          <w:szCs w:val="14"/>
          <w:lang w:val="es-ES" w:eastAsia="es-ES"/>
        </w:rPr>
        <w:noBreakHyphen/>
      </w:r>
    </w:p>
    <w:p w:rsidR="008C4FFC" w:rsidRDefault="008C4FFC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6"/>
          <w:w w:val="105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>dedicadas a la actividad del porteo de personas modalidad automóvil y que hayan operado seg</w:t>
      </w:r>
      <w:r w:rsidR="00865D83"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>ú</w:t>
      </w:r>
      <w:r>
        <w:rPr>
          <w:rFonts w:ascii="Verdana" w:hAnsi="Verdana" w:cs="Verdana"/>
          <w:i/>
          <w:iCs/>
          <w:spacing w:val="4"/>
          <w:w w:val="105"/>
          <w:sz w:val="14"/>
          <w:szCs w:val="14"/>
          <w:lang w:val="es-ES" w:eastAsia="es-ES"/>
        </w:rPr>
        <w:t xml:space="preserve">n lo establecido en el artículo 323 del Código de Comercio, sin itinerario fijo, y cuyos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servicios se contraten por viaje, tiempo o en ambas formas, y se encuentren ejerciendo de </w:t>
      </w:r>
      <w:r>
        <w:rPr>
          <w:rFonts w:ascii="Verdana" w:hAnsi="Verdana" w:cs="Verdana"/>
          <w:i/>
          <w:iCs/>
          <w:spacing w:val="6"/>
          <w:w w:val="105"/>
          <w:sz w:val="14"/>
          <w:szCs w:val="14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pacing w:val="2"/>
          <w:w w:val="105"/>
          <w:sz w:val="14"/>
          <w:szCs w:val="14"/>
          <w:lang w:val="es-ES" w:eastAsia="es-ES"/>
        </w:rPr>
        <w:t xml:space="preserve">presente transitorio al momento de la publicación de esta ley, deberán acreditar su condición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>indican a continuación:</w:t>
      </w:r>
    </w:p>
    <w:p w:rsidR="008C4FFC" w:rsidRDefault="008C4FFC">
      <w:pPr>
        <w:pStyle w:val="Style1"/>
        <w:kinsoku w:val="0"/>
        <w:autoSpaceDE/>
        <w:autoSpaceDN/>
        <w:adjustRightInd/>
        <w:spacing w:before="144"/>
        <w:ind w:left="360"/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>(--)</w:t>
      </w:r>
    </w:p>
    <w:p w:rsidR="008C4FFC" w:rsidRDefault="008C4FFC" w:rsidP="00865D83">
      <w:pPr>
        <w:pStyle w:val="Style1"/>
        <w:kinsoku w:val="0"/>
        <w:autoSpaceDE/>
        <w:autoSpaceDN/>
        <w:adjustRightInd/>
        <w:spacing w:line="271" w:lineRule="auto"/>
        <w:ind w:left="360"/>
        <w:jc w:val="both"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k) Constancia de estar al día en el pago de la póliza de porteo de personas, Clase Tarifa 21.</w:t>
      </w:r>
    </w:p>
    <w:p w:rsidR="008C4FFC" w:rsidRDefault="008C4FFC">
      <w:pPr>
        <w:pStyle w:val="Style1"/>
        <w:kinsoku w:val="0"/>
        <w:autoSpaceDE/>
        <w:autoSpaceDN/>
        <w:adjustRightInd/>
        <w:spacing w:before="180" w:line="264" w:lineRule="auto"/>
        <w:ind w:left="360" w:right="360"/>
        <w:jc w:val="both"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9"/>
          <w:w w:val="105"/>
          <w:sz w:val="14"/>
          <w:szCs w:val="14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9"/>
          <w:w w:val="105"/>
          <w:sz w:val="14"/>
          <w:szCs w:val="14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9"/>
          <w:w w:val="105"/>
          <w:sz w:val="14"/>
          <w:szCs w:val="14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5"/>
          <w:w w:val="105"/>
          <w:sz w:val="14"/>
          <w:szCs w:val="14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7"/>
          <w:w w:val="105"/>
          <w:sz w:val="14"/>
          <w:szCs w:val="14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pacing w:val="3"/>
          <w:w w:val="105"/>
          <w:sz w:val="14"/>
          <w:szCs w:val="14"/>
          <w:lang w:val="es-ES" w:eastAsia="es-ES"/>
        </w:rPr>
        <w:t xml:space="preserve">compartió la naturaleza jurídica o los elementos puntuales que caracterizan la actividad del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servicio público de taxi.</w:t>
      </w:r>
    </w:p>
    <w:p w:rsidR="008C4FFC" w:rsidRDefault="008C4FFC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 xml:space="preserve">La totalidad de estos requisitos deberán ser presentados ante el Consejo de Transporte Público </w:t>
      </w:r>
      <w:r>
        <w:rPr>
          <w:rFonts w:ascii="Verdana" w:hAnsi="Verdana" w:cs="Verdana"/>
          <w:i/>
          <w:iCs/>
          <w:w w:val="105"/>
          <w:sz w:val="14"/>
          <w:szCs w:val="14"/>
          <w:lang w:val="es-ES" w:eastAsia="es-ES"/>
        </w:rPr>
        <w:t xml:space="preserve">dentro del plazo perentorio de un mes, contado a partir de la publicación de esta ley; en caso </w:t>
      </w:r>
      <w:r>
        <w:rPr>
          <w:rFonts w:ascii="Verdana" w:hAnsi="Verdana" w:cs="Verdana"/>
          <w:i/>
          <w:iCs/>
          <w:spacing w:val="1"/>
          <w:w w:val="105"/>
          <w:sz w:val="14"/>
          <w:szCs w:val="14"/>
          <w:lang w:val="es-ES" w:eastAsia="es-ES"/>
        </w:rPr>
        <w:t>contrario, dichas personas no podrán seguir prestando el servicio. (...)"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360" w:right="2072" w:bottom="337" w:left="2048" w:header="720" w:footer="720" w:gutter="0"/>
          <w:cols w:space="720"/>
          <w:noEndnote/>
        </w:sectPr>
      </w:pPr>
    </w:p>
    <w:p w:rsidR="008C4FFC" w:rsidRDefault="008C4FFC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3"/>
          <w:w w:val="105"/>
          <w:sz w:val="22"/>
          <w:szCs w:val="22"/>
          <w:lang w:val="es-ES" w:eastAsia="es-ES"/>
        </w:rPr>
        <w:lastRenderedPageBreak/>
        <w:t xml:space="preserve">SEGUNDO: </w:t>
      </w:r>
      <w:r>
        <w:rPr>
          <w:rFonts w:ascii="Arial" w:hAnsi="Arial" w:cs="Arial"/>
          <w:spacing w:val="-13"/>
          <w:sz w:val="23"/>
          <w:szCs w:val="23"/>
          <w:lang w:val="es-ES" w:eastAsia="es-ES"/>
        </w:rPr>
        <w:t xml:space="preserve">La </w:t>
      </w:r>
      <w:r>
        <w:rPr>
          <w:rFonts w:ascii="Verdana" w:hAnsi="Verdana" w:cs="Verdana"/>
          <w:spacing w:val="-13"/>
          <w:w w:val="105"/>
          <w:sz w:val="21"/>
          <w:szCs w:val="21"/>
          <w:lang w:val="es-ES" w:eastAsia="es-ES"/>
        </w:rPr>
        <w:t xml:space="preserve">JUNTA DIRECTIVA DEL CONSEJO DE TRANSPORTE PÚBLICO, </w:t>
      </w:r>
      <w:r>
        <w:rPr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mediante artículo 2.2. 45 de la Sesión Extraordinaria 02-2012 del 16 </w:t>
      </w:r>
      <w:r>
        <w:rPr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de abril de 2012 dispuso lo siguiente: (Léanse folios 11 y 12 del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>expediente)</w:t>
      </w:r>
    </w:p>
    <w:p w:rsidR="008C4FFC" w:rsidRDefault="008C4FFC">
      <w:pPr>
        <w:pStyle w:val="Style1"/>
        <w:kinsoku w:val="0"/>
        <w:autoSpaceDE/>
        <w:autoSpaceDN/>
        <w:adjustRightInd/>
        <w:spacing w:before="684"/>
        <w:ind w:left="288" w:right="288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lang w:val="es-ES" w:eastAsia="es-ES"/>
        </w:rPr>
        <w:t xml:space="preserve">"ARTICULO 2.2.45.-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i/>
          <w:iCs/>
          <w:spacing w:val="1"/>
          <w:sz w:val="15"/>
          <w:szCs w:val="15"/>
          <w:lang w:val="es-ES" w:eastAsia="es-ES"/>
        </w:rPr>
        <w:t xml:space="preserve">DE-2012-930 </w:t>
      </w:r>
      <w:r>
        <w:rPr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de la Dirección Ejecutiva, referente a acreditación de los Servicios especiales estables de taxi, empresa AUTO TRANSPORTES PARA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SOCIOS SAN JORGE SOCIEDAD ANONIMA.</w:t>
      </w:r>
    </w:p>
    <w:p w:rsidR="008C4FFC" w:rsidRDefault="008C4FFC">
      <w:pPr>
        <w:pStyle w:val="Style1"/>
        <w:kinsoku w:val="0"/>
        <w:autoSpaceDE/>
        <w:autoSpaceDN/>
        <w:adjustRightInd/>
        <w:spacing w:before="180"/>
        <w:ind w:left="288" w:right="3456"/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2"/>
          <w:sz w:val="15"/>
          <w:szCs w:val="15"/>
          <w:lang w:val="es-ES" w:eastAsia="es-ES"/>
        </w:rPr>
        <w:t xml:space="preserve">CONSIDERANDO ÚNICO DEL PRESENTE ACUERDO </w:t>
      </w: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POR TANTO SE ACUERDA:</w:t>
      </w:r>
    </w:p>
    <w:p w:rsidR="008C4FFC" w:rsidRDefault="008C4FFC">
      <w:pPr>
        <w:pStyle w:val="Style1"/>
        <w:kinsoku w:val="0"/>
        <w:autoSpaceDE/>
        <w:autoSpaceDN/>
        <w:adjustRightInd/>
        <w:spacing w:before="216"/>
        <w:ind w:left="288" w:right="288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I. El siguiente participante en el proceso de acreditación para permiso especial estable de taxi </w:t>
      </w:r>
      <w:r>
        <w:rPr>
          <w:rFonts w:ascii="Verdana" w:hAnsi="Verdana" w:cs="Verdana"/>
          <w:i/>
          <w:iCs/>
          <w:spacing w:val="8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acreditación:</w:t>
      </w:r>
    </w:p>
    <w:p w:rsidR="00865D83" w:rsidRDefault="008C4FFC">
      <w:pPr>
        <w:pStyle w:val="Style1"/>
        <w:kinsoku w:val="0"/>
        <w:autoSpaceDE/>
        <w:autoSpaceDN/>
        <w:adjustRightInd/>
        <w:ind w:left="288" w:right="1512"/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EMPRESA: A</w:t>
      </w:r>
      <w:r w:rsidR="00865D8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T</w:t>
      </w:r>
      <w:r w:rsidR="00865D8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P</w:t>
      </w:r>
      <w:r w:rsidR="00865D8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S</w:t>
      </w:r>
      <w:r w:rsidR="00865D8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S</w:t>
      </w:r>
      <w:r w:rsidR="00865D8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J</w:t>
      </w:r>
      <w:r w:rsidR="007A621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 xml:space="preserve"> S</w:t>
      </w:r>
      <w:r w:rsidR="00865D8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A</w:t>
      </w:r>
      <w:r w:rsidR="007A6213"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>.</w:t>
      </w:r>
    </w:p>
    <w:p w:rsidR="008C4FFC" w:rsidRDefault="008C4FFC">
      <w:pPr>
        <w:pStyle w:val="Style1"/>
        <w:kinsoku w:val="0"/>
        <w:autoSpaceDE/>
        <w:autoSpaceDN/>
        <w:adjustRightInd/>
        <w:ind w:left="288" w:right="1512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CEDULA JURIDICA: </w:t>
      </w:r>
      <w:r w:rsidR="007A6213">
        <w:rPr>
          <w:rFonts w:ascii="Verdana" w:hAnsi="Verdana" w:cs="Verdana"/>
          <w:i/>
          <w:iCs/>
          <w:sz w:val="15"/>
          <w:szCs w:val="15"/>
          <w:lang w:val="es-ES" w:eastAsia="es-ES"/>
        </w:rPr>
        <w:t>…</w:t>
      </w:r>
    </w:p>
    <w:p w:rsidR="008C4FFC" w:rsidRDefault="008C4FFC">
      <w:pPr>
        <w:pStyle w:val="Style9"/>
        <w:kinsoku w:val="0"/>
        <w:autoSpaceDE/>
        <w:autoSpaceDN/>
        <w:spacing w:before="36" w:line="199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PROVINCIA: ALAJUELA</w:t>
      </w:r>
    </w:p>
    <w:p w:rsidR="008C4FFC" w:rsidRDefault="008C4FFC">
      <w:pPr>
        <w:pStyle w:val="Style9"/>
        <w:kinsoku w:val="0"/>
        <w:autoSpaceDE/>
        <w:autoSpaceDN/>
        <w:spacing w:before="36" w:line="20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CANTON: UPALA</w:t>
      </w:r>
    </w:p>
    <w:p w:rsidR="008C4FFC" w:rsidRDefault="008C4FFC">
      <w:pPr>
        <w:pStyle w:val="Style9"/>
        <w:kinsoku w:val="0"/>
        <w:autoSpaceDE/>
        <w:autoSpaceDN/>
        <w:spacing w:before="36" w:line="199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NUMERO DE UNIDADES: </w:t>
      </w:r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</w:t>
      </w:r>
    </w:p>
    <w:p w:rsidR="008C4FFC" w:rsidRDefault="008C4FFC">
      <w:pPr>
        <w:pStyle w:val="Style1"/>
        <w:kinsoku w:val="0"/>
        <w:autoSpaceDE/>
        <w:autoSpaceDN/>
        <w:adjustRightInd/>
        <w:ind w:left="288" w:right="432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>xxxxxxxxxxxxxxxxxxxxxxxx</w:t>
      </w:r>
      <w:proofErr w:type="spellEnd"/>
    </w:p>
    <w:p w:rsidR="008C4FFC" w:rsidRDefault="008C4FFC">
      <w:pPr>
        <w:pStyle w:val="Style9"/>
        <w:kinsoku w:val="0"/>
        <w:autoSpaceDE/>
        <w:autoSpaceDN/>
        <w:spacing w:before="36" w:line="20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PROVINCIA: ALAJUELA</w:t>
      </w:r>
    </w:p>
    <w:p w:rsidR="008C4FFC" w:rsidRDefault="008C4FFC">
      <w:pPr>
        <w:pStyle w:val="Style9"/>
        <w:kinsoku w:val="0"/>
        <w:autoSpaceDE/>
        <w:autoSpaceDN/>
        <w:spacing w:before="36" w:line="199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CANTON: SAN RAFAEL</w:t>
      </w:r>
    </w:p>
    <w:p w:rsidR="008C4FFC" w:rsidRDefault="008C4FFC">
      <w:pPr>
        <w:pStyle w:val="Style9"/>
        <w:kinsoku w:val="0"/>
        <w:autoSpaceDE/>
        <w:autoSpaceDN/>
        <w:spacing w:line="20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NUMERO DE UNIDADES: </w:t>
      </w:r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</w:t>
      </w:r>
    </w:p>
    <w:p w:rsidR="005779E8" w:rsidRDefault="008C4FFC" w:rsidP="005779E8">
      <w:pPr>
        <w:pStyle w:val="Style9"/>
        <w:kinsoku w:val="0"/>
        <w:autoSpaceDE/>
        <w:autoSpaceDN/>
        <w:spacing w:line="21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PLACAS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proofErr w:type="gram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, ,</w:t>
      </w:r>
      <w:proofErr w:type="gram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xxxxx</w:t>
      </w:r>
      <w:proofErr w:type="spellEnd"/>
    </w:p>
    <w:p w:rsidR="008C4FFC" w:rsidRDefault="008C4FFC" w:rsidP="005779E8">
      <w:pPr>
        <w:pStyle w:val="Style9"/>
        <w:kinsoku w:val="0"/>
        <w:autoSpaceDE/>
        <w:autoSpaceDN/>
        <w:spacing w:line="21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PROVINCIA: CARTAGO</w:t>
      </w:r>
    </w:p>
    <w:p w:rsidR="008C4FFC" w:rsidRDefault="008C4FFC">
      <w:pPr>
        <w:pStyle w:val="Style9"/>
        <w:kinsoku w:val="0"/>
        <w:autoSpaceDE/>
        <w:autoSpaceDN/>
        <w:spacing w:before="36" w:line="20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CANTON: CARTAGO</w:t>
      </w:r>
    </w:p>
    <w:p w:rsidR="008C4FFC" w:rsidRDefault="008C4FFC">
      <w:pPr>
        <w:pStyle w:val="Style9"/>
        <w:kinsoku w:val="0"/>
        <w:autoSpaceDE/>
        <w:autoSpaceDN/>
        <w:spacing w:line="199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NUMERO DE UNIDADES: </w:t>
      </w:r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</w:t>
      </w:r>
    </w:p>
    <w:p w:rsidR="005779E8" w:rsidRDefault="008C4FFC" w:rsidP="005779E8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PLACAS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</w:p>
    <w:p w:rsidR="008C4FFC" w:rsidRDefault="008C4FFC" w:rsidP="005779E8">
      <w:pPr>
        <w:pStyle w:val="Style9"/>
        <w:kinsoku w:val="0"/>
        <w:autoSpaceDE/>
        <w:autoSpaceDN/>
        <w:spacing w:line="240" w:lineRule="auto"/>
        <w:rPr>
          <w:rFonts w:ascii="Verdana" w:hAnsi="Verdana" w:cs="Verdana"/>
          <w:i w:val="0"/>
          <w:iCs w:val="0"/>
          <w:lang w:val="es-ES" w:eastAsia="es-ES"/>
        </w:rPr>
      </w:pPr>
      <w:r>
        <w:rPr>
          <w:rFonts w:ascii="Verdana" w:hAnsi="Verdana" w:cs="Verdana"/>
          <w:i w:val="0"/>
          <w:iCs w:val="0"/>
          <w:spacing w:val="-3"/>
          <w:lang w:val="es-ES" w:eastAsia="es-ES"/>
        </w:rPr>
        <w:t xml:space="preserve">PROVINCIA: CARTAGO </w:t>
      </w:r>
      <w:r>
        <w:rPr>
          <w:rFonts w:ascii="Verdana" w:hAnsi="Verdana" w:cs="Verdana"/>
          <w:i w:val="0"/>
          <w:iCs w:val="0"/>
          <w:lang w:val="es-ES" w:eastAsia="es-ES"/>
        </w:rPr>
        <w:t>CANTON: LA UNION</w:t>
      </w:r>
    </w:p>
    <w:p w:rsidR="008C4FFC" w:rsidRDefault="008C4FFC">
      <w:pPr>
        <w:pStyle w:val="Style1"/>
        <w:kinsoku w:val="0"/>
        <w:autoSpaceDE/>
        <w:autoSpaceDN/>
        <w:adjustRightInd/>
        <w:spacing w:before="36"/>
        <w:ind w:left="288" w:right="5256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NUMERO DE UNIDADES: </w:t>
      </w:r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-5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Fonts w:ascii="Verdana" w:hAnsi="Verdana" w:cs="Verdana"/>
          <w:i/>
          <w:iCs/>
          <w:spacing w:val="-5"/>
          <w:sz w:val="15"/>
          <w:szCs w:val="15"/>
          <w:lang w:val="es-ES" w:eastAsia="es-ES"/>
        </w:rPr>
        <w:t>xxxx</w:t>
      </w:r>
      <w:proofErr w:type="spellEnd"/>
      <w:r>
        <w:rPr>
          <w:rFonts w:ascii="Verdana" w:hAnsi="Verdana" w:cs="Verdana"/>
          <w:i/>
          <w:iCs/>
          <w:spacing w:val="-5"/>
          <w:sz w:val="15"/>
          <w:szCs w:val="15"/>
          <w:lang w:val="es-ES" w:eastAsia="es-ES"/>
        </w:rPr>
        <w:t xml:space="preserve">.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GUANACASTE CANTON: CAÑAS</w:t>
      </w:r>
    </w:p>
    <w:p w:rsidR="008C4FFC" w:rsidRDefault="008C4FFC">
      <w:pPr>
        <w:pStyle w:val="Style9"/>
        <w:kinsoku w:val="0"/>
        <w:autoSpaceDE/>
        <w:autoSpaceDN/>
        <w:spacing w:line="199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NUMERO DE UNIDADES: </w:t>
      </w:r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</w:t>
      </w:r>
    </w:p>
    <w:p w:rsidR="008C4FFC" w:rsidRDefault="008C4FFC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PLACAS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</w:t>
      </w:r>
      <w:proofErr w:type="spellEnd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>.</w:t>
      </w:r>
    </w:p>
    <w:p w:rsidR="008C4FFC" w:rsidRDefault="008C4FFC">
      <w:pPr>
        <w:pStyle w:val="Style1"/>
        <w:kinsoku w:val="0"/>
        <w:autoSpaceDE/>
        <w:autoSpaceDN/>
        <w:adjustRightInd/>
        <w:ind w:left="288" w:right="5544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PROVINCIA: GUANACASTE CANTON: SANTA CRUZ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</w:t>
      </w:r>
      <w:proofErr w:type="spellEnd"/>
    </w:p>
    <w:p w:rsidR="005779E8" w:rsidRDefault="008C4FFC" w:rsidP="005779E8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PLACAS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xxxxxx</w:t>
      </w:r>
      <w:proofErr w:type="spellEnd"/>
    </w:p>
    <w:p w:rsidR="008C4FFC" w:rsidRDefault="008C4FFC" w:rsidP="005779E8">
      <w:pPr>
        <w:pStyle w:val="Style9"/>
        <w:kinsoku w:val="0"/>
        <w:autoSpaceDE/>
        <w:autoSpaceDN/>
        <w:spacing w:line="240" w:lineRule="auto"/>
        <w:rPr>
          <w:rFonts w:ascii="Verdana" w:hAnsi="Verdana" w:cs="Verdana"/>
          <w:i w:val="0"/>
          <w:iCs w:val="0"/>
          <w:lang w:val="es-ES" w:eastAsia="es-ES"/>
        </w:rPr>
      </w:pPr>
      <w:r>
        <w:rPr>
          <w:rFonts w:ascii="Verdana" w:hAnsi="Verdana" w:cs="Verdana"/>
          <w:i w:val="0"/>
          <w:iCs w:val="0"/>
          <w:spacing w:val="-4"/>
          <w:lang w:val="es-ES" w:eastAsia="es-ES"/>
        </w:rPr>
        <w:t xml:space="preserve">PROVINCIA: GUANACASTE </w:t>
      </w:r>
      <w:r>
        <w:rPr>
          <w:rFonts w:ascii="Verdana" w:hAnsi="Verdana" w:cs="Verdana"/>
          <w:i w:val="0"/>
          <w:iCs w:val="0"/>
          <w:lang w:val="es-ES" w:eastAsia="es-ES"/>
        </w:rPr>
        <w:t>CANTON: TILARAN</w:t>
      </w:r>
    </w:p>
    <w:p w:rsidR="005779E8" w:rsidRDefault="008C4FFC" w:rsidP="005779E8">
      <w:pPr>
        <w:pStyle w:val="Style1"/>
        <w:kinsoku w:val="0"/>
        <w:autoSpaceDE/>
        <w:autoSpaceDN/>
        <w:adjustRightInd/>
        <w:ind w:left="288" w:right="4961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</w:t>
      </w:r>
      <w:proofErr w:type="spellEnd"/>
    </w:p>
    <w:p w:rsidR="008C4FFC" w:rsidRDefault="008C4FFC" w:rsidP="005779E8">
      <w:pPr>
        <w:pStyle w:val="Style1"/>
        <w:kinsoku w:val="0"/>
        <w:autoSpaceDE/>
        <w:autoSpaceDN/>
        <w:adjustRightInd/>
        <w:ind w:left="288" w:right="4961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5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Fonts w:ascii="Verdana" w:hAnsi="Verdana" w:cs="Verdana"/>
          <w:i/>
          <w:iCs/>
          <w:spacing w:val="-5"/>
          <w:sz w:val="15"/>
          <w:szCs w:val="15"/>
          <w:lang w:val="es-ES" w:eastAsia="es-ES"/>
        </w:rPr>
        <w:t>xxxx</w:t>
      </w:r>
      <w:proofErr w:type="spellEnd"/>
      <w:r>
        <w:rPr>
          <w:rFonts w:ascii="Verdana" w:hAnsi="Verdana" w:cs="Verdana"/>
          <w:i/>
          <w:iCs/>
          <w:spacing w:val="-5"/>
          <w:sz w:val="15"/>
          <w:szCs w:val="15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HEREDIA</w:t>
      </w:r>
    </w:p>
    <w:p w:rsidR="008C4FFC" w:rsidRDefault="008C4FFC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CANTON: SARAPIQUI</w:t>
      </w:r>
    </w:p>
    <w:p w:rsidR="008C4FFC" w:rsidRDefault="008C4FFC">
      <w:pPr>
        <w:pStyle w:val="Style9"/>
        <w:kinsoku w:val="0"/>
        <w:autoSpaceDE/>
        <w:autoSpaceDN/>
        <w:spacing w:line="199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NUMERO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</w:t>
      </w:r>
      <w:proofErr w:type="spellEnd"/>
    </w:p>
    <w:p w:rsidR="008C4FFC" w:rsidRDefault="008C4FFC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PLACAS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>.</w:t>
      </w:r>
    </w:p>
    <w:p w:rsidR="008C4FFC" w:rsidRDefault="008C4FFC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PROVINCIA: LIMÓN</w:t>
      </w:r>
    </w:p>
    <w:p w:rsidR="008C4FFC" w:rsidRDefault="008C4FFC">
      <w:pPr>
        <w:pStyle w:val="Style9"/>
        <w:kinsoku w:val="0"/>
        <w:autoSpaceDE/>
        <w:autoSpaceDN/>
        <w:spacing w:before="36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CANTON: GUAPILES</w:t>
      </w:r>
    </w:p>
    <w:p w:rsidR="008C4FFC" w:rsidRDefault="008C4FFC">
      <w:pPr>
        <w:pStyle w:val="Style9"/>
        <w:kinsoku w:val="0"/>
        <w:autoSpaceDE/>
        <w:autoSpaceDN/>
        <w:spacing w:line="206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NUMERO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</w:t>
      </w:r>
      <w:proofErr w:type="spellEnd"/>
    </w:p>
    <w:p w:rsidR="008C4FFC" w:rsidRDefault="008C4FFC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PLACAS DE UNIDADES: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 xml:space="preserve">, </w:t>
      </w:r>
      <w:proofErr w:type="spellStart"/>
      <w:r w:rsidR="005779E8">
        <w:rPr>
          <w:rStyle w:val="CharacterStyle2"/>
          <w:rFonts w:ascii="Verdana" w:hAnsi="Verdana" w:cs="Verdana"/>
          <w:i/>
          <w:iCs/>
          <w:lang w:val="es-ES" w:eastAsia="es-ES"/>
        </w:rPr>
        <w:t>xxx</w:t>
      </w:r>
      <w:proofErr w:type="spellEnd"/>
      <w:r>
        <w:rPr>
          <w:rStyle w:val="CharacterStyle2"/>
          <w:rFonts w:ascii="Verdana" w:hAnsi="Verdana" w:cs="Verdana"/>
          <w:i/>
          <w:iCs/>
          <w:lang w:val="es-ES" w:eastAsia="es-ES"/>
        </w:rPr>
        <w:t>.</w:t>
      </w:r>
    </w:p>
    <w:p w:rsidR="008C4FFC" w:rsidRDefault="008C4FFC">
      <w:pPr>
        <w:pStyle w:val="Style9"/>
        <w:kinsoku w:val="0"/>
        <w:autoSpaceDE/>
        <w:autoSpaceDN/>
        <w:spacing w:line="240" w:lineRule="auto"/>
        <w:rPr>
          <w:rStyle w:val="CharacterStyle2"/>
          <w:rFonts w:ascii="Verdana" w:hAnsi="Verdana" w:cs="Verdana"/>
          <w:i/>
          <w:iCs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lang w:val="es-ES" w:eastAsia="es-ES"/>
        </w:rPr>
        <w:t>PROVINCIA: LIMÓN</w:t>
      </w:r>
    </w:p>
    <w:p w:rsidR="008C4FFC" w:rsidRDefault="008C4FFC">
      <w:pPr>
        <w:pStyle w:val="Style1"/>
        <w:kinsoku w:val="0"/>
        <w:autoSpaceDE/>
        <w:autoSpaceDN/>
        <w:adjustRightInd/>
        <w:ind w:left="288" w:right="5544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CANTON: TALAMANCA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</w:t>
      </w:r>
      <w:proofErr w:type="spellEnd"/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710" w:right="2057" w:bottom="317" w:left="2103" w:header="720" w:footer="720" w:gutter="0"/>
          <w:cols w:space="720"/>
          <w:noEndnote/>
        </w:sectPr>
      </w:pPr>
    </w:p>
    <w:p w:rsidR="008C4FFC" w:rsidRDefault="008C4FFC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</w:t>
      </w:r>
      <w:proofErr w:type="spellEnd"/>
    </w:p>
    <w:p w:rsidR="008C4FFC" w:rsidRDefault="008C4FFC">
      <w:pPr>
        <w:pStyle w:val="Style2"/>
        <w:kinsoku w:val="0"/>
        <w:autoSpaceDE/>
        <w:autoSpaceDN/>
        <w:spacing w:before="0" w:line="240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LIMÓN</w:t>
      </w:r>
    </w:p>
    <w:p w:rsidR="008C4FFC" w:rsidRDefault="008C4FFC">
      <w:pPr>
        <w:pStyle w:val="Style2"/>
        <w:kinsoku w:val="0"/>
        <w:autoSpaceDE/>
        <w:autoSpaceDN/>
        <w:spacing w:before="0" w:line="240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CANTON: SIQUIRRES</w:t>
      </w:r>
    </w:p>
    <w:p w:rsidR="008C4FFC" w:rsidRDefault="008C4FFC">
      <w:pPr>
        <w:pStyle w:val="Style2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NUMERO DE UNIDADES: </w:t>
      </w:r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</w:t>
      </w:r>
    </w:p>
    <w:p w:rsidR="008C4FFC" w:rsidRDefault="008C4FFC">
      <w:pPr>
        <w:pStyle w:val="Style2"/>
        <w:kinsoku w:val="0"/>
        <w:autoSpaceDE/>
        <w:autoSpaceDN/>
        <w:spacing w:before="0" w:line="240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xxxxx</w:t>
      </w:r>
      <w:proofErr w:type="spellEnd"/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.</w:t>
      </w:r>
    </w:p>
    <w:p w:rsidR="008C4FFC" w:rsidRDefault="008C4FFC">
      <w:pPr>
        <w:pStyle w:val="Style2"/>
        <w:kinsoku w:val="0"/>
        <w:autoSpaceDE/>
        <w:autoSpaceDN/>
        <w:spacing w:line="206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PUNTARENAS</w:t>
      </w:r>
    </w:p>
    <w:p w:rsidR="008C4FFC" w:rsidRDefault="008C4FFC">
      <w:pPr>
        <w:pStyle w:val="Style2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CANTON: GOLFITO</w:t>
      </w:r>
    </w:p>
    <w:p w:rsidR="008C4FFC" w:rsidRDefault="008C4FFC">
      <w:pPr>
        <w:pStyle w:val="Style2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</w:t>
      </w:r>
      <w:proofErr w:type="spellEnd"/>
    </w:p>
    <w:p w:rsidR="005779E8" w:rsidRDefault="008C4FFC">
      <w:pPr>
        <w:pStyle w:val="Style2"/>
        <w:kinsoku w:val="0"/>
        <w:autoSpaceDE/>
        <w:autoSpaceDN/>
        <w:spacing w:before="0" w:line="240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xxxx</w:t>
      </w:r>
      <w:proofErr w:type="spellEnd"/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 </w:t>
      </w:r>
    </w:p>
    <w:p w:rsidR="008C4FFC" w:rsidRDefault="008C4FFC">
      <w:pPr>
        <w:pStyle w:val="Style2"/>
        <w:kinsoku w:val="0"/>
        <w:autoSpaceDE/>
        <w:autoSpaceDN/>
        <w:spacing w:before="0" w:line="240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CARGA LIVIANA,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xxxxxxxx</w:t>
      </w:r>
      <w:proofErr w:type="spellEnd"/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.</w:t>
      </w:r>
    </w:p>
    <w:p w:rsidR="008C4FFC" w:rsidRDefault="008C4FFC">
      <w:pPr>
        <w:pStyle w:val="Style2"/>
        <w:kinsoku w:val="0"/>
        <w:autoSpaceDE/>
        <w:autoSpaceDN/>
        <w:spacing w:before="0" w:line="206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PUNTARENAS</w:t>
      </w:r>
    </w:p>
    <w:p w:rsidR="008C4FFC" w:rsidRDefault="008C4FFC">
      <w:pPr>
        <w:pStyle w:val="Style2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CANTON: GARABITO</w:t>
      </w:r>
    </w:p>
    <w:p w:rsidR="008C4FFC" w:rsidRDefault="008C4FFC">
      <w:pPr>
        <w:pStyle w:val="Style2"/>
        <w:kinsoku w:val="0"/>
        <w:autoSpaceDE/>
        <w:autoSpaceDN/>
        <w:spacing w:before="72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xxxxx</w:t>
      </w:r>
      <w:proofErr w:type="spellEnd"/>
    </w:p>
    <w:p w:rsidR="008C4FFC" w:rsidRDefault="008C4FFC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</w:t>
      </w:r>
      <w:proofErr w:type="spellEnd"/>
    </w:p>
    <w:p w:rsidR="008C4FFC" w:rsidRDefault="008C4FFC">
      <w:pPr>
        <w:pStyle w:val="Style2"/>
        <w:kinsoku w:val="0"/>
        <w:autoSpaceDE/>
        <w:autoSpaceDN/>
        <w:spacing w:before="216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PROVINCIA: SAN JOSE</w:t>
      </w:r>
    </w:p>
    <w:p w:rsidR="008C4FFC" w:rsidRDefault="008C4FFC">
      <w:pPr>
        <w:pStyle w:val="Style2"/>
        <w:kinsoku w:val="0"/>
        <w:autoSpaceDE/>
        <w:autoSpaceDN/>
        <w:spacing w:line="206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CANTON: SAN JOSE</w:t>
      </w:r>
    </w:p>
    <w:p w:rsidR="008C4FFC" w:rsidRDefault="008C4FFC">
      <w:pPr>
        <w:pStyle w:val="Style2"/>
        <w:kinsoku w:val="0"/>
        <w:autoSpaceDE/>
        <w:autoSpaceDN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xxxx</w:t>
      </w:r>
      <w:proofErr w:type="spellEnd"/>
    </w:p>
    <w:p w:rsidR="005779E8" w:rsidRDefault="008C4FFC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</w:t>
      </w:r>
      <w:proofErr w:type="spellEnd"/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proofErr w:type="gram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  <w:proofErr w:type="gramEnd"/>
    </w:p>
    <w:p w:rsidR="005779E8" w:rsidRDefault="00630EC7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proofErr w:type="gram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  <w:proofErr w:type="gramEnd"/>
    </w:p>
    <w:p w:rsidR="00630EC7" w:rsidRDefault="00630EC7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proofErr w:type="gram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  <w:proofErr w:type="gramEnd"/>
    </w:p>
    <w:p w:rsidR="00630EC7" w:rsidRDefault="00630EC7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proofErr w:type="spellStart"/>
      <w:proofErr w:type="gramStart"/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xxxxxxxxxxxxxxxxxxx</w:t>
      </w:r>
      <w:proofErr w:type="spellEnd"/>
      <w:proofErr w:type="gramEnd"/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</w:p>
    <w:p w:rsidR="005779E8" w:rsidRDefault="005779E8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</w:p>
    <w:p w:rsidR="008C4FFC" w:rsidRDefault="008C4FFC" w:rsidP="005779E8">
      <w:pPr>
        <w:pStyle w:val="Style3"/>
        <w:kinsoku w:val="0"/>
        <w:autoSpaceDE/>
        <w:autoSpaceDN/>
        <w:adjustRightInd/>
        <w:ind w:left="288" w:right="360"/>
        <w:jc w:val="both"/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CANTON: TARRAZU </w:t>
      </w:r>
      <w:r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>xxx</w:t>
      </w:r>
      <w:proofErr w:type="spellEnd"/>
    </w:p>
    <w:p w:rsidR="008C4FFC" w:rsidRDefault="008C4FFC">
      <w:pPr>
        <w:pStyle w:val="Style2"/>
        <w:kinsoku w:val="0"/>
        <w:autoSpaceDE/>
        <w:autoSpaceDN/>
        <w:spacing w:line="240" w:lineRule="auto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Fonts w:ascii="Verdana" w:hAnsi="Verdana" w:cs="Verdana"/>
          <w:i/>
          <w:iCs/>
          <w:sz w:val="15"/>
          <w:szCs w:val="15"/>
          <w:lang w:val="es-ES" w:eastAsia="es-ES"/>
        </w:rPr>
        <w:t>xxxxx</w:t>
      </w:r>
      <w:proofErr w:type="spellEnd"/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.</w:t>
      </w:r>
    </w:p>
    <w:p w:rsidR="008C4FFC" w:rsidRDefault="008C4FFC">
      <w:pPr>
        <w:pStyle w:val="Style3"/>
        <w:kinsoku w:val="0"/>
        <w:autoSpaceDE/>
        <w:autoSpaceDN/>
        <w:adjustRightInd/>
        <w:ind w:left="288" w:right="5256"/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sz w:val="15"/>
          <w:szCs w:val="15"/>
          <w:lang w:val="es-ES" w:eastAsia="es-ES"/>
        </w:rPr>
        <w:t xml:space="preserve">PROVINCIA: SAN JOSE </w:t>
      </w:r>
      <w:r>
        <w:rPr>
          <w:rStyle w:val="CharacterStyle4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CANTON: GOICOECHEA </w:t>
      </w:r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NUMERO DE UNIDADES: </w:t>
      </w:r>
      <w:proofErr w:type="spellStart"/>
      <w:r w:rsidR="005779E8"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>xxx</w:t>
      </w:r>
      <w:proofErr w:type="spellEnd"/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PLACAS DE UNIDADES: </w:t>
      </w:r>
      <w:proofErr w:type="spellStart"/>
      <w:r w:rsidR="005779E8"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>xxxxx</w:t>
      </w:r>
      <w:proofErr w:type="spellEnd"/>
      <w:r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>.</w:t>
      </w:r>
    </w:p>
    <w:p w:rsidR="008C4FFC" w:rsidRDefault="008C4FFC">
      <w:pPr>
        <w:pStyle w:val="Style2"/>
        <w:kinsoku w:val="0"/>
        <w:autoSpaceDE/>
        <w:autoSpaceDN/>
        <w:spacing w:before="0" w:line="240" w:lineRule="auto"/>
        <w:ind w:left="0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 xml:space="preserve">2.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Notifíquese"</w:t>
      </w:r>
    </w:p>
    <w:p w:rsidR="008C4FFC" w:rsidRDefault="008C4FFC" w:rsidP="005779E8">
      <w:pPr>
        <w:pStyle w:val="Style3"/>
        <w:kinsoku w:val="0"/>
        <w:autoSpaceDE/>
        <w:autoSpaceDN/>
        <w:adjustRightInd/>
        <w:spacing w:before="792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TERCERO: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La recurrente presenta Recurso de APELACIÓN contra el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acuerdo impugnado, manifestando lo siguiente:</w:t>
      </w:r>
    </w:p>
    <w:p w:rsidR="008C4FFC" w:rsidRDefault="008C4FFC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a)- Presenta dos tesis en sus argumentos las cuales se excluyen y en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caso de no prosperar una, solicita se aplique la otra. La primera tesis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que sostiene supone que su representada ha cumplido con todos los requisitos exigidos en el transitorio I de la Ley 8955y por lo tanto es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merecedora de los permisos Especiales Estables de Taxi, en el sentido </w:t>
      </w:r>
      <w:r>
        <w:rPr>
          <w:rStyle w:val="CharacterStyle4"/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de que está inscrita en la administración tributaria y a tributado como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empresa dedicada a la actividad del porteo.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380" w:right="2034" w:bottom="370" w:left="2086" w:header="720" w:footer="720" w:gutter="0"/>
          <w:cols w:space="720"/>
          <w:noEndnote/>
        </w:sectPr>
      </w:pPr>
    </w:p>
    <w:p w:rsidR="008C4FFC" w:rsidRDefault="008C4FFC">
      <w:pPr>
        <w:pStyle w:val="Style4"/>
        <w:kinsoku w:val="0"/>
        <w:autoSpaceDE/>
        <w:autoSpaceDN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b)- La segunda tesis establece la Nulidad de los actos administrativos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en razón de que el acto final del procedimiento de acreditación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requisitos adolece de una serie de ilegalidades e inconsistencias.</w:t>
      </w:r>
    </w:p>
    <w:p w:rsidR="008C4FFC" w:rsidRDefault="008C4FFC">
      <w:pPr>
        <w:pStyle w:val="Style4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spacing w:before="25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Del oficio DE-2011-3212 notificado a su representada el día 22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diciembre de 2011 la administración emite una nota dirigida a su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representada en la que se le solicita aporte Declaración de Renta y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Constancia de Hacienda lamentablemente la cuasi prevención hecha padece de una serie de errores en su contenido que pueden generar </w:t>
      </w:r>
      <w:r>
        <w:rPr>
          <w:rFonts w:ascii="Verdana" w:hAnsi="Verdana" w:cs="Verdana"/>
          <w:sz w:val="22"/>
          <w:szCs w:val="22"/>
          <w:lang w:val="es-ES" w:eastAsia="es-ES"/>
        </w:rPr>
        <w:t>confusión.</w:t>
      </w:r>
    </w:p>
    <w:p w:rsidR="008C4FFC" w:rsidRDefault="008C4FFC">
      <w:pPr>
        <w:pStyle w:val="Style4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spacing w:before="36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El acto adolece de todos los requisitos esenciales de un acto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el acto impugnado es nulo por carecer de motivo y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motivación el cual constituye según el artículo 133 de la Ley General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de la Administración Pública uno de los elementos materiales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necesarios para que el acto administrativo sea válido, es necesario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que los motivos sean expuestos de una manera concreta y precisa,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no siendo suficiente las referencias vagas y simples. (Léanse folios 23 al 39 del expediente administrativo)</w:t>
      </w:r>
    </w:p>
    <w:p w:rsidR="008C4FFC" w:rsidRDefault="008C4FFC">
      <w:pPr>
        <w:pStyle w:val="Style3"/>
        <w:kinsoku w:val="0"/>
        <w:autoSpaceDE/>
        <w:autoSpaceDN/>
        <w:adjustRightInd/>
        <w:spacing w:before="612"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CUARTO: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7.8.6 de la Sesión Ordinaria 12-2014 de 18 de febrero de 2014, la Junta Directiva del Consejo de Transporte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Público rechaza el recurso presentado por la recurrente, indicando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entre otros que el acuerdo impugnado no comporta vicios de nulidad 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ya que fue emitido por el órgano competente y al tenor de lo 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 xml:space="preserve">dispuesto por la Ley 8955, la cual es taxativa en cuanto a los </w:t>
      </w:r>
      <w:r>
        <w:rPr>
          <w:rStyle w:val="CharacterStyle4"/>
          <w:rFonts w:ascii="Verdana" w:hAnsi="Verdana" w:cs="Verdana"/>
          <w:spacing w:val="22"/>
          <w:sz w:val="22"/>
          <w:szCs w:val="22"/>
          <w:lang w:val="es-ES" w:eastAsia="es-ES"/>
        </w:rPr>
        <w:t xml:space="preserve">requisitos que deben cumplirse y la recurrente presentó la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certificación de Hacienda, el 20 de agosto de 2012, por lo que el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plazo dado por ley había expirado, así como el plazo para subsanar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requisitos. (Léanse folios del 1 al 2 del expediente administrativo.)</w:t>
      </w:r>
    </w:p>
    <w:p w:rsidR="008C4FFC" w:rsidRDefault="008C4FFC">
      <w:pPr>
        <w:pStyle w:val="Style3"/>
        <w:kinsoku w:val="0"/>
        <w:autoSpaceDE/>
        <w:autoSpaceDN/>
        <w:adjustRightInd/>
        <w:spacing w:before="396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QUINTO: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8C4FFC" w:rsidRDefault="008C4FFC">
      <w:pPr>
        <w:pStyle w:val="Style3"/>
        <w:kinsoku w:val="0"/>
        <w:autoSpaceDE/>
        <w:autoSpaceDN/>
        <w:adjustRightInd/>
        <w:spacing w:before="576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Redacta la Jueza Pérez Peláez; </w:t>
      </w:r>
      <w:proofErr w:type="gramStart"/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y, .</w:t>
      </w:r>
      <w:proofErr w:type="gramEnd"/>
    </w:p>
    <w:p w:rsidR="008C4FFC" w:rsidRDefault="008C4FFC">
      <w:pPr>
        <w:pStyle w:val="Style3"/>
        <w:kinsoku w:val="0"/>
        <w:autoSpaceDE/>
        <w:autoSpaceDN/>
        <w:adjustRightInd/>
        <w:spacing w:before="576" w:line="196" w:lineRule="auto"/>
        <w:ind w:left="2952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CONSIDERANDO</w:t>
      </w:r>
    </w:p>
    <w:p w:rsidR="008C4FFC" w:rsidRDefault="008C4FFC">
      <w:pPr>
        <w:pStyle w:val="Style3"/>
        <w:kinsoku w:val="0"/>
        <w:autoSpaceDE/>
        <w:autoSpaceDN/>
        <w:adjustRightInd/>
        <w:spacing w:before="612"/>
        <w:jc w:val="both"/>
        <w:rPr>
          <w:rStyle w:val="CharacterStyle4"/>
          <w:rFonts w:ascii="Verdana" w:hAnsi="Verdana" w:cs="Verdana"/>
          <w:spacing w:val="-16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>1.</w:t>
      </w:r>
      <w:r>
        <w:rPr>
          <w:rStyle w:val="CharacterStyle4"/>
          <w:rFonts w:ascii="Arial" w:hAnsi="Arial" w:cs="Arial"/>
          <w:b/>
          <w:bCs/>
          <w:spacing w:val="11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b/>
          <w:bCs/>
          <w:spacing w:val="11"/>
          <w:sz w:val="22"/>
          <w:szCs w:val="22"/>
          <w:lang w:val="es-ES" w:eastAsia="es-ES"/>
        </w:rPr>
        <w:t xml:space="preserve">SOBRE LA COMPETENCIA: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De conformidad con el artículo 22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Style w:val="CharacterStyle4"/>
          <w:rFonts w:ascii="Verdana" w:hAnsi="Verdana" w:cs="Verdana"/>
          <w:spacing w:val="-7"/>
          <w:sz w:val="22"/>
          <w:szCs w:val="22"/>
          <w:lang w:val="es-ES" w:eastAsia="es-ES"/>
        </w:rPr>
        <w:t xml:space="preserve">diciembre de 1999, el TRIBUNAL ADMINISTRATIVO DE TRANSPORTE es el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Style w:val="CharacterStyle4"/>
          <w:rFonts w:ascii="Verdana" w:hAnsi="Verdana" w:cs="Verdana"/>
          <w:spacing w:val="-16"/>
          <w:sz w:val="22"/>
          <w:szCs w:val="22"/>
          <w:lang w:val="es-ES" w:eastAsia="es-ES"/>
        </w:rPr>
        <w:t>EN SUBSIDIO.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420" w:right="2025" w:bottom="365" w:left="2095" w:header="720" w:footer="720" w:gutter="0"/>
          <w:cols w:space="720"/>
          <w:noEndnote/>
        </w:sectPr>
      </w:pPr>
    </w:p>
    <w:p w:rsidR="008C4FFC" w:rsidRDefault="008C4FFC" w:rsidP="00630EC7">
      <w:pPr>
        <w:pStyle w:val="Style4"/>
        <w:numPr>
          <w:ilvl w:val="0"/>
          <w:numId w:val="2"/>
        </w:numPr>
        <w:tabs>
          <w:tab w:val="clear" w:pos="504"/>
          <w:tab w:val="num" w:pos="576"/>
          <w:tab w:val="right" w:pos="8026"/>
        </w:tabs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u w:val="single"/>
          <w:lang w:val="es-ES" w:eastAsia="es-ES"/>
        </w:rPr>
        <w:t xml:space="preserve">En cuanto a la </w:t>
      </w:r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A</w:t>
      </w:r>
      <w:r w:rsidR="00630EC7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.P.S.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S</w:t>
      </w:r>
      <w:r w:rsidR="00630EC7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.J</w:t>
      </w:r>
      <w:r w:rsidR="007A6213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cédula jurídica </w:t>
      </w:r>
      <w:r w:rsidR="007A6213"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, quien acciona por medio de su representante legal,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señor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V</w:t>
      </w:r>
      <w:r w:rsidR="00630EC7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H</w:t>
      </w:r>
      <w:r w:rsidR="00630EC7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S</w:t>
      </w:r>
      <w:r w:rsidR="00630EC7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H</w:t>
      </w:r>
      <w:r w:rsidR="00630EC7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cédula de identidad número </w:t>
      </w:r>
      <w:r w:rsidR="007A6213">
        <w:rPr>
          <w:rFonts w:ascii="Verdana" w:hAnsi="Verdana" w:cs="Verdana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, cuenta con la legitimación suficiente, para actuar en el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presente asunto, ya que presentó solicitud para que se le otorgue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permiso de operación de Transporte remunerado de personas en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Modalidad Servicio Especial Estable de Taxi, en los términos de la Ley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8955 y dicha solicitud le fue denegada por el Consejo de Transporte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Público. </w:t>
      </w:r>
      <w:r>
        <w:rPr>
          <w:rFonts w:ascii="Verdana" w:hAnsi="Verdana" w:cs="Verdana"/>
          <w:b/>
          <w:bCs/>
          <w:spacing w:val="6"/>
          <w:w w:val="105"/>
          <w:sz w:val="22"/>
          <w:szCs w:val="22"/>
          <w:u w:val="single"/>
          <w:lang w:val="es-ES" w:eastAsia="es-ES"/>
        </w:rPr>
        <w:t>En cuanto al plazo: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 Conforme al estudio efectuado el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>Recurso de Apelación fue presentado dentro del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ab/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plazo legal</w:t>
      </w:r>
      <w:r w:rsidR="005275E0"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establecido para tal fin, en los términos del artículo 11 de la Ley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Personas en vehículos en la modalidad de taxi, Ley N°7969, del 28 de enero del 2000, ya que el acuerdo le fue notificado el 10 de agosto 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2012 y el recurso fue presentado el 20 de agosto de 2012 del mismo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año.</w:t>
      </w:r>
    </w:p>
    <w:p w:rsidR="008C4FFC" w:rsidRDefault="008C4FFC" w:rsidP="005275E0">
      <w:pPr>
        <w:pStyle w:val="Style5"/>
        <w:numPr>
          <w:ilvl w:val="0"/>
          <w:numId w:val="2"/>
        </w:numPr>
        <w:tabs>
          <w:tab w:val="clear" w:pos="504"/>
          <w:tab w:val="num" w:pos="576"/>
          <w:tab w:val="right" w:pos="8026"/>
        </w:tabs>
        <w:kinsoku w:val="0"/>
        <w:autoSpaceDE/>
        <w:autoSpaceDN/>
        <w:spacing w:after="0"/>
        <w:jc w:val="both"/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SOBRE LOS HECHOS PROBADOS: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los siguientes hechos por cuanto así han sido acreditados: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ab/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A).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noBreakHyphen/>
      </w:r>
      <w:r w:rsidRPr="004A67A0">
        <w:rPr>
          <w:rFonts w:ascii="Verdana" w:hAnsi="Verdana" w:cs="Verdana"/>
          <w:lang w:val="es-CR" w:eastAsia="en-US"/>
        </w:rPr>
        <w:br/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once, que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Vehículos en la modalidad de Taxi " del 22 de diciembre de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1999,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el Legislador determinó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20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Transporte Público"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B).- </w:t>
      </w:r>
      <w:r>
        <w:rPr>
          <w:rFonts w:ascii="Tahoma" w:hAnsi="Tahoma" w:cs="Tahoma"/>
          <w:b/>
          <w:bCs/>
          <w:w w:val="95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z w:val="18"/>
          <w:szCs w:val="18"/>
          <w:lang w:val="es-ES" w:eastAsia="es-ES"/>
        </w:rPr>
        <w:t xml:space="preserve">JUNTA DIRECTIVA DEL CONSEJO DE TRANSPORTE 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PÚBLICO,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mediante artículo 2.2.45 de la Sesión Extraordinaria 02-2012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del 16 de abril de 2012 dispuso no otorgar el permiso solicitado a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recurrente por cuanto incumplió con los requisitos establecidos en los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Transitorios de la Ley 8955. (Léanse folios 11 y 12 del expediente) </w:t>
      </w:r>
      <w:r>
        <w:rPr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C).-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 recurrente presenta Recurso de </w:t>
      </w:r>
      <w:r>
        <w:rPr>
          <w:rFonts w:ascii="Verdana" w:hAnsi="Verdana" w:cs="Verdana"/>
          <w:spacing w:val="-1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contra el acuerdo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impugnado, manifestando que presenta dos tesis en sus argumentos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las cuales se excluyen y en caso de no prosperar una, solicita se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aplique la otra.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>La primera tesis que sostiene supone que su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>representada ha cumplido con todos los requisitos exigidos en el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700" w:right="2030" w:bottom="356" w:left="2090" w:header="720" w:footer="720" w:gutter="0"/>
          <w:cols w:space="720"/>
          <w:noEndnote/>
        </w:sectPr>
      </w:pPr>
    </w:p>
    <w:p w:rsidR="008C4FFC" w:rsidRDefault="008C4FFC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transitorio</w:t>
      </w:r>
      <w:proofErr w:type="gramEnd"/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 I de la Ley 8955 y por lo tanto es merecedora de los permisos Especiales Estables de Taxi, en el sentido de que está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inscrita en la administración tributaria y a tributado como empresa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dedicada a la actividad del porteo. La segunda tesis establece la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Nulidad de los actos administrativos en razón de que el acto final del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procedimiento de acreditación de requisitos adolece de una serie de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ilegalidades, inconsistencias. Además dice que del oficio DE-2011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softHyphen/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3212 notificado a su representada el día 22 de diciembre de 2011 la administración emite una nota dirigida a su representada en la que se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le solicita aporte Declaración de Renta y Constancia de Hacienda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lamentablemente la cuasi prevención hecha padece de una serie de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errores en su contenido que pueden generar confusión. Para finalizar </w:t>
      </w:r>
      <w:r>
        <w:rPr>
          <w:rStyle w:val="CharacterStyle4"/>
          <w:rFonts w:ascii="Verdana" w:hAnsi="Verdana" w:cs="Verdana"/>
          <w:spacing w:val="18"/>
          <w:sz w:val="22"/>
          <w:szCs w:val="22"/>
          <w:lang w:val="es-ES" w:eastAsia="es-ES"/>
        </w:rPr>
        <w:t xml:space="preserve">el acto adolece de todos los requisitos esenciales de un acto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el acto impugnado es nulo por carecer de motivo y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motivación el cual constituye según el artículo 133 de la Ley General 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de la Administración Pública uno de los elementos materiales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necesarios para que el acto administrativo sea válido, es necesario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que los motivos sean expuestos de una manera concreta y precisa,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no siendo suficiente las referencias vagas y simples. (Léanse folios 23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al 39 del expediente administrativo) </w:t>
      </w:r>
      <w:r>
        <w:rPr>
          <w:rStyle w:val="CharacterStyle4"/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D).</w:t>
      </w:r>
      <w:r>
        <w:rPr>
          <w:rStyle w:val="CharacterStyle4"/>
          <w:rFonts w:ascii="Arial" w:hAnsi="Arial" w:cs="Arial"/>
          <w:b/>
          <w:bCs/>
          <w:spacing w:val="7"/>
          <w:sz w:val="6"/>
          <w:szCs w:val="6"/>
          <w:lang w:val="es-ES" w:eastAsia="es-ES"/>
        </w:rPr>
        <w:t xml:space="preserve">-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Mediante acuerdo 7.8.6 de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la Sesión Ordinaria 12-2014 de 18 de febrero de 2014, la Junta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Directiva del Consejo de Transporte Público rechaza el recurso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presentado por la recurrente, indicando entre otros que el acuerdo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impugnado no comporta vicios de nulidad ya que fue emitido por el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órgano competente y al tenor de lo dispuesto por la Ley 8955, la cual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es taxativa en cuanto a los requisitos que deben cumplirse y la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recurrente presentó la certificación de Hacienda, el 20 de agosto de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2012, por lo que el plazo dado por ley había expirado, así como el </w:t>
      </w:r>
      <w:r>
        <w:rPr>
          <w:rStyle w:val="CharacterStyle4"/>
          <w:rFonts w:ascii="Verdana" w:hAnsi="Verdana" w:cs="Verdana"/>
          <w:spacing w:val="19"/>
          <w:sz w:val="22"/>
          <w:szCs w:val="22"/>
          <w:lang w:val="es-ES" w:eastAsia="es-ES"/>
        </w:rPr>
        <w:t xml:space="preserve">plazo para subsanar requisitos. (Léanse folios del 1 al 2 del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expediente administrativo.)</w:t>
      </w:r>
    </w:p>
    <w:p w:rsidR="008C4FFC" w:rsidRDefault="008C4FFC">
      <w:pPr>
        <w:pStyle w:val="Style4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spacing w:before="576" w:line="206" w:lineRule="auto"/>
        <w:jc w:val="left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HECHOS NO PROBADOS:</w:t>
      </w:r>
    </w:p>
    <w:p w:rsidR="008C4FFC" w:rsidRDefault="008C4FFC">
      <w:pPr>
        <w:pStyle w:val="Style4"/>
        <w:kinsoku w:val="0"/>
        <w:autoSpaceDE/>
        <w:autoSpaceDN/>
        <w:spacing w:before="324"/>
        <w:jc w:val="left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8C4FFC" w:rsidRDefault="008C4FFC">
      <w:pPr>
        <w:pStyle w:val="Style3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480" w:lineRule="auto"/>
        <w:ind w:right="4536"/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0"/>
          <w:sz w:val="22"/>
          <w:szCs w:val="22"/>
          <w:lang w:val="es-ES" w:eastAsia="es-ES"/>
        </w:rPr>
        <w:t xml:space="preserve">SOBRE EL FONDO: 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5.1.- OBJETO DEL RECURSO</w:t>
      </w:r>
    </w:p>
    <w:p w:rsidR="008C4FFC" w:rsidRDefault="008C4FFC">
      <w:pPr>
        <w:pStyle w:val="Style3"/>
        <w:kinsoku w:val="0"/>
        <w:autoSpaceDE/>
        <w:autoSpaceDN/>
        <w:adjustRightInd/>
        <w:spacing w:before="216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la ilegalidad del artículo 2.2.45 de la Sesión Extraordinaria 02-2012,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16 de abril de 2012 y se les permita continuar con el trámite de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formalización de permiso de Servicio Público Estable de Taxi, en los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términos de la Ley 8955, a la gran cantidad de placas a las que se les negó el respectivo permiso.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440" w:right="2035" w:bottom="341" w:left="2085" w:header="720" w:footer="720" w:gutter="0"/>
          <w:cols w:space="720"/>
          <w:noEndnote/>
        </w:sectPr>
      </w:pPr>
    </w:p>
    <w:p w:rsidR="008C4FFC" w:rsidRDefault="008C4FFC" w:rsidP="005275E0">
      <w:pPr>
        <w:pStyle w:val="Style7"/>
        <w:kinsoku w:val="0"/>
        <w:autoSpaceDE/>
        <w:autoSpaceDN/>
        <w:jc w:val="both"/>
        <w:rPr>
          <w:rStyle w:val="CharacterStyle10"/>
          <w:rFonts w:ascii="Verdana" w:hAnsi="Verdana" w:cs="Verdana"/>
          <w:b/>
          <w:bCs/>
          <w:lang w:val="es-ES" w:eastAsia="es-ES"/>
        </w:rPr>
      </w:pPr>
      <w:r>
        <w:rPr>
          <w:rStyle w:val="CharacterStyle10"/>
          <w:rFonts w:ascii="Verdana" w:hAnsi="Verdana" w:cs="Verdana"/>
          <w:b/>
          <w:bCs/>
          <w:spacing w:val="18"/>
          <w:lang w:val="es-ES" w:eastAsia="es-ES"/>
        </w:rPr>
        <w:t xml:space="preserve">5.2. DE LO ACTUADO POR EL CONSEJO DE TRANSPORTE </w:t>
      </w:r>
      <w:r>
        <w:rPr>
          <w:rStyle w:val="CharacterStyle10"/>
          <w:rFonts w:ascii="Verdana" w:hAnsi="Verdana" w:cs="Verdana"/>
          <w:b/>
          <w:bCs/>
          <w:lang w:val="es-ES" w:eastAsia="es-ES"/>
        </w:rPr>
        <w:t>PÚBLICO.</w:t>
      </w:r>
    </w:p>
    <w:p w:rsidR="008C4FFC" w:rsidRDefault="008C4FFC">
      <w:pPr>
        <w:pStyle w:val="Style10"/>
        <w:kinsoku w:val="0"/>
        <w:autoSpaceDE/>
        <w:autoSpaceDN/>
        <w:rPr>
          <w:rStyle w:val="CharacterStyle10"/>
          <w:rFonts w:ascii="Verdana" w:hAnsi="Verdana" w:cs="Verdana"/>
          <w:spacing w:val="-2"/>
          <w:w w:val="105"/>
          <w:lang w:val="es-ES" w:eastAsia="es-ES"/>
        </w:rPr>
      </w:pPr>
      <w:r>
        <w:rPr>
          <w:rStyle w:val="CharacterStyle10"/>
          <w:rFonts w:ascii="Verdana" w:hAnsi="Verdana" w:cs="Verdana"/>
          <w:spacing w:val="3"/>
          <w:w w:val="105"/>
          <w:lang w:val="es-ES" w:eastAsia="es-ES"/>
        </w:rPr>
        <w:t xml:space="preserve">El Consejo de Transporte Público, dado las nuevas disposiciones </w:t>
      </w:r>
      <w:r>
        <w:rPr>
          <w:rStyle w:val="CharacterStyle10"/>
          <w:rFonts w:ascii="Verdana" w:hAnsi="Verdana" w:cs="Verdana"/>
          <w:spacing w:val="-3"/>
          <w:w w:val="105"/>
          <w:lang w:val="es-ES" w:eastAsia="es-ES"/>
        </w:rPr>
        <w:t xml:space="preserve">emanadas del Poder Legislativo mediante la promulgación de la Ley </w:t>
      </w:r>
      <w:r>
        <w:rPr>
          <w:rStyle w:val="CharacterStyle10"/>
          <w:rFonts w:ascii="Verdana" w:hAnsi="Verdana" w:cs="Verdana"/>
          <w:spacing w:val="-2"/>
          <w:w w:val="105"/>
          <w:lang w:val="es-ES" w:eastAsia="es-ES"/>
        </w:rPr>
        <w:t xml:space="preserve">8955 y en cumplimiento de lo ordenado por ésta procede a abrir el </w:t>
      </w:r>
      <w:r>
        <w:rPr>
          <w:rStyle w:val="CharacterStyle10"/>
          <w:rFonts w:ascii="Verdana" w:hAnsi="Verdana" w:cs="Verdana"/>
          <w:w w:val="105"/>
          <w:lang w:val="es-ES" w:eastAsia="es-ES"/>
        </w:rPr>
        <w:t xml:space="preserve">periodo de recepción de solicitudes, para todos los interesados en </w:t>
      </w:r>
      <w:r>
        <w:rPr>
          <w:rStyle w:val="CharacterStyle10"/>
          <w:rFonts w:ascii="Verdana" w:hAnsi="Verdana" w:cs="Verdana"/>
          <w:spacing w:val="1"/>
          <w:w w:val="105"/>
          <w:lang w:val="es-ES" w:eastAsia="es-ES"/>
        </w:rPr>
        <w:t xml:space="preserve">obtener un permiso de servicio especial estable de taxi en el cual </w:t>
      </w:r>
      <w:r>
        <w:rPr>
          <w:rStyle w:val="CharacterStyle10"/>
          <w:rFonts w:ascii="Verdana" w:hAnsi="Verdana" w:cs="Verdana"/>
          <w:spacing w:val="-2"/>
          <w:w w:val="105"/>
          <w:lang w:val="es-ES" w:eastAsia="es-ES"/>
        </w:rPr>
        <w:t>participa la empresa recurrente.</w:t>
      </w:r>
    </w:p>
    <w:p w:rsidR="007A6213" w:rsidRDefault="008C4FFC" w:rsidP="007A6213">
      <w:pPr>
        <w:pStyle w:val="Style11"/>
        <w:kinsoku w:val="0"/>
        <w:autoSpaceDE/>
        <w:autoSpaceDN/>
        <w:spacing w:after="0"/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</w:pPr>
      <w:r>
        <w:rPr>
          <w:rStyle w:val="CharacterStyle10"/>
          <w:rFonts w:ascii="Verdana" w:hAnsi="Verdana" w:cs="Verdana"/>
          <w:spacing w:val="-13"/>
          <w:w w:val="105"/>
          <w:lang w:val="es-ES" w:eastAsia="es-ES"/>
        </w:rPr>
        <w:t xml:space="preserve">La JUNTA DIRECTIVA DEL CONSEJO DE TRANSPORTE PÚBLICO, mediante </w:t>
      </w:r>
      <w:r>
        <w:rPr>
          <w:rStyle w:val="CharacterStyle10"/>
          <w:rFonts w:ascii="Verdana" w:hAnsi="Verdana" w:cs="Verdana"/>
          <w:spacing w:val="-2"/>
          <w:w w:val="105"/>
          <w:lang w:val="es-ES" w:eastAsia="es-ES"/>
        </w:rPr>
        <w:t xml:space="preserve">artículo 2.2.45 de la Sesión Extraordinaria 2-2012 del 16 de abril de 2012 dispuso dejar fuera de los tramites de otorgamiento de permiso </w:t>
      </w:r>
      <w:r>
        <w:rPr>
          <w:rStyle w:val="CharacterStyle10"/>
          <w:rFonts w:ascii="Verdana" w:hAnsi="Verdana" w:cs="Verdana"/>
          <w:spacing w:val="4"/>
          <w:w w:val="105"/>
          <w:lang w:val="es-ES" w:eastAsia="es-ES"/>
        </w:rPr>
        <w:t xml:space="preserve">de servicio estable modalidad taxi a los vehículos con las placas </w:t>
      </w:r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 xml:space="preserve">numero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3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35"/>
          <w:w w:val="105"/>
          <w:lang w:val="es-ES" w:eastAsia="es-ES"/>
        </w:rPr>
        <w:t xml:space="preserve">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 w:rsid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</w:p>
    <w:p w:rsidR="007A6213" w:rsidRDefault="007A6213" w:rsidP="007A6213">
      <w:pPr>
        <w:pStyle w:val="Style11"/>
        <w:kinsoku w:val="0"/>
        <w:autoSpaceDE/>
        <w:autoSpaceDN/>
        <w:spacing w:after="0"/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</w:pPr>
    </w:p>
    <w:p w:rsidR="007A6213" w:rsidRDefault="007A6213" w:rsidP="007A6213">
      <w:pPr>
        <w:pStyle w:val="Style11"/>
        <w:kinsoku w:val="0"/>
        <w:autoSpaceDE/>
        <w:autoSpaceDN/>
        <w:spacing w:after="0"/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</w:pPr>
    </w:p>
    <w:p w:rsidR="008C4FFC" w:rsidRDefault="007A6213" w:rsidP="007A6213">
      <w:pPr>
        <w:pStyle w:val="Style11"/>
        <w:kinsoku w:val="0"/>
        <w:autoSpaceDE/>
        <w:autoSpaceDN/>
        <w:spacing w:after="0"/>
        <w:rPr>
          <w:rFonts w:ascii="Verdana" w:hAnsi="Verdana" w:cs="Verdana"/>
          <w:w w:val="105"/>
          <w:lang w:val="es-ES" w:eastAsia="es-ES"/>
        </w:rPr>
      </w:pPr>
      <w:r w:rsidRPr="007A6213"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0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-5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0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35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2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i w:val="0"/>
          <w:iCs w:val="0"/>
          <w:spacing w:val="10"/>
          <w:w w:val="105"/>
          <w:lang w:val="es-ES" w:eastAsia="es-ES"/>
        </w:rPr>
        <w:t xml:space="preserve">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0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 xml:space="preserve">, </w:t>
      </w:r>
      <w:proofErr w:type="spellStart"/>
      <w:r>
        <w:rPr>
          <w:rStyle w:val="CharacterStyle10"/>
          <w:rFonts w:ascii="Verdana" w:hAnsi="Verdana" w:cs="Verdana"/>
          <w:i/>
          <w:iCs/>
          <w:spacing w:val="12"/>
          <w:w w:val="105"/>
          <w:lang w:val="es-ES" w:eastAsia="es-ES"/>
        </w:rPr>
        <w:t>xxxxxx</w:t>
      </w:r>
      <w:proofErr w:type="spellEnd"/>
      <w:r>
        <w:rPr>
          <w:rFonts w:ascii="Verdana" w:hAnsi="Verdana" w:cs="Verdana"/>
          <w:w w:val="105"/>
          <w:lang w:val="es-ES" w:eastAsia="es-ES"/>
        </w:rPr>
        <w:t xml:space="preserve"> </w:t>
      </w:r>
      <w:r w:rsidR="008C4FFC">
        <w:rPr>
          <w:rFonts w:ascii="Verdana" w:hAnsi="Verdana" w:cs="Verdana"/>
          <w:w w:val="105"/>
          <w:lang w:val="es-ES" w:eastAsia="es-ES"/>
        </w:rPr>
        <w:t>indicando, que incumplieron con lo indicado en los transitorios de la Ley 8955.</w:t>
      </w:r>
    </w:p>
    <w:p w:rsidR="008C4FFC" w:rsidRDefault="008C4FFC">
      <w:pPr>
        <w:pStyle w:val="Style4"/>
        <w:kinsoku w:val="0"/>
        <w:autoSpaceDE/>
        <w:autoSpaceDN/>
        <w:spacing w:before="396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Mediante acuerdo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7.8.6 de la Sesión Ordinaria 12</w:t>
      </w:r>
      <w:r>
        <w:rPr>
          <w:rFonts w:ascii="Arial" w:hAnsi="Arial" w:cs="Arial"/>
          <w:b/>
          <w:bCs/>
          <w:sz w:val="6"/>
          <w:szCs w:val="6"/>
          <w:lang w:val="es-ES" w:eastAsia="es-ES"/>
        </w:rPr>
        <w:t>-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2014 de 18 de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febrero de 2014,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la Junta Directiva del Consejo de Transporte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Público rechaza el recurso presentado por la recurrente, indicando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entre otros que el acuerdo impugnado no comporta vicios de nulidad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ya que fue emitido por el órgano competente y al tenor de lo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dispuesto por la Ley 8955, la cual es taxativa en cuanto a los </w:t>
      </w:r>
      <w:r>
        <w:rPr>
          <w:rFonts w:ascii="Verdana" w:hAnsi="Verdana" w:cs="Verdana"/>
          <w:spacing w:val="16"/>
          <w:w w:val="105"/>
          <w:sz w:val="22"/>
          <w:szCs w:val="22"/>
          <w:lang w:val="es-ES" w:eastAsia="es-ES"/>
        </w:rPr>
        <w:t xml:space="preserve">requisitos que deben cumplirse y la recurrente presentó la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certificación de Hacienda, el 20 de agosto de 2012, por lo que el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plazo dado por ley había expirado, así como el plazo para subsanar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requisitos.</w:t>
      </w:r>
    </w:p>
    <w:p w:rsidR="008C4FFC" w:rsidRDefault="008C4FFC">
      <w:pPr>
        <w:pStyle w:val="Style3"/>
        <w:kinsoku w:val="0"/>
        <w:autoSpaceDE/>
        <w:autoSpaceDN/>
        <w:adjustRightInd/>
        <w:spacing w:before="432" w:line="201" w:lineRule="auto"/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5.3. DE LOS ALEGATOS DE LA RECURRENTE.</w:t>
      </w:r>
    </w:p>
    <w:p w:rsidR="008C4FFC" w:rsidRDefault="008C4FFC">
      <w:pPr>
        <w:pStyle w:val="Style3"/>
        <w:kinsoku w:val="0"/>
        <w:autoSpaceDE/>
        <w:autoSpaceDN/>
        <w:adjustRightInd/>
        <w:spacing w:before="684"/>
        <w:jc w:val="both"/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La recurrente presenta Recurso de </w:t>
      </w:r>
      <w:r>
        <w:rPr>
          <w:rStyle w:val="CharacterStyle4"/>
          <w:rFonts w:ascii="Verdana" w:hAnsi="Verdana" w:cs="Verdana"/>
          <w:spacing w:val="7"/>
          <w:sz w:val="19"/>
          <w:szCs w:val="19"/>
          <w:lang w:val="es-ES" w:eastAsia="es-ES"/>
        </w:rPr>
        <w:t xml:space="preserve">APELACIÓN </w:t>
      </w:r>
      <w:r>
        <w:rPr>
          <w:rStyle w:val="CharacterStyle4"/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contra el acuerdo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impugnado, manifestando que presenta dos tesis en sus argumentos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las cuales se excluyen y en caso de no prosperar una solicita se </w:t>
      </w:r>
      <w:r>
        <w:rPr>
          <w:rStyle w:val="CharacterStyle4"/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aplique la otra. La primera tesis que sostiene supone que su 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representada ha cumplido con todos los requisitos exigidos en el </w:t>
      </w:r>
      <w:r>
        <w:rPr>
          <w:rStyle w:val="CharacterStyle4"/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transitorio I de la Ley 8955 y por lo tanto es merecedora de los permisos Especiales Estables de Taxi, en el sentido de que está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inscrita en la administración tributaria y a tributado como empresa </w:t>
      </w:r>
      <w:r>
        <w:rPr>
          <w:rStyle w:val="CharacterStyle4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dedicada a la actividad del porteo. La segunda tesis establece la </w:t>
      </w:r>
      <w:r>
        <w:rPr>
          <w:rStyle w:val="CharacterStyle4"/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Nulidad de los actos administrativos en razón de que el acto final del </w:t>
      </w:r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procedimiento de acreditación de requisitos adolece de una serie de 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ilegalidades, inconsistencias. Además dice que del oficio DE-2011</w:t>
      </w:r>
      <w:r>
        <w:rPr>
          <w:rStyle w:val="CharacterStyle4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softHyphen/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3212 notificado a </w:t>
      </w:r>
      <w:r w:rsidR="007A6213"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su</w:t>
      </w:r>
      <w:r>
        <w:rPr>
          <w:rStyle w:val="CharacterStyle4"/>
          <w:rFonts w:ascii="Tahoma" w:hAnsi="Tahoma" w:cs="Tahoma"/>
          <w:b/>
          <w:bCs/>
          <w:spacing w:val="-4"/>
          <w:sz w:val="18"/>
          <w:szCs w:val="18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representada el día 22 de diciembre de 2011 la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administración emite una nota dirigida a su representada en la que se 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le solicita aporte Declaración de Renta y Constancia de Hacienda </w:t>
      </w:r>
      <w:r>
        <w:rPr>
          <w:rStyle w:val="CharacterStyle4"/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lamentablemente la cuasi prevención hecha padece de una serie de </w:t>
      </w:r>
      <w:r>
        <w:rPr>
          <w:rStyle w:val="CharacterStyle4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errores en su contenido que pueden generar confusión. Para finalizar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420" w:right="2025" w:bottom="356" w:left="2095" w:header="720" w:footer="720" w:gutter="0"/>
          <w:cols w:space="720"/>
          <w:noEndnote/>
        </w:sectPr>
      </w:pPr>
    </w:p>
    <w:p w:rsidR="008C4FFC" w:rsidRDefault="008C4FFC">
      <w:pPr>
        <w:pStyle w:val="Style4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18"/>
          <w:sz w:val="22"/>
          <w:szCs w:val="22"/>
          <w:lang w:val="es-ES" w:eastAsia="es-ES"/>
        </w:rPr>
        <w:t>el</w:t>
      </w:r>
      <w:proofErr w:type="gramEnd"/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 acto adolece de todos los requisitos esenciales de un acto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el acto impugnado es nulo por carecer de motivo y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motivación el cual constituye según el artículo 133 de la Ley General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de la Administración Pública uno de los elementos materiales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necesarios para que el acto administrativo sea válido, es necesario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que los motivos sean expuestos de una manera concreta y precisa,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no siendo suficiente las referencias vagas y simples.</w:t>
      </w:r>
    </w:p>
    <w:p w:rsidR="008C4FFC" w:rsidRDefault="008C4FFC" w:rsidP="005275E0">
      <w:pPr>
        <w:pStyle w:val="Style4"/>
        <w:kinsoku w:val="0"/>
        <w:autoSpaceDE/>
        <w:autoSpaceDN/>
        <w:spacing w:before="288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SU INCIDENCIA CON EL PRINCIPIO DEL DEBIDO PROCESO.</w:t>
      </w:r>
    </w:p>
    <w:p w:rsidR="008C4FFC" w:rsidRDefault="008C4FFC" w:rsidP="005275E0">
      <w:pPr>
        <w:pStyle w:val="Style4"/>
        <w:tabs>
          <w:tab w:val="right" w:pos="8033"/>
        </w:tabs>
        <w:kinsoku w:val="0"/>
        <w:autoSpaceDE/>
        <w:autoSpaceDN/>
        <w:spacing w:before="57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>La motivación</w:t>
      </w:r>
      <w:r w:rsidR="005275E0"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2"/>
          <w:sz w:val="22"/>
          <w:szCs w:val="22"/>
          <w:lang w:val="es-ES" w:eastAsia="es-ES"/>
        </w:rPr>
        <w:t>constituye un elemento formal de todo acto</w:t>
      </w:r>
      <w:r w:rsidR="005275E0">
        <w:rPr>
          <w:rFonts w:ascii="Verdana" w:hAnsi="Verdana" w:cs="Verdana"/>
          <w:spacing w:val="22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y consiste en la argumentación clara y precisa de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motivos que comportan el acto administrativo al que se refiere y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8C4FFC" w:rsidRDefault="008C4FFC">
      <w:pPr>
        <w:pStyle w:val="Style4"/>
        <w:kinsoku w:val="0"/>
        <w:autoSpaceDE/>
        <w:autoSpaceDN/>
        <w:spacing w:before="288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elementos fácticos y jurídicos para su impugnación.</w:t>
      </w:r>
    </w:p>
    <w:p w:rsidR="008C4FFC" w:rsidRDefault="008C4FFC">
      <w:pPr>
        <w:pStyle w:val="Style4"/>
        <w:kinsoku w:val="0"/>
        <w:autoSpaceDE/>
        <w:autoSpaceDN/>
        <w:spacing w:before="36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clara al referirse al tema de la Motivación y la obligación de la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Administración de observar en los casos que corresponda la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indica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Fonts w:ascii="Verdana" w:hAnsi="Verdana" w:cs="Verdana"/>
          <w:i/>
          <w:iCs/>
          <w:spacing w:val="8"/>
          <w:w w:val="105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deban serlo en virtud de ley".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De igual modo la norma refiere que la motivación podrá consistir en la referencia explícita o inequívoca a los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técnico jurídico para la adopción del acto, en cuyo caso la motivación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puede ser sucinta haciendo mención de aquellos estudios, informes o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Fonts w:ascii="Verdana" w:hAnsi="Verdana" w:cs="Verdana"/>
          <w:sz w:val="22"/>
          <w:szCs w:val="22"/>
          <w:lang w:val="es-ES" w:eastAsia="es-ES"/>
        </w:rPr>
        <w:t>administrado.</w:t>
      </w:r>
    </w:p>
    <w:p w:rsidR="008C4FFC" w:rsidRDefault="008C4FFC" w:rsidP="005275E0">
      <w:pPr>
        <w:pStyle w:val="Style3"/>
        <w:kinsoku w:val="0"/>
        <w:autoSpaceDE/>
        <w:autoSpaceDN/>
        <w:adjustRightInd/>
        <w:spacing w:before="432"/>
        <w:jc w:val="both"/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>Lo anterior es precisamente en resguardo del Debido Proceso y del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>sub Principio derivado de este de Derecho a la Defensa, pues no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podría el administrado ejercer las acciones recursivas pertinentes en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420" w:right="2028" w:bottom="376" w:left="2092" w:header="720" w:footer="720" w:gutter="0"/>
          <w:cols w:space="720"/>
          <w:noEndnote/>
        </w:sectPr>
      </w:pPr>
    </w:p>
    <w:p w:rsidR="008C4FFC" w:rsidRDefault="008C4FFC">
      <w:pPr>
        <w:pStyle w:val="Style3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resguardo</w:t>
      </w:r>
      <w:proofErr w:type="gramEnd"/>
      <w:r>
        <w:rPr>
          <w:rStyle w:val="CharacterStyle4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 de sus intereses, sino sabe cuáles fueron las razones que mediaron para la emisión del acto que lo perjudica.</w:t>
      </w:r>
    </w:p>
    <w:p w:rsidR="008C4FFC" w:rsidRDefault="008C4FFC">
      <w:pPr>
        <w:pStyle w:val="Style3"/>
        <w:kinsoku w:val="0"/>
        <w:autoSpaceDE/>
        <w:autoSpaceDN/>
        <w:adjustRightInd/>
        <w:spacing w:before="504"/>
        <w:jc w:val="both"/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3"/>
          <w:sz w:val="23"/>
          <w:szCs w:val="23"/>
          <w:lang w:val="es-ES" w:eastAsia="es-ES"/>
        </w:rPr>
        <w:t xml:space="preserve">El Tribunal Contencioso Administrativo Sección V en su </w:t>
      </w:r>
      <w:r>
        <w:rPr>
          <w:rStyle w:val="CharacterStyle4"/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Sentencia 00032 de las ocho horas del veinte de abril de dos </w:t>
      </w:r>
      <w:r>
        <w:rPr>
          <w:rStyle w:val="CharacterStyle4"/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mil doce dispone respecto al tema de la motivación en relación al Principio de Legalidad y al del Debido Proceso, lo siguiente:</w:t>
      </w:r>
    </w:p>
    <w:p w:rsidR="008C4FFC" w:rsidRDefault="008C4FFC">
      <w:pPr>
        <w:pStyle w:val="Style3"/>
        <w:kinsoku w:val="0"/>
        <w:autoSpaceDE/>
        <w:autoSpaceDN/>
        <w:adjustRightInd/>
        <w:spacing w:before="720"/>
        <w:ind w:left="360" w:right="360"/>
        <w:rPr>
          <w:rStyle w:val="CharacterStyle4"/>
          <w:rFonts w:ascii="Verdana" w:hAnsi="Verdana" w:cs="Verdana"/>
          <w:b/>
          <w:bCs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6"/>
          <w:sz w:val="18"/>
          <w:szCs w:val="18"/>
          <w:lang w:val="es-ES" w:eastAsia="es-ES"/>
        </w:rPr>
        <w:t xml:space="preserve">"V.-SOBRE LA FALTA DE MOTIVACION DE LAS RESOLUCIONES </w:t>
      </w:r>
      <w:r>
        <w:rPr>
          <w:rStyle w:val="CharacterStyle4"/>
          <w:rFonts w:ascii="Verdana" w:hAnsi="Verdana" w:cs="Verdana"/>
          <w:b/>
          <w:bCs/>
          <w:sz w:val="18"/>
          <w:szCs w:val="18"/>
          <w:lang w:val="es-ES" w:eastAsia="es-ES"/>
        </w:rPr>
        <w:t>IMPUGNADAS</w:t>
      </w:r>
    </w:p>
    <w:p w:rsidR="008C4FFC" w:rsidRDefault="008C4FFC">
      <w:pPr>
        <w:pStyle w:val="Style3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spacing w:val="-3"/>
          <w:sz w:val="17"/>
          <w:szCs w:val="17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4"/>
          <w:rFonts w:ascii="Verdana" w:hAnsi="Verdana" w:cs="Verdana"/>
          <w:spacing w:val="1"/>
          <w:sz w:val="17"/>
          <w:szCs w:val="17"/>
          <w:lang w:val="es-ES" w:eastAsia="es-ES"/>
        </w:rPr>
        <w:t xml:space="preserve">constitucional, a la vez como parte del debido proceso y de legalidad, la motivación </w:t>
      </w:r>
      <w:r>
        <w:rPr>
          <w:rStyle w:val="CharacterStyle4"/>
          <w:rFonts w:ascii="Verdana" w:hAnsi="Verdana" w:cs="Verdana"/>
          <w:spacing w:val="-3"/>
          <w:sz w:val="17"/>
          <w:szCs w:val="17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4"/>
          <w:rFonts w:ascii="Verdana" w:hAnsi="Verdana" w:cs="Verdana"/>
          <w:spacing w:val="1"/>
          <w:sz w:val="17"/>
          <w:szCs w:val="17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4"/>
          <w:rFonts w:ascii="Verdana" w:hAnsi="Verdana" w:cs="Verdana"/>
          <w:spacing w:val="-2"/>
          <w:sz w:val="17"/>
          <w:szCs w:val="17"/>
          <w:lang w:val="es-ES" w:eastAsia="es-ES"/>
        </w:rPr>
        <w:t xml:space="preserve">la obligación de motivar los actos administrativos, como parte integrante del debido </w:t>
      </w:r>
      <w:r>
        <w:rPr>
          <w:rStyle w:val="CharacterStyle4"/>
          <w:rFonts w:ascii="Verdana" w:hAnsi="Verdana" w:cs="Verdana"/>
          <w:spacing w:val="7"/>
          <w:sz w:val="17"/>
          <w:szCs w:val="17"/>
          <w:lang w:val="es-ES" w:eastAsia="es-ES"/>
        </w:rPr>
        <w:t xml:space="preserve">proceso, resulta importante tener en cuenta lo desarrollado en la sentencia </w:t>
      </w:r>
      <w:r>
        <w:rPr>
          <w:rStyle w:val="CharacterStyle4"/>
          <w:rFonts w:ascii="Verdana" w:hAnsi="Verdana" w:cs="Verdana"/>
          <w:spacing w:val="-5"/>
          <w:sz w:val="17"/>
          <w:szCs w:val="17"/>
          <w:lang w:val="es-ES" w:eastAsia="es-ES"/>
        </w:rPr>
        <w:t xml:space="preserve">mencionada: "... </w:t>
      </w:r>
      <w:r>
        <w:rPr>
          <w:rStyle w:val="CharacterStyle4"/>
          <w:rFonts w:ascii="Verdana" w:hAnsi="Verdana" w:cs="Verdana"/>
          <w:b/>
          <w:bCs/>
          <w:i/>
          <w:iCs/>
          <w:spacing w:val="-5"/>
          <w:sz w:val="17"/>
          <w:szCs w:val="17"/>
          <w:u w:val="single"/>
          <w:lang w:val="es-ES" w:eastAsia="es-ES"/>
        </w:rPr>
        <w:t xml:space="preserve">Reiteradamente ha dicho la Sala en su jurisprudencia Que la 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17"/>
          <w:szCs w:val="17"/>
          <w:u w:val="single"/>
          <w:lang w:val="es-ES" w:eastAsia="es-ES"/>
        </w:rPr>
        <w:t xml:space="preserve">motivación de los actos administrativos es una exigencia del debido 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proceso y del derecho de defensa, puesto </w:t>
      </w:r>
      <w:r w:rsidR="005275E0"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 implica la obligación de 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otorgar al administrado un discurso justificativo </w:t>
      </w:r>
      <w:r w:rsidR="005275E0"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 acompañe a un acto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 xml:space="preserve">de un poder público </w:t>
      </w:r>
      <w:r w:rsidR="005275E0"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7"/>
          <w:szCs w:val="17"/>
          <w:u w:val="single"/>
          <w:lang w:val="es-ES" w:eastAsia="es-ES"/>
        </w:rPr>
        <w:t xml:space="preserve"> -como en este caso- deniegue una gestión 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sz w:val="17"/>
          <w:szCs w:val="17"/>
          <w:u w:val="single"/>
          <w:lang w:val="es-ES" w:eastAsia="es-ES"/>
        </w:rPr>
        <w:t xml:space="preserve">interpuesta ante la Administración. Se trata de un medio de control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democrático y difuso, ejercido por el administrado sobre la no arbitrariedad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del modo en que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18"/>
          <w:szCs w:val="18"/>
          <w:u w:val="single"/>
          <w:lang w:val="es-ES" w:eastAsia="es-ES"/>
        </w:rPr>
        <w:t xml:space="preserve">se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ejercen las potestades públicas, habida cuenta que en  </w:t>
      </w:r>
      <w:r>
        <w:rPr>
          <w:rStyle w:val="CharacterStyle4"/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la exigencia constitucional de motivación de los actos administrativos se 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>descubre así una función supra</w:t>
      </w:r>
      <w:r w:rsidR="005275E0"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>p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rocesal de este instituto, </w:t>
      </w:r>
      <w:r w:rsidR="005275E0"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>que</w:t>
      </w:r>
      <w:r>
        <w:rPr>
          <w:rStyle w:val="CharacterStyle4"/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 sitúa tal 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exigencia entre las consecuencias del principio constitucional del que es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7"/>
          <w:szCs w:val="17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>públicos.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 V. - El concepto mismo de motivación desde la perspectiva constitucional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Style w:val="CharacterStyle4"/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4"/>
          <w:rFonts w:ascii="Verdana" w:hAnsi="Verdana" w:cs="Verdana"/>
          <w:i/>
          <w:iCs/>
          <w:spacing w:val="-3"/>
          <w:sz w:val="17"/>
          <w:szCs w:val="17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4"/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4"/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justificar su contenido, lo cual permite desligar la motivación de "los motivos" </w:t>
      </w:r>
      <w:r>
        <w:rPr>
          <w:rStyle w:val="CharacterStyle4"/>
          <w:rFonts w:ascii="Verdana" w:hAnsi="Verdana" w:cs="Verdana"/>
          <w:i/>
          <w:iCs/>
          <w:spacing w:val="-4"/>
          <w:sz w:val="17"/>
          <w:szCs w:val="17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4"/>
          <w:rFonts w:ascii="Verdana" w:hAnsi="Verdana" w:cs="Verdana"/>
          <w:i/>
          <w:iCs/>
          <w:spacing w:val="4"/>
          <w:sz w:val="17"/>
          <w:szCs w:val="17"/>
          <w:lang w:val="es-ES" w:eastAsia="es-ES"/>
        </w:rPr>
        <w:t xml:space="preserve">administrativo difieren profundamente, se trata de una diferencia que no tiene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poder jurídico, en un Estado democrático de derecho que pretenda realizar una </w:t>
      </w:r>
      <w:r>
        <w:rPr>
          <w:rStyle w:val="CharacterStyle4"/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mismo debe contener al menos la sucinta referencia a hechos y fundamentos de </w:t>
      </w:r>
      <w:r>
        <w:rPr>
          <w:rStyle w:val="CharacterStyle4"/>
          <w:rFonts w:ascii="Verdana" w:hAnsi="Verdana" w:cs="Verdana"/>
          <w:i/>
          <w:iCs/>
          <w:spacing w:val="4"/>
          <w:sz w:val="17"/>
          <w:szCs w:val="17"/>
          <w:lang w:val="es-ES" w:eastAsia="es-ES"/>
        </w:rPr>
        <w:t xml:space="preserve">derecho, habida cuenta que el administrado necesariamente debe conocer las acciones u omisiones por las cuales ha de ser sancionado o simplemente se le 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deniega una gestión que pueda afectar la esfera de sus intereses legítimos o incluso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de sus derechos subjetivos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 xml:space="preserve">y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>la normativa que se le aplica."</w:t>
      </w:r>
    </w:p>
    <w:p w:rsidR="008C4FFC" w:rsidRDefault="008C4FFC">
      <w:pPr>
        <w:pStyle w:val="Style3"/>
        <w:kinsoku w:val="0"/>
        <w:autoSpaceDE/>
        <w:autoSpaceDN/>
        <w:adjustRightInd/>
        <w:spacing w:before="72"/>
        <w:ind w:left="360" w:right="360"/>
        <w:jc w:val="both"/>
        <w:rPr>
          <w:rStyle w:val="CharacterStyle4"/>
          <w:rFonts w:ascii="Verdana" w:hAnsi="Verdana" w:cs="Verdana"/>
          <w:spacing w:val="7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17"/>
          <w:szCs w:val="17"/>
          <w:lang w:val="es-ES" w:eastAsia="es-ES"/>
        </w:rPr>
        <w:t xml:space="preserve">De lo citado se desprende que esta motivación implica que las razones por las </w:t>
      </w:r>
      <w:r>
        <w:rPr>
          <w:rStyle w:val="CharacterStyle4"/>
          <w:rFonts w:ascii="Verdana" w:hAnsi="Verdana" w:cs="Verdana"/>
          <w:spacing w:val="1"/>
          <w:sz w:val="17"/>
          <w:szCs w:val="17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4"/>
          <w:rFonts w:ascii="Verdana" w:hAnsi="Verdana" w:cs="Verdana"/>
          <w:spacing w:val="-4"/>
          <w:sz w:val="17"/>
          <w:szCs w:val="17"/>
          <w:lang w:val="es-ES" w:eastAsia="es-ES"/>
        </w:rPr>
        <w:t xml:space="preserve">igual modo deben ser razonadas las circunstancias de hecho y de derecho en que se </w:t>
      </w:r>
      <w:r>
        <w:rPr>
          <w:rStyle w:val="CharacterStyle4"/>
          <w:rFonts w:ascii="Verdana" w:hAnsi="Verdana" w:cs="Verdana"/>
          <w:spacing w:val="4"/>
          <w:sz w:val="17"/>
          <w:szCs w:val="17"/>
          <w:lang w:val="es-ES" w:eastAsia="es-ES"/>
        </w:rPr>
        <w:t xml:space="preserve">fundamenta la Administración para dictar o emanar el acto administrativo. La </w:t>
      </w:r>
      <w:r>
        <w:rPr>
          <w:rStyle w:val="CharacterStyle4"/>
          <w:rFonts w:ascii="Verdana" w:hAnsi="Verdana" w:cs="Verdana"/>
          <w:spacing w:val="6"/>
          <w:sz w:val="17"/>
          <w:szCs w:val="17"/>
          <w:lang w:val="es-ES" w:eastAsia="es-ES"/>
        </w:rPr>
        <w:t xml:space="preserve">motivación es la expresión formal del motivo del acto y se encuentra en los </w:t>
      </w:r>
      <w:r>
        <w:rPr>
          <w:rStyle w:val="CharacterStyle4"/>
          <w:rFonts w:ascii="Verdana" w:hAnsi="Verdana" w:cs="Verdana"/>
          <w:spacing w:val="5"/>
          <w:sz w:val="17"/>
          <w:szCs w:val="17"/>
          <w:lang w:val="es-ES" w:eastAsia="es-ES"/>
        </w:rPr>
        <w:t xml:space="preserve">"considerandos" de las resoluciones. La debida motivación impacta al debido </w:t>
      </w:r>
      <w:r>
        <w:rPr>
          <w:rStyle w:val="CharacterStyle4"/>
          <w:rFonts w:ascii="Verdana" w:hAnsi="Verdana" w:cs="Verdana"/>
          <w:spacing w:val="4"/>
          <w:sz w:val="17"/>
          <w:szCs w:val="17"/>
          <w:lang w:val="es-ES" w:eastAsia="es-ES"/>
        </w:rPr>
        <w:t xml:space="preserve">proceso, dado que del cumplimiento efectivo de este principio constitucional, la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 xml:space="preserve">parte afectada va a tener la oportunidad de ejercer eficientemente su derecho de </w:t>
      </w:r>
      <w:r>
        <w:rPr>
          <w:rStyle w:val="CharacterStyle4"/>
          <w:rFonts w:ascii="Verdana" w:hAnsi="Verdana" w:cs="Verdana"/>
          <w:spacing w:val="2"/>
          <w:sz w:val="17"/>
          <w:szCs w:val="17"/>
          <w:lang w:val="es-ES" w:eastAsia="es-ES"/>
        </w:rPr>
        <w:t xml:space="preserve">defensa al contar con todos los elementos fácticos y jurídicos para su impugnación. A nivel legal, La Ley General de la Administración Pública, (en adelante LGAP), </w:t>
      </w:r>
      <w:r>
        <w:rPr>
          <w:rStyle w:val="CharacterStyle4"/>
          <w:rFonts w:ascii="Verdana" w:hAnsi="Verdana" w:cs="Verdana"/>
          <w:spacing w:val="6"/>
          <w:sz w:val="17"/>
          <w:szCs w:val="17"/>
          <w:lang w:val="es-ES" w:eastAsia="es-ES"/>
        </w:rPr>
        <w:t xml:space="preserve">establece con meridiana claridad la obligación administrativa de resolver los </w:t>
      </w:r>
      <w:r>
        <w:rPr>
          <w:rStyle w:val="CharacterStyle4"/>
          <w:rFonts w:ascii="Verdana" w:hAnsi="Verdana" w:cs="Verdana"/>
          <w:spacing w:val="7"/>
          <w:sz w:val="17"/>
          <w:szCs w:val="17"/>
          <w:lang w:val="es-ES" w:eastAsia="es-ES"/>
        </w:rPr>
        <w:t>recursos por medio de una resolución expresa, el artículo 136 en su inciso b),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440" w:right="2021" w:bottom="332" w:left="2099" w:header="720" w:footer="720" w:gutter="0"/>
          <w:cols w:space="720"/>
          <w:noEndnote/>
        </w:sectPr>
      </w:pPr>
    </w:p>
    <w:p w:rsidR="008C4FFC" w:rsidRDefault="008C4FFC">
      <w:pPr>
        <w:pStyle w:val="Style3"/>
        <w:kinsoku w:val="0"/>
        <w:autoSpaceDE/>
        <w:autoSpaceDN/>
        <w:adjustRightInd/>
        <w:ind w:left="360" w:right="360"/>
        <w:jc w:val="both"/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3"/>
          <w:sz w:val="17"/>
          <w:szCs w:val="17"/>
          <w:lang w:val="es-ES" w:eastAsia="es-ES"/>
        </w:rPr>
        <w:t>dispone</w:t>
      </w:r>
      <w:proofErr w:type="gramEnd"/>
      <w:r>
        <w:rPr>
          <w:rStyle w:val="CharacterStyle4"/>
          <w:rFonts w:ascii="Verdana" w:hAnsi="Verdana" w:cs="Verdana"/>
          <w:spacing w:val="3"/>
          <w:sz w:val="17"/>
          <w:szCs w:val="17"/>
          <w:lang w:val="es-ES" w:eastAsia="es-ES"/>
        </w:rPr>
        <w:t xml:space="preserve"> lo siguiente: </w:t>
      </w:r>
      <w:r>
        <w:rPr>
          <w:rStyle w:val="CharacterStyle4"/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"Serán motivados con mención, sucinta al menos, de sus 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fundamentos: (...) b) Los que resuelvan recursos (...) La motivación podrá consistir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en la referencia explícita o inequívoca a los motivos del a petición del administrado, o bien a propuestas, dictámenes o resoluciones previas que hayan determinado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realmente la adopción del acto, a condición de que se acompañe su copia".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 xml:space="preserve">Como </w:t>
      </w:r>
      <w:r>
        <w:rPr>
          <w:rStyle w:val="CharacterStyle4"/>
          <w:rFonts w:ascii="Verdana" w:hAnsi="Verdana" w:cs="Verdana"/>
          <w:spacing w:val="-1"/>
          <w:sz w:val="17"/>
          <w:szCs w:val="17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4"/>
          <w:rFonts w:ascii="Verdana" w:hAnsi="Verdana" w:cs="Verdana"/>
          <w:spacing w:val="8"/>
          <w:sz w:val="17"/>
          <w:szCs w:val="17"/>
          <w:lang w:val="es-ES" w:eastAsia="es-ES"/>
        </w:rPr>
        <w:t xml:space="preserve">adecuada los actos administrativos por parte de los administrados y de las </w:t>
      </w:r>
      <w:r>
        <w:rPr>
          <w:rStyle w:val="CharacterStyle4"/>
          <w:rFonts w:ascii="Verdana" w:hAnsi="Verdana" w:cs="Verdana"/>
          <w:spacing w:val="-1"/>
          <w:sz w:val="17"/>
          <w:szCs w:val="17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 xml:space="preserve">invalidez. Por su parte, el artículo 166 señala: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"Artículo 166. Habrá nulidad absoluta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del acto cuando falten totalmente uno o varios de sus elementos constitutivos, real o jurídicamente." </w:t>
      </w:r>
      <w:r>
        <w:rPr>
          <w:rStyle w:val="CharacterStyle4"/>
          <w:rFonts w:ascii="Verdana" w:hAnsi="Verdana" w:cs="Verdana"/>
          <w:spacing w:val="2"/>
          <w:sz w:val="17"/>
          <w:szCs w:val="17"/>
          <w:lang w:val="es-ES" w:eastAsia="es-ES"/>
        </w:rPr>
        <w:t xml:space="preserve">Finalmente, el artículo 223 indica lo siguiente: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"Artículo 223.-1. Sólo causará nulidad de lo actuado la omisión de formalidades sustanciales del </w:t>
      </w:r>
      <w:r>
        <w:rPr>
          <w:rStyle w:val="CharacterStyle4"/>
          <w:rFonts w:ascii="Verdana" w:hAnsi="Verdana" w:cs="Verdana"/>
          <w:i/>
          <w:iCs/>
          <w:spacing w:val="4"/>
          <w:sz w:val="17"/>
          <w:szCs w:val="17"/>
          <w:lang w:val="es-ES" w:eastAsia="es-ES"/>
        </w:rPr>
        <w:t xml:space="preserve">procedimiento. 2. Se entenderá como sustancial la formalidad cuya realización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>cuya omisión causare indefensión."</w:t>
      </w:r>
    </w:p>
    <w:p w:rsidR="008C4FFC" w:rsidRDefault="008C4FFC">
      <w:pPr>
        <w:pStyle w:val="Style3"/>
        <w:kinsoku w:val="0"/>
        <w:autoSpaceDE/>
        <w:autoSpaceDN/>
        <w:adjustRightInd/>
        <w:spacing w:before="36"/>
        <w:ind w:left="360" w:right="360"/>
        <w:jc w:val="both"/>
        <w:rPr>
          <w:rStyle w:val="CharacterStyle4"/>
          <w:rFonts w:ascii="Verdana" w:hAnsi="Verdana" w:cs="Verdana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>(</w:t>
      </w:r>
      <w:proofErr w:type="gramStart"/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>lo</w:t>
      </w:r>
      <w:proofErr w:type="gramEnd"/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 destacado no es del original). </w:t>
      </w:r>
      <w:r>
        <w:rPr>
          <w:rStyle w:val="CharacterStyle4"/>
          <w:rFonts w:ascii="Verdana" w:hAnsi="Verdana" w:cs="Verdana"/>
          <w:spacing w:val="1"/>
          <w:sz w:val="17"/>
          <w:szCs w:val="17"/>
          <w:lang w:val="es-ES" w:eastAsia="es-ES"/>
        </w:rPr>
        <w:t xml:space="preserve">De lo transcrito se concluye que en el momento en </w:t>
      </w:r>
      <w:r>
        <w:rPr>
          <w:rStyle w:val="CharacterStyle4"/>
          <w:rFonts w:ascii="Verdana" w:hAnsi="Verdana" w:cs="Verdana"/>
          <w:spacing w:val="5"/>
          <w:sz w:val="17"/>
          <w:szCs w:val="17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4"/>
          <w:rFonts w:ascii="Verdana" w:hAnsi="Verdana" w:cs="Verdana"/>
          <w:spacing w:val="5"/>
          <w:sz w:val="17"/>
          <w:szCs w:val="17"/>
          <w:lang w:val="es-ES" w:eastAsia="es-ES"/>
        </w:rPr>
        <w:t>lo</w:t>
      </w:r>
      <w:proofErr w:type="gramEnd"/>
      <w:r>
        <w:rPr>
          <w:rStyle w:val="CharacterStyle4"/>
          <w:rFonts w:ascii="Verdana" w:hAnsi="Verdana" w:cs="Verdana"/>
          <w:spacing w:val="5"/>
          <w:sz w:val="17"/>
          <w:szCs w:val="17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z w:val="17"/>
          <w:szCs w:val="17"/>
          <w:lang w:val="es-ES" w:eastAsia="es-ES"/>
        </w:rPr>
        <w:t>resaltado es nuestro)</w:t>
      </w:r>
    </w:p>
    <w:p w:rsidR="008C4FFC" w:rsidRDefault="008C4FFC">
      <w:pPr>
        <w:pStyle w:val="Style3"/>
        <w:kinsoku w:val="0"/>
        <w:autoSpaceDE/>
        <w:autoSpaceDN/>
        <w:adjustRightInd/>
        <w:spacing w:before="612" w:line="196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5.5 CONSIDERACIONES DE FONDO.</w:t>
      </w:r>
    </w:p>
    <w:p w:rsidR="008C4FFC" w:rsidRDefault="008C4FFC">
      <w:pPr>
        <w:pStyle w:val="Style4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Administración Pública, se ha podido determinar la existencia de una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nulidad absoluta, que tiñe con la invalidez el acto impugnado y la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debe declararse por este colegiado.</w:t>
      </w:r>
    </w:p>
    <w:p w:rsidR="008C4FFC" w:rsidRDefault="008C4FFC">
      <w:pPr>
        <w:pStyle w:val="Style4"/>
        <w:kinsoku w:val="0"/>
        <w:autoSpaceDE/>
        <w:autoSpaceDN/>
        <w:spacing w:before="36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Pública, que en su literalidad lo siguiente:</w:t>
      </w:r>
    </w:p>
    <w:p w:rsidR="008C4FFC" w:rsidRDefault="008C4FFC">
      <w:pPr>
        <w:pStyle w:val="Style4"/>
        <w:kinsoku w:val="0"/>
        <w:autoSpaceDE/>
        <w:autoSpaceDN/>
        <w:spacing w:before="288"/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4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>o a la forma, casos en los cuales deberá hacerlo";</w:t>
      </w:r>
    </w:p>
    <w:p w:rsidR="008C4FFC" w:rsidRDefault="008C4FFC">
      <w:pPr>
        <w:pStyle w:val="Style4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bajo análisis, el TAT-026-14, se puede verificar que </w:t>
      </w:r>
      <w:r>
        <w:rPr>
          <w:rFonts w:ascii="Verdana" w:hAnsi="Verdana" w:cs="Verdana"/>
          <w:b/>
          <w:bCs/>
          <w:spacing w:val="3"/>
          <w:sz w:val="23"/>
          <w:szCs w:val="23"/>
          <w:u w:val="single"/>
          <w:lang w:val="es-ES" w:eastAsia="es-ES"/>
        </w:rPr>
        <w:t xml:space="preserve">A folio 11 del </w:t>
      </w:r>
      <w:r>
        <w:rPr>
          <w:rFonts w:ascii="Verdana" w:hAnsi="Verdana" w:cs="Verdana"/>
          <w:b/>
          <w:bCs/>
          <w:spacing w:val="1"/>
          <w:sz w:val="23"/>
          <w:szCs w:val="23"/>
          <w:u w:val="single"/>
          <w:lang w:val="es-ES" w:eastAsia="es-ES"/>
        </w:rPr>
        <w:t>expediente administrativo,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 consta documento de fecha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6 de julio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de 2012,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en el cual se comunica el Artículo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2.2.45 de la Sesión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Extraordinaria 02-2012, de 16 de abril de 2012,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 la empresa 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A</w:t>
      </w:r>
      <w:r w:rsidR="005275E0"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.P.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S</w:t>
      </w:r>
      <w:r w:rsidR="005275E0"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S</w:t>
      </w:r>
      <w:r w:rsidR="005275E0"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J</w:t>
      </w:r>
      <w:r w:rsidR="007A6213"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S</w:t>
      </w:r>
      <w:r w:rsidR="005275E0"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3"/>
          <w:szCs w:val="23"/>
          <w:u w:val="single"/>
          <w:lang w:val="es-ES" w:eastAsia="es-ES"/>
        </w:rPr>
        <w:t>A,</w:t>
      </w:r>
      <w:r>
        <w:rPr>
          <w:rFonts w:ascii="Verdana" w:hAnsi="Verdana" w:cs="Verdana"/>
          <w:spacing w:val="-5"/>
          <w:sz w:val="22"/>
          <w:szCs w:val="22"/>
          <w:lang w:val="es-ES" w:eastAsia="es-ES"/>
        </w:rPr>
        <w:t xml:space="preserve"> acto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administrativo en el cual se indica que la recurrente no cumplió con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los requisitos establecidos en los transitorios de la Ley 8955, y se le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deniega el permiso a una gran cantidad de vehículos para los cuales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ésta, solicitaba el permiso de SEETAXI, no obstante, no se indica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requisito o requisitos fueron los que se incumplieron.</w:t>
      </w:r>
    </w:p>
    <w:p w:rsidR="008C4FFC" w:rsidRDefault="008C4FFC">
      <w:pPr>
        <w:pStyle w:val="Style3"/>
        <w:kinsoku w:val="0"/>
        <w:autoSpaceDE/>
        <w:autoSpaceDN/>
        <w:adjustRightInd/>
        <w:spacing w:before="324"/>
        <w:jc w:val="center"/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>Lo dicho es prueba fehaciente de que a la recurrente no se le indicó,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>cuáles fueron los requisitos que no cumplió, violentándose el debido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360" w:right="2023" w:bottom="394" w:left="2097" w:header="720" w:footer="720" w:gutter="0"/>
          <w:cols w:space="720"/>
          <w:noEndnote/>
        </w:sectPr>
      </w:pPr>
    </w:p>
    <w:p w:rsidR="008C4FFC" w:rsidRDefault="008C4FFC">
      <w:pPr>
        <w:pStyle w:val="Style4"/>
        <w:kinsoku w:val="0"/>
        <w:autoSpaceDE/>
        <w:autoSpaceDN/>
        <w:rPr>
          <w:rFonts w:ascii="Verdana" w:hAnsi="Verdana" w:cs="Verdana"/>
          <w:b/>
          <w:bCs/>
          <w:sz w:val="23"/>
          <w:szCs w:val="23"/>
          <w:lang w:val="es-ES" w:eastAsia="es-ES"/>
        </w:rPr>
      </w:pPr>
      <w:proofErr w:type="gramStart"/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proceso</w:t>
      </w:r>
      <w:proofErr w:type="gramEnd"/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en su contra, ergo el acto comunicado a la recurrente carecía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</w:t>
      </w:r>
      <w:r>
        <w:rPr>
          <w:rFonts w:ascii="Verdana" w:hAnsi="Verdana" w:cs="Verdana"/>
          <w:b/>
          <w:bCs/>
          <w:sz w:val="23"/>
          <w:szCs w:val="23"/>
          <w:u w:val="single"/>
          <w:lang w:val="es-ES" w:eastAsia="es-ES"/>
        </w:rPr>
        <w:t>MOTIVACIÓN.</w:t>
      </w:r>
    </w:p>
    <w:p w:rsidR="008C4FFC" w:rsidRDefault="008C4FFC">
      <w:pPr>
        <w:pStyle w:val="Style4"/>
        <w:kinsoku w:val="0"/>
        <w:autoSpaceDE/>
        <w:autoSpaceDN/>
        <w:spacing w:before="252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Fonts w:ascii="Verdana" w:hAnsi="Verdana" w:cs="Verdana"/>
          <w:spacing w:val="14"/>
          <w:w w:val="105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Verdana" w:hAnsi="Verdana" w:cs="Verdana"/>
          <w:spacing w:val="25"/>
          <w:w w:val="105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denegado a la recurrente hasta el momento en que se le rechaza la </w:t>
      </w:r>
      <w:r>
        <w:rPr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gestión, consecuentemente deberá la Administración proceder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conforme a derecho y notificar debidamente el acto administrativo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correspondiente y que le permita a la recurrente ejercer sus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derechos debidamente.</w:t>
      </w:r>
    </w:p>
    <w:p w:rsidR="008C4FFC" w:rsidRDefault="008C4FFC">
      <w:pPr>
        <w:pStyle w:val="Style4"/>
        <w:kinsoku w:val="0"/>
        <w:autoSpaceDE/>
        <w:autoSpaceDN/>
        <w:spacing w:before="432"/>
        <w:rPr>
          <w:rFonts w:ascii="Verdana" w:hAnsi="Verdana" w:cs="Verdana"/>
          <w:b/>
          <w:bCs/>
          <w:spacing w:val="-6"/>
          <w:sz w:val="23"/>
          <w:szCs w:val="23"/>
          <w:u w:val="single"/>
          <w:lang w:val="es-ES" w:eastAsia="es-ES"/>
        </w:rPr>
      </w:pP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3"/>
          <w:sz w:val="23"/>
          <w:szCs w:val="23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-2"/>
          <w:sz w:val="23"/>
          <w:szCs w:val="23"/>
          <w:u w:val="single"/>
          <w:lang w:val="es-ES" w:eastAsia="es-ES"/>
        </w:rPr>
        <w:t xml:space="preserve">requisitos establecidos en los transitorios de la Ley 8955 para  </w:t>
      </w:r>
      <w:r>
        <w:rPr>
          <w:rFonts w:ascii="Verdana" w:hAnsi="Verdana" w:cs="Verdana"/>
          <w:b/>
          <w:bCs/>
          <w:spacing w:val="-6"/>
          <w:sz w:val="23"/>
          <w:szCs w:val="23"/>
          <w:u w:val="single"/>
          <w:lang w:val="es-ES" w:eastAsia="es-ES"/>
        </w:rPr>
        <w:t xml:space="preserve">su acreditación. </w:t>
      </w:r>
    </w:p>
    <w:p w:rsidR="008C4FFC" w:rsidRDefault="008C4FFC">
      <w:pPr>
        <w:pStyle w:val="Style4"/>
        <w:kinsoku w:val="0"/>
        <w:autoSpaceDE/>
        <w:autoSpaceDN/>
        <w:spacing w:before="252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Lo apuntado violentó en perjuicio de la recurrente el debido proceso y el Derecho a la defensa, principios de rango constitucional y que se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extraen de la conjugación de </w:t>
      </w:r>
      <w:proofErr w:type="gramStart"/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>los</w:t>
      </w:r>
      <w:proofErr w:type="gramEnd"/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 artículo 39 y 41 de la carta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fundamental.</w:t>
      </w:r>
    </w:p>
    <w:p w:rsidR="008C4FFC" w:rsidRDefault="008C4FFC">
      <w:pPr>
        <w:pStyle w:val="Style4"/>
        <w:kinsoku w:val="0"/>
        <w:autoSpaceDE/>
        <w:autoSpaceDN/>
        <w:spacing w:before="324"/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10"/>
          <w:sz w:val="23"/>
          <w:szCs w:val="23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de marzo de dos mil once determinó:</w:t>
      </w:r>
    </w:p>
    <w:p w:rsidR="008C4FFC" w:rsidRDefault="008C4FFC">
      <w:pPr>
        <w:pStyle w:val="Style3"/>
        <w:kinsoku w:val="0"/>
        <w:autoSpaceDE/>
        <w:autoSpaceDN/>
        <w:adjustRightInd/>
        <w:spacing w:before="252" w:after="72"/>
        <w:ind w:left="360" w:right="360"/>
        <w:jc w:val="both"/>
        <w:rPr>
          <w:rStyle w:val="CharacterStyle4"/>
          <w:rFonts w:ascii="Verdana" w:hAnsi="Verdana" w:cs="Verdana"/>
          <w:i/>
          <w:iCs/>
          <w:spacing w:val="-2"/>
          <w:w w:val="105"/>
          <w:sz w:val="17"/>
          <w:szCs w:val="17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5"/>
          <w:w w:val="105"/>
          <w:sz w:val="17"/>
          <w:szCs w:val="17"/>
          <w:lang w:val="es-ES" w:eastAsia="es-ES"/>
        </w:rPr>
        <w:t xml:space="preserve">"El elemento motivación dista de ser una consideración meramente formal; por el </w:t>
      </w:r>
      <w:r>
        <w:rPr>
          <w:rStyle w:val="CharacterStyle4"/>
          <w:rFonts w:ascii="Verdana" w:hAnsi="Verdana" w:cs="Verdana"/>
          <w:i/>
          <w:iCs/>
          <w:spacing w:val="1"/>
          <w:w w:val="105"/>
          <w:sz w:val="17"/>
          <w:szCs w:val="17"/>
          <w:lang w:val="es-ES" w:eastAsia="es-ES"/>
        </w:rPr>
        <w:t xml:space="preserve">contrario, constituye un elemento infranqueable de la conducta pública, en la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lang w:val="es-ES" w:eastAsia="es-ES"/>
        </w:rPr>
        <w:t xml:space="preserve">medida que permite la comprensión de las razones en las que se basa la decisión, lo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17"/>
          <w:szCs w:val="17"/>
          <w:lang w:val="es-ES" w:eastAsia="es-ES"/>
        </w:rPr>
        <w:t xml:space="preserve">que posibilita por un lado, el análisis de legalidad de ese acto a fin de confrontarlo con el ordenamiento jurídico y ponderar si satisface las exigencias que aquel le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17"/>
          <w:szCs w:val="17"/>
          <w:lang w:val="es-ES" w:eastAsia="es-ES"/>
        </w:rPr>
        <w:t xml:space="preserve">impone, en términos de acreditación del motivo, legitimidad del contenido,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7"/>
          <w:szCs w:val="17"/>
          <w:lang w:val="es-ES" w:eastAsia="es-ES"/>
        </w:rPr>
        <w:t xml:space="preserve">razonabilidad y proporcionalidad entre ambos elementos. 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7"/>
          <w:szCs w:val="17"/>
          <w:u w:val="single"/>
          <w:lang w:val="es-ES" w:eastAsia="es-ES"/>
        </w:rPr>
        <w:t>Pero además,</w:t>
      </w:r>
      <w:r>
        <w:rPr>
          <w:rStyle w:val="CharacterStyle4"/>
          <w:rFonts w:ascii="Verdana" w:hAnsi="Verdana" w:cs="Verdana"/>
          <w:i/>
          <w:iCs/>
          <w:spacing w:val="4"/>
          <w:w w:val="105"/>
          <w:sz w:val="17"/>
          <w:szCs w:val="17"/>
          <w:lang w:val="es-ES" w:eastAsia="es-ES"/>
        </w:rPr>
        <w:t xml:space="preserve"> se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17"/>
          <w:szCs w:val="17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sz w:val="17"/>
          <w:szCs w:val="17"/>
          <w:u w:val="single"/>
          <w:lang w:val="es-ES" w:eastAsia="es-ES"/>
        </w:rPr>
        <w:t xml:space="preserve">destinatario,  siendo que, no podría ejercerse plenamente ese derecho si el acto no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7"/>
          <w:szCs w:val="17"/>
          <w:u w:val="single"/>
          <w:lang w:val="es-ES" w:eastAsia="es-ES"/>
        </w:rPr>
        <w:t>señala su fundamentación.</w:t>
      </w:r>
      <w:r>
        <w:rPr>
          <w:rStyle w:val="CharacterStyle4"/>
          <w:rFonts w:ascii="Verdana" w:hAnsi="Verdana" w:cs="Verdana"/>
          <w:i/>
          <w:iCs/>
          <w:spacing w:val="-3"/>
          <w:w w:val="105"/>
          <w:sz w:val="17"/>
          <w:szCs w:val="17"/>
          <w:lang w:val="es-ES" w:eastAsia="es-ES"/>
        </w:rPr>
        <w:t xml:space="preserve"> Ahora, ese deber de motivación, según se colige del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precitado canon 136 ibídem, puede satisfacerse de manera directa o indirecta.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 xml:space="preserve">En la  </w:t>
      </w:r>
      <w:r>
        <w:rPr>
          <w:rStyle w:val="CharacterStyle4"/>
          <w:rFonts w:ascii="Verdana" w:hAnsi="Verdana" w:cs="Verdana"/>
          <w:i/>
          <w:iCs/>
          <w:w w:val="105"/>
          <w:sz w:val="17"/>
          <w:szCs w:val="17"/>
          <w:u w:val="single"/>
          <w:lang w:val="es-ES" w:eastAsia="es-ES"/>
        </w:rPr>
        <w:t xml:space="preserve">primera, el acto índica expresamente las argumentaciones fácticas, técnicas, 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>jurídicas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lang w:val="es-ES" w:eastAsia="es-ES"/>
        </w:rPr>
        <w:t xml:space="preserve"> o </w:t>
      </w:r>
      <w:r>
        <w:rPr>
          <w:rStyle w:val="CharacterStyle4"/>
          <w:rFonts w:ascii="Verdana" w:hAnsi="Verdana" w:cs="Verdana"/>
          <w:i/>
          <w:iCs/>
          <w:spacing w:val="-7"/>
          <w:w w:val="105"/>
          <w:sz w:val="17"/>
          <w:szCs w:val="17"/>
          <w:u w:val="single"/>
          <w:lang w:val="es-ES" w:eastAsia="es-ES"/>
        </w:rPr>
        <w:t xml:space="preserve">precedentes que sustentan la voluntad. En la indirecta (inciso 2 del citado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sz w:val="17"/>
          <w:szCs w:val="17"/>
          <w:u w:val="single"/>
          <w:lang w:val="es-ES" w:eastAsia="es-ES"/>
        </w:rPr>
        <w:t xml:space="preserve">numeral) el acto remite a propuestas, dictámenes o resoluciones previas Que hayan 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17"/>
          <w:szCs w:val="17"/>
          <w:u w:val="single"/>
          <w:lang w:val="es-ES" w:eastAsia="es-ES"/>
        </w:rPr>
        <w:t xml:space="preserve">determinado realmente su adopción, a reserva de que se acompañe su copia en el </w:t>
      </w:r>
      <w:r w:rsidRPr="005275E0">
        <w:rPr>
          <w:rStyle w:val="CharacterStyle4"/>
          <w:rFonts w:ascii="Verdana" w:hAnsi="Verdana" w:cs="Verdana"/>
          <w:i/>
          <w:iCs/>
          <w:spacing w:val="-2"/>
          <w:w w:val="105"/>
          <w:sz w:val="17"/>
          <w:szCs w:val="17"/>
          <w:u w:val="single"/>
          <w:lang w:val="es-ES" w:eastAsia="es-ES"/>
        </w:rPr>
        <w:t>acto de comunicación."</w:t>
      </w:r>
    </w:p>
    <w:p w:rsidR="008C4FFC" w:rsidRDefault="008C4FFC" w:rsidP="005275E0">
      <w:pPr>
        <w:pStyle w:val="Style3"/>
        <w:kinsoku w:val="0"/>
        <w:autoSpaceDE/>
        <w:autoSpaceDN/>
        <w:adjustRightInd/>
        <w:spacing w:before="252"/>
        <w:jc w:val="both"/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>
        <w:rPr>
          <w:noProof/>
          <w:lang w:val="es-CR"/>
        </w:rPr>
        <w:pict>
          <v:line id="_x0000_s1038" style="position:absolute;left:0;text-align:left;z-index:251663872;mso-wrap-distance-left:0;mso-wrap-distance-right:0" from="19.2pt,.2pt" to="111.2pt,.2pt" o:allowincell="f" strokeweight=".25pt">
            <w10:wrap type="square"/>
          </v:line>
        </w:pic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t>Por lo indicado debe declararse con lugar el recurso de Apelación,</w:t>
      </w:r>
      <w:r>
        <w:rPr>
          <w:rStyle w:val="CharacterStyle4"/>
          <w:rFonts w:ascii="Verdana" w:hAnsi="Verdana" w:cs="Verdana"/>
          <w:spacing w:val="3"/>
          <w:w w:val="105"/>
          <w:sz w:val="22"/>
          <w:szCs w:val="22"/>
          <w:lang w:val="es-ES" w:eastAsia="es-ES"/>
        </w:rPr>
        <w:br/>
      </w:r>
      <w:proofErr w:type="gramStart"/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presentado</w:t>
      </w:r>
      <w:proofErr w:type="gramEnd"/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 por </w:t>
      </w: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A</w:t>
      </w:r>
      <w:r w:rsidR="005275E0"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.P.</w:t>
      </w: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S</w:t>
      </w:r>
      <w:r w:rsidR="005275E0"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S</w:t>
      </w:r>
      <w:r w:rsidR="005275E0"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.J</w:t>
      </w:r>
      <w:r w:rsidR="007A6213"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3"/>
          <w:szCs w:val="23"/>
          <w:u w:val="single"/>
          <w:lang w:val="es-ES" w:eastAsia="es-ES"/>
        </w:rPr>
        <w:t>S.A.,</w:t>
      </w:r>
      <w:r>
        <w:rPr>
          <w:rStyle w:val="CharacterStyle4"/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 y</w:t>
      </w:r>
    </w:p>
    <w:p w:rsidR="008C4FFC" w:rsidRPr="004A67A0" w:rsidRDefault="008C4FFC">
      <w:pPr>
        <w:widowControl/>
        <w:kinsoku/>
        <w:autoSpaceDE w:val="0"/>
        <w:autoSpaceDN w:val="0"/>
        <w:adjustRightInd w:val="0"/>
        <w:rPr>
          <w:lang w:val="es-CR"/>
        </w:rPr>
        <w:sectPr w:rsidR="008C4FFC" w:rsidRPr="004A67A0">
          <w:pgSz w:w="12240" w:h="15840"/>
          <w:pgMar w:top="1420" w:right="2026" w:bottom="346" w:left="2094" w:header="720" w:footer="720" w:gutter="0"/>
          <w:cols w:space="720"/>
          <w:noEndnote/>
        </w:sectPr>
      </w:pPr>
    </w:p>
    <w:p w:rsidR="008C4FFC" w:rsidRDefault="008C4FFC">
      <w:pPr>
        <w:pStyle w:val="Style4"/>
        <w:kinsoku w:val="0"/>
        <w:autoSpaceDE/>
        <w:autoSpaceDN/>
        <w:ind w:right="360"/>
        <w:jc w:val="left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>deberá</w:t>
      </w:r>
      <w:proofErr w:type="gramEnd"/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 el Consejo de Transporte Público proceder conforme 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derecho corresponde.</w:t>
      </w:r>
    </w:p>
    <w:p w:rsidR="008C4FFC" w:rsidRDefault="008C4FFC">
      <w:pPr>
        <w:pStyle w:val="Style3"/>
        <w:kinsoku w:val="0"/>
        <w:autoSpaceDE/>
        <w:autoSpaceDN/>
        <w:adjustRightInd/>
        <w:spacing w:before="576" w:line="184" w:lineRule="auto"/>
        <w:ind w:left="3240"/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3"/>
          <w:szCs w:val="23"/>
          <w:lang w:val="es-ES" w:eastAsia="es-ES"/>
        </w:rPr>
        <w:t>POR TANTO</w:t>
      </w:r>
    </w:p>
    <w:p w:rsidR="008C4FFC" w:rsidRDefault="008C4FFC">
      <w:pPr>
        <w:pStyle w:val="Style8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5"/>
          <w:w w:val="105"/>
          <w:sz w:val="22"/>
          <w:szCs w:val="22"/>
          <w:lang w:val="es-ES" w:eastAsia="es-ES"/>
        </w:rPr>
        <w:t xml:space="preserve">Se declara con lugar el </w:t>
      </w:r>
      <w:r w:rsidRPr="005275E0">
        <w:rPr>
          <w:spacing w:val="15"/>
          <w:w w:val="105"/>
          <w:sz w:val="20"/>
          <w:szCs w:val="20"/>
          <w:lang w:val="es-ES" w:eastAsia="es-ES"/>
        </w:rPr>
        <w:t xml:space="preserve">RECURSO DE APELACIÓN Y NULIDAD </w:t>
      </w:r>
      <w:r w:rsidRPr="005275E0">
        <w:rPr>
          <w:spacing w:val="3"/>
          <w:w w:val="105"/>
          <w:sz w:val="20"/>
          <w:szCs w:val="20"/>
          <w:lang w:val="es-ES" w:eastAsia="es-ES"/>
        </w:rPr>
        <w:t>CONCOMITANTE</w:t>
      </w:r>
      <w:r>
        <w:rPr>
          <w:rFonts w:ascii="Verdana" w:hAnsi="Verdana" w:cs="Verdana"/>
          <w:spacing w:val="3"/>
          <w:w w:val="105"/>
          <w:sz w:val="17"/>
          <w:szCs w:val="17"/>
          <w:lang w:val="es-ES" w:eastAsia="es-ES"/>
        </w:rPr>
        <w:t xml:space="preserve">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>A</w:t>
      </w:r>
      <w:r w:rsidR="005275E0">
        <w:rPr>
          <w:rFonts w:ascii="Verdana" w:hAnsi="Verdana" w:cs="Verdana"/>
          <w:b/>
          <w:bCs/>
          <w:spacing w:val="3"/>
          <w:sz w:val="23"/>
          <w:szCs w:val="23"/>
          <w:lang w:val="es-ES" w:eastAsia="es-ES"/>
        </w:rPr>
        <w:t>.P.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S</w:t>
      </w:r>
      <w:r w:rsidR="005275E0"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S</w:t>
      </w:r>
      <w:r w:rsidR="005275E0"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J</w:t>
      </w:r>
      <w:r w:rsidR="007A6213"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S.A.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jurídica </w:t>
      </w:r>
      <w:r w:rsidR="007A6213"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, por medio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su Apoderado Generalísimo sin límite de suma, señor 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V</w:t>
      </w:r>
      <w:r w:rsidR="005275E0"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H</w:t>
      </w:r>
      <w:r w:rsidR="005275E0">
        <w:rPr>
          <w:rFonts w:ascii="Verdana" w:hAnsi="Verdana" w:cs="Verdana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S</w:t>
      </w:r>
      <w:r w:rsidR="005275E0"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H</w:t>
      </w:r>
      <w:r w:rsidR="007A6213"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cédula de identidad número </w:t>
      </w:r>
      <w:r w:rsidR="007A6213"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, contra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el artículo 2.2.45, de la Sesión Extraordinaria 02-2012, de 16 de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abril de 2012 dictado por </w:t>
      </w:r>
      <w:r w:rsidRPr="00420ED1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la</w:t>
      </w:r>
      <w:r>
        <w:rPr>
          <w:rFonts w:ascii="Arial" w:hAnsi="Arial" w:cs="Arial"/>
          <w:b/>
          <w:bCs/>
          <w:spacing w:val="-2"/>
          <w:w w:val="90"/>
          <w:sz w:val="23"/>
          <w:szCs w:val="23"/>
          <w:lang w:val="es-ES" w:eastAsia="es-ES"/>
        </w:rPr>
        <w:t xml:space="preserve"> </w:t>
      </w:r>
      <w:r>
        <w:rPr>
          <w:rFonts w:ascii="Verdana" w:hAnsi="Verdana" w:cs="Verdana"/>
          <w:spacing w:val="-2"/>
          <w:w w:val="105"/>
          <w:sz w:val="17"/>
          <w:szCs w:val="17"/>
          <w:lang w:val="es-ES" w:eastAsia="es-ES"/>
        </w:rPr>
        <w:t xml:space="preserve">JUNTA DIRECTIVA DEL CONSEJO DE TRANSPORTE </w:t>
      </w:r>
      <w:r>
        <w:rPr>
          <w:rFonts w:ascii="Verdana" w:hAnsi="Verdana" w:cs="Verdana"/>
          <w:w w:val="105"/>
          <w:sz w:val="17"/>
          <w:szCs w:val="17"/>
          <w:lang w:val="es-ES" w:eastAsia="es-ES"/>
        </w:rPr>
        <w:t xml:space="preserve">PÚBLICO,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el cual se anula.</w:t>
      </w:r>
    </w:p>
    <w:p w:rsidR="008C4FFC" w:rsidRDefault="008C4FFC">
      <w:pPr>
        <w:pStyle w:val="Style4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spacing w:before="324"/>
        <w:ind w:right="360"/>
        <w:jc w:val="left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Se ordena al Consejo de Transporte Público proceder conforme en derecho corresponda.</w:t>
      </w:r>
    </w:p>
    <w:p w:rsidR="008C4FFC" w:rsidRDefault="008C4FFC">
      <w:pPr>
        <w:pStyle w:val="Style8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spacing w:after="288"/>
        <w:rPr>
          <w:rFonts w:ascii="Arial" w:hAnsi="Arial" w:cs="Arial"/>
          <w:b/>
          <w:bCs/>
          <w:sz w:val="6"/>
          <w:szCs w:val="6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conformidad con el artículo 22, inciso c), de la citada Ley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7969, la presente resolución no tiene ulterior recurso por lo que, se </w:t>
      </w:r>
      <w:r>
        <w:rPr>
          <w:rFonts w:ascii="Verdana" w:hAnsi="Verdana" w:cs="Verdana"/>
          <w:i/>
          <w:iCs/>
          <w:sz w:val="23"/>
          <w:szCs w:val="23"/>
          <w:lang w:val="es-ES" w:eastAsia="es-ES"/>
        </w:rPr>
        <w:t xml:space="preserve">tiene por agotada la vía administrativa.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>NOTIFIQUESE.</w:t>
      </w:r>
      <w:r>
        <w:rPr>
          <w:rFonts w:ascii="Arial" w:hAnsi="Arial" w:cs="Arial"/>
          <w:b/>
          <w:bCs/>
          <w:sz w:val="6"/>
          <w:szCs w:val="6"/>
          <w:lang w:val="es-ES" w:eastAsia="es-ES"/>
        </w:rPr>
        <w:t>-</w:t>
      </w: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</w:p>
    <w:p w:rsidR="00420ED1" w:rsidRDefault="00420ED1" w:rsidP="00420ED1">
      <w:pPr>
        <w:pStyle w:val="Style5"/>
        <w:kinsoku w:val="0"/>
        <w:autoSpaceDE/>
        <w:spacing w:before="0" w:after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420ED1" w:rsidRDefault="00420ED1" w:rsidP="00420ED1">
      <w:pPr>
        <w:pStyle w:val="Style5"/>
        <w:kinsoku w:val="0"/>
        <w:autoSpaceDE/>
        <w:spacing w:before="0" w:after="0"/>
        <w:ind w:left="72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420ED1" w:rsidRPr="00420ED1" w:rsidRDefault="00420ED1">
      <w:pPr>
        <w:ind w:left="288" w:right="4"/>
        <w:rPr>
          <w:lang w:val="es-CR"/>
        </w:rPr>
      </w:pPr>
    </w:p>
    <w:p w:rsidR="005275E0" w:rsidRDefault="005275E0">
      <w:pPr>
        <w:spacing w:after="3636"/>
        <w:ind w:left="288" w:right="4"/>
      </w:pPr>
    </w:p>
    <w:p w:rsidR="005275E0" w:rsidRDefault="005275E0">
      <w:pPr>
        <w:spacing w:after="3636"/>
        <w:ind w:left="288" w:right="4"/>
        <w:sectPr w:rsidR="005275E0" w:rsidSect="00420ED1">
          <w:pgSz w:w="12240" w:h="15840"/>
          <w:pgMar w:top="1400" w:right="1877" w:bottom="198" w:left="1939" w:header="720" w:footer="720" w:gutter="0"/>
          <w:cols w:space="720"/>
          <w:noEndnote/>
        </w:sectPr>
      </w:pPr>
    </w:p>
    <w:p w:rsidR="008C4FFC" w:rsidRDefault="008C4FFC">
      <w:pPr>
        <w:pStyle w:val="Style3"/>
        <w:kinsoku w:val="0"/>
        <w:autoSpaceDE/>
        <w:autoSpaceDN/>
        <w:adjustRightInd/>
        <w:spacing w:line="208" w:lineRule="auto"/>
        <w:rPr>
          <w:rStyle w:val="CharacterStyle4"/>
          <w:sz w:val="22"/>
          <w:szCs w:val="22"/>
          <w:lang w:val="es-ES" w:eastAsia="es-ES"/>
        </w:rPr>
      </w:pPr>
    </w:p>
    <w:sectPr w:rsidR="008C4FFC">
      <w:type w:val="continuous"/>
      <w:pgSz w:w="12240" w:h="15840"/>
      <w:pgMar w:top="1400" w:right="2221" w:bottom="200" w:left="727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D343"/>
    <w:multiLevelType w:val="singleLevel"/>
    <w:tmpl w:val="0928F950"/>
    <w:lvl w:ilvl="0">
      <w:start w:val="3"/>
      <w:numFmt w:val="upperLetter"/>
      <w:lvlText w:val="%1)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4"/>
        <w:sz w:val="22"/>
        <w:szCs w:val="22"/>
      </w:rPr>
    </w:lvl>
  </w:abstractNum>
  <w:abstractNum w:abstractNumId="1">
    <w:nsid w:val="02563407"/>
    <w:multiLevelType w:val="singleLevel"/>
    <w:tmpl w:val="7655C4F3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z w:val="22"/>
        <w:szCs w:val="22"/>
      </w:rPr>
    </w:lvl>
  </w:abstractNum>
  <w:abstractNum w:abstractNumId="2">
    <w:nsid w:val="0320EA07"/>
    <w:multiLevelType w:val="singleLevel"/>
    <w:tmpl w:val="189B028C"/>
    <w:lvl w:ilvl="0">
      <w:start w:val="2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2"/>
        <w:sz w:val="22"/>
        <w:szCs w:val="22"/>
      </w:rPr>
    </w:lvl>
  </w:abstractNum>
  <w:abstractNum w:abstractNumId="3">
    <w:nsid w:val="05D21FE7"/>
    <w:multiLevelType w:val="singleLevel"/>
    <w:tmpl w:val="70131722"/>
    <w:lvl w:ilvl="0">
      <w:start w:val="1"/>
      <w:numFmt w:val="upperRoman"/>
      <w:lvlText w:val="%1.-"/>
      <w:lvlJc w:val="left"/>
      <w:pPr>
        <w:tabs>
          <w:tab w:val="num" w:pos="720"/>
        </w:tabs>
        <w:ind w:firstLine="72"/>
      </w:pPr>
      <w:rPr>
        <w:rFonts w:ascii="Verdana" w:hAnsi="Verdana" w:cs="Verdana"/>
        <w:snapToGrid/>
        <w:spacing w:val="15"/>
        <w:w w:val="105"/>
        <w:sz w:val="22"/>
        <w:szCs w:val="2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-2"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99731A"/>
    <w:rsid w:val="00420ED1"/>
    <w:rsid w:val="004A67A0"/>
    <w:rsid w:val="005275E0"/>
    <w:rsid w:val="005779E8"/>
    <w:rsid w:val="006175CE"/>
    <w:rsid w:val="00630EC7"/>
    <w:rsid w:val="007A6213"/>
    <w:rsid w:val="00865D83"/>
    <w:rsid w:val="008C4FFC"/>
    <w:rsid w:val="0099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line="213" w:lineRule="auto"/>
      <w:ind w:left="288"/>
    </w:pPr>
    <w:rPr>
      <w:i/>
      <w:iCs/>
      <w:sz w:val="15"/>
      <w:szCs w:val="15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" w:line="199" w:lineRule="auto"/>
      <w:ind w:left="288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936" w:after="396"/>
      <w:ind w:firstLine="72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06" w:lineRule="auto"/>
      <w:ind w:right="72"/>
      <w:jc w:val="right"/>
    </w:pPr>
    <w:rPr>
      <w:sz w:val="23"/>
      <w:szCs w:val="23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right="72"/>
    </w:pPr>
    <w:rPr>
      <w:i/>
      <w:iCs/>
      <w:sz w:val="22"/>
      <w:szCs w:val="22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540"/>
      <w:ind w:right="72"/>
      <w:jc w:val="both"/>
    </w:pPr>
    <w:rPr>
      <w:i/>
      <w:iCs/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684" w:after="396"/>
      <w:jc w:val="both"/>
    </w:pPr>
    <w:rPr>
      <w:i/>
      <w:iCs/>
      <w:sz w:val="22"/>
      <w:szCs w:val="22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line="211" w:lineRule="auto"/>
      <w:ind w:right="36"/>
      <w:jc w:val="right"/>
    </w:pPr>
    <w:rPr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88"/>
      <w:ind w:right="360" w:firstLine="72"/>
      <w:jc w:val="both"/>
    </w:pPr>
  </w:style>
  <w:style w:type="character" w:customStyle="1" w:styleId="CharacterStyle2">
    <w:name w:val="Character Style 2"/>
    <w:uiPriority w:val="99"/>
    <w:rPr>
      <w:i/>
      <w:iCs/>
      <w:sz w:val="15"/>
      <w:szCs w:val="15"/>
    </w:rPr>
  </w:style>
  <w:style w:type="character" w:customStyle="1" w:styleId="CharacterStyle7">
    <w:name w:val="Character Style 7"/>
    <w:uiPriority w:val="99"/>
    <w:rPr>
      <w:sz w:val="22"/>
      <w:szCs w:val="22"/>
    </w:rPr>
  </w:style>
  <w:style w:type="character" w:customStyle="1" w:styleId="CharacterStyle9">
    <w:name w:val="Character Style 9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10">
    <w:name w:val="Character Style 10"/>
    <w:uiPriority w:val="99"/>
    <w:rPr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4802</Words>
  <Characters>26411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2015-05-21T21:42:00Z</dcterms:created>
  <dcterms:modified xsi:type="dcterms:W3CDTF">2015-05-21T21:42:00Z</dcterms:modified>
</cp:coreProperties>
</file>