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402B5">
      <w:pPr>
        <w:kinsoku w:val="0"/>
        <w:overflowPunct w:val="0"/>
        <w:autoSpaceDE/>
        <w:autoSpaceDN/>
        <w:adjustRightInd/>
        <w:spacing w:before="3" w:line="281" w:lineRule="exact"/>
        <w:ind w:left="72"/>
        <w:jc w:val="center"/>
        <w:textAlignment w:val="baseline"/>
        <w:rPr>
          <w:b/>
          <w:bCs/>
          <w:spacing w:val="9"/>
          <w:sz w:val="26"/>
          <w:szCs w:val="26"/>
          <w:lang w:val="es-ES" w:eastAsia="es-ES"/>
        </w:rPr>
      </w:pPr>
      <w:r>
        <w:rPr>
          <w:b/>
          <w:bCs/>
          <w:spacing w:val="9"/>
          <w:sz w:val="26"/>
          <w:szCs w:val="26"/>
          <w:lang w:val="es-ES" w:eastAsia="es-ES"/>
        </w:rPr>
        <w:t>Resolución No. TAT-2421-2014</w:t>
      </w:r>
    </w:p>
    <w:p w:rsidR="00000000" w:rsidRDefault="000402B5">
      <w:pPr>
        <w:kinsoku w:val="0"/>
        <w:overflowPunct w:val="0"/>
        <w:autoSpaceDE/>
        <w:autoSpaceDN/>
        <w:adjustRightInd/>
        <w:spacing w:before="312" w:line="296" w:lineRule="exact"/>
        <w:ind w:left="72"/>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10:50</w:t>
      </w:r>
    </w:p>
    <w:p w:rsidR="00000000" w:rsidRDefault="000402B5">
      <w:pPr>
        <w:tabs>
          <w:tab w:val="left" w:leader="hyphen" w:pos="8928"/>
        </w:tabs>
        <w:kinsoku w:val="0"/>
        <w:overflowPunct w:val="0"/>
        <w:autoSpaceDE/>
        <w:autoSpaceDN/>
        <w:adjustRightInd/>
        <w:spacing w:before="5" w:line="296" w:lineRule="exact"/>
        <w:ind w:left="72"/>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Diecis</w:t>
      </w:r>
      <w:r>
        <w:rPr>
          <w:sz w:val="26"/>
          <w:szCs w:val="26"/>
          <w:lang w:val="es-ES" w:eastAsia="es-ES"/>
        </w:rPr>
        <w:t>éis del mes de Diciembre del Dos Mil Catorce.</w:t>
      </w:r>
      <w:r>
        <w:rPr>
          <w:sz w:val="26"/>
          <w:szCs w:val="26"/>
          <w:lang w:val="es-ES" w:eastAsia="es-ES"/>
        </w:rPr>
        <w:tab/>
      </w:r>
    </w:p>
    <w:p w:rsidR="00000000" w:rsidRDefault="000402B5">
      <w:pPr>
        <w:kinsoku w:val="0"/>
        <w:overflowPunct w:val="0"/>
        <w:autoSpaceDE/>
        <w:autoSpaceDN/>
        <w:adjustRightInd/>
        <w:spacing w:before="278" w:line="299" w:lineRule="exact"/>
        <w:ind w:left="72" w:right="504"/>
        <w:jc w:val="both"/>
        <w:textAlignment w:val="baseline"/>
        <w:rPr>
          <w:sz w:val="24"/>
          <w:szCs w:val="24"/>
          <w:lang w:eastAsia="en-US"/>
        </w:rPr>
      </w:pPr>
      <w:r>
        <w:rPr>
          <w:spacing w:val="1"/>
          <w:sz w:val="26"/>
          <w:szCs w:val="26"/>
          <w:lang w:val="es-ES" w:eastAsia="es-ES"/>
        </w:rPr>
        <w:t xml:space="preserve">Se conoce por este medio de </w:t>
      </w:r>
      <w:r>
        <w:rPr>
          <w:b/>
          <w:bCs/>
          <w:spacing w:val="1"/>
          <w:sz w:val="26"/>
          <w:szCs w:val="26"/>
          <w:lang w:val="es-ES" w:eastAsia="es-ES"/>
        </w:rPr>
        <w:t xml:space="preserve">ACCIÓN DE NULIDAD CONTRA EL ACTO DE PREVENCIÓN DE OFERTA SUBSANABLE, </w:t>
      </w:r>
      <w:r>
        <w:rPr>
          <w:spacing w:val="1"/>
          <w:sz w:val="26"/>
          <w:szCs w:val="26"/>
          <w:lang w:val="es-ES" w:eastAsia="es-ES"/>
        </w:rPr>
        <w:t xml:space="preserve">presentada por el Señor </w:t>
      </w:r>
      <w:r>
        <w:rPr>
          <w:b/>
          <w:bCs/>
          <w:spacing w:val="1"/>
          <w:sz w:val="26"/>
          <w:szCs w:val="26"/>
          <w:lang w:val="es-ES" w:eastAsia="es-ES"/>
        </w:rPr>
        <w:t>C</w:t>
      </w:r>
      <w:r w:rsidR="00760118">
        <w:rPr>
          <w:b/>
          <w:bCs/>
          <w:spacing w:val="1"/>
          <w:sz w:val="26"/>
          <w:szCs w:val="26"/>
          <w:lang w:val="es-ES" w:eastAsia="es-ES"/>
        </w:rPr>
        <w:t>.Z.S.</w:t>
      </w:r>
      <w:r>
        <w:rPr>
          <w:b/>
          <w:bCs/>
          <w:spacing w:val="1"/>
          <w:sz w:val="26"/>
          <w:szCs w:val="26"/>
          <w:lang w:val="es-ES" w:eastAsia="es-ES"/>
        </w:rPr>
        <w:t xml:space="preserve">, </w:t>
      </w:r>
      <w:r>
        <w:rPr>
          <w:spacing w:val="1"/>
          <w:sz w:val="26"/>
          <w:szCs w:val="26"/>
          <w:lang w:val="es-ES" w:eastAsia="es-ES"/>
        </w:rPr>
        <w:t xml:space="preserve">de calidades ignoradas, portador de la cédula de identidad número </w:t>
      </w:r>
      <w:r w:rsidR="00923ED8">
        <w:rPr>
          <w:spacing w:val="1"/>
          <w:sz w:val="26"/>
          <w:szCs w:val="26"/>
          <w:lang w:val="es-ES" w:eastAsia="es-ES"/>
        </w:rPr>
        <w:t>…</w:t>
      </w:r>
      <w:r>
        <w:rPr>
          <w:spacing w:val="1"/>
          <w:sz w:val="26"/>
          <w:szCs w:val="26"/>
          <w:lang w:val="es-ES" w:eastAsia="es-ES"/>
        </w:rPr>
        <w:t xml:space="preserve">, como representante de la firma </w:t>
      </w:r>
      <w:r>
        <w:rPr>
          <w:b/>
          <w:bCs/>
          <w:spacing w:val="1"/>
          <w:sz w:val="26"/>
          <w:szCs w:val="26"/>
          <w:lang w:val="es-ES" w:eastAsia="es-ES"/>
        </w:rPr>
        <w:t>T</w:t>
      </w:r>
      <w:r w:rsidR="00923ED8">
        <w:rPr>
          <w:b/>
          <w:bCs/>
          <w:spacing w:val="1"/>
          <w:sz w:val="26"/>
          <w:szCs w:val="26"/>
          <w:lang w:val="es-ES" w:eastAsia="es-ES"/>
        </w:rPr>
        <w:t>.J.</w:t>
      </w:r>
      <w:r>
        <w:rPr>
          <w:b/>
          <w:bCs/>
          <w:spacing w:val="1"/>
          <w:sz w:val="26"/>
          <w:szCs w:val="26"/>
          <w:lang w:val="es-ES" w:eastAsia="es-ES"/>
        </w:rPr>
        <w:t xml:space="preserve">S.A., </w:t>
      </w:r>
      <w:r>
        <w:rPr>
          <w:spacing w:val="1"/>
          <w:sz w:val="26"/>
          <w:szCs w:val="26"/>
          <w:lang w:val="es-ES" w:eastAsia="es-ES"/>
        </w:rPr>
        <w:t xml:space="preserve">cédula jurídica número </w:t>
      </w:r>
      <w:r w:rsidR="00923ED8">
        <w:rPr>
          <w:spacing w:val="1"/>
          <w:sz w:val="26"/>
          <w:szCs w:val="26"/>
          <w:lang w:val="es-ES" w:eastAsia="es-ES"/>
        </w:rPr>
        <w:t>…</w:t>
      </w:r>
      <w:r>
        <w:rPr>
          <w:spacing w:val="1"/>
          <w:sz w:val="26"/>
          <w:szCs w:val="26"/>
          <w:lang w:val="es-ES" w:eastAsia="es-ES"/>
        </w:rPr>
        <w:t>, contra el Acto por el cual se le realizara una Prevención meritoria en cuanto al Procedimiento Abreviado para el Otorgamiento de Concesiones en el Transporte</w:t>
      </w:r>
      <w:r>
        <w:rPr>
          <w:spacing w:val="1"/>
          <w:sz w:val="26"/>
          <w:szCs w:val="26"/>
          <w:lang w:val="es-ES" w:eastAsia="es-ES"/>
        </w:rPr>
        <w:t xml:space="preserve"> Público Remunerado de Personas en Rutas Regulares </w:t>
      </w:r>
      <w:r>
        <w:rPr>
          <w:i/>
          <w:iCs/>
          <w:spacing w:val="1"/>
          <w:sz w:val="26"/>
          <w:szCs w:val="26"/>
          <w:lang w:val="es-ES" w:eastAsia="es-ES"/>
        </w:rPr>
        <w:t xml:space="preserve">(Conversión de Permisos), </w:t>
      </w:r>
      <w:r>
        <w:rPr>
          <w:spacing w:val="1"/>
          <w:sz w:val="26"/>
          <w:szCs w:val="26"/>
          <w:lang w:val="es-ES" w:eastAsia="es-ES"/>
        </w:rPr>
        <w:t>en la modalidad de Autobuses, según las determinaciones de la Ley No. 8826 y del Decreto Ejecutivo No. 37337-MOPT.-</w:t>
      </w:r>
      <w:r>
        <w:rPr>
          <w:b/>
          <w:bCs/>
          <w:i/>
          <w:iCs/>
          <w:spacing w:val="1"/>
          <w:sz w:val="26"/>
          <w:szCs w:val="26"/>
          <w:lang w:val="es-ES" w:eastAsia="es-ES"/>
        </w:rPr>
        <w:t>EXPEDIENTE No. TAT-253-14.</w:t>
      </w:r>
      <w:r>
        <w:rPr>
          <w:b/>
          <w:bCs/>
          <w:i/>
          <w:iCs/>
          <w:spacing w:val="1"/>
          <w:sz w:val="26"/>
          <w:szCs w:val="26"/>
          <w:lang w:val="es-ES" w:eastAsia="es-ES"/>
        </w:rPr>
        <w:noBreakHyphen/>
      </w:r>
    </w:p>
    <w:p w:rsidR="00000000" w:rsidRDefault="000402B5">
      <w:pPr>
        <w:kinsoku w:val="0"/>
        <w:overflowPunct w:val="0"/>
        <w:autoSpaceDE/>
        <w:autoSpaceDN/>
        <w:adjustRightInd/>
        <w:spacing w:before="320" w:line="285" w:lineRule="exact"/>
        <w:ind w:left="72"/>
        <w:textAlignment w:val="baseline"/>
        <w:rPr>
          <w:b/>
          <w:bCs/>
          <w:i/>
          <w:iCs/>
          <w:sz w:val="26"/>
          <w:szCs w:val="26"/>
          <w:lang w:val="es-ES" w:eastAsia="es-ES"/>
        </w:rPr>
      </w:pPr>
      <w:r>
        <w:rPr>
          <w:b/>
          <w:bCs/>
          <w:i/>
          <w:iCs/>
          <w:sz w:val="26"/>
          <w:szCs w:val="26"/>
          <w:lang w:val="es-ES" w:eastAsia="es-ES"/>
        </w:rPr>
        <w:t>REDACTA EL JUEZ QUESADA AGUIRRE,</w:t>
      </w:r>
    </w:p>
    <w:p w:rsidR="00000000" w:rsidRDefault="000402B5">
      <w:pPr>
        <w:kinsoku w:val="0"/>
        <w:overflowPunct w:val="0"/>
        <w:autoSpaceDE/>
        <w:autoSpaceDN/>
        <w:adjustRightInd/>
        <w:spacing w:before="312" w:line="292" w:lineRule="exact"/>
        <w:ind w:left="72"/>
        <w:jc w:val="center"/>
        <w:textAlignment w:val="baseline"/>
        <w:rPr>
          <w:b/>
          <w:bCs/>
          <w:i/>
          <w:iCs/>
          <w:spacing w:val="-1"/>
          <w:sz w:val="26"/>
          <w:szCs w:val="26"/>
          <w:lang w:val="es-ES" w:eastAsia="es-ES"/>
        </w:rPr>
      </w:pPr>
      <w:r>
        <w:rPr>
          <w:b/>
          <w:bCs/>
          <w:i/>
          <w:iCs/>
          <w:spacing w:val="-1"/>
          <w:sz w:val="26"/>
          <w:szCs w:val="26"/>
          <w:lang w:val="es-ES" w:eastAsia="es-ES"/>
        </w:rPr>
        <w:t>Con</w:t>
      </w:r>
      <w:r>
        <w:rPr>
          <w:b/>
          <w:bCs/>
          <w:i/>
          <w:iCs/>
          <w:spacing w:val="-1"/>
          <w:sz w:val="26"/>
          <w:szCs w:val="26"/>
          <w:lang w:val="es-ES" w:eastAsia="es-ES"/>
        </w:rPr>
        <w:t>siderando Único:</w:t>
      </w:r>
    </w:p>
    <w:p w:rsidR="00000000" w:rsidRDefault="000402B5">
      <w:pPr>
        <w:kinsoku w:val="0"/>
        <w:overflowPunct w:val="0"/>
        <w:autoSpaceDE/>
        <w:autoSpaceDN/>
        <w:adjustRightInd/>
        <w:spacing w:before="311" w:after="294" w:line="296" w:lineRule="exact"/>
        <w:ind w:left="72" w:right="504"/>
        <w:jc w:val="both"/>
        <w:textAlignment w:val="baseline"/>
        <w:rPr>
          <w:sz w:val="26"/>
          <w:szCs w:val="26"/>
          <w:lang w:val="es-ES" w:eastAsia="es-ES"/>
        </w:rPr>
      </w:pPr>
      <w:r>
        <w:rPr>
          <w:sz w:val="26"/>
          <w:szCs w:val="26"/>
          <w:lang w:val="es-ES" w:eastAsia="es-ES"/>
        </w:rPr>
        <w:t>En la especie el Señor Z</w:t>
      </w:r>
      <w:r w:rsidR="00923ED8">
        <w:rPr>
          <w:sz w:val="26"/>
          <w:szCs w:val="26"/>
          <w:lang w:val="es-ES" w:eastAsia="es-ES"/>
        </w:rPr>
        <w:t>.S.</w:t>
      </w:r>
      <w:r>
        <w:rPr>
          <w:sz w:val="26"/>
          <w:szCs w:val="26"/>
          <w:lang w:val="es-ES" w:eastAsia="es-ES"/>
        </w:rPr>
        <w:t xml:space="preserve"> presenta formal ACCIÓN DE NULIDAD en cuanto a una Prevención</w:t>
      </w:r>
      <w:r>
        <w:rPr>
          <w:sz w:val="26"/>
          <w:szCs w:val="26"/>
          <w:lang w:val="es-ES" w:eastAsia="es-ES"/>
        </w:rPr>
        <w:t xml:space="preserve"> que meritoriamente se le realizara a su Representada en cuanto al Procedimiento Abreviado para el Otorgamiento de Concesiones en el Transporte Público Remunerado de Personas en Rutas Regulares </w:t>
      </w:r>
      <w:r>
        <w:rPr>
          <w:i/>
          <w:iCs/>
          <w:sz w:val="26"/>
          <w:szCs w:val="26"/>
          <w:lang w:val="es-ES" w:eastAsia="es-ES"/>
        </w:rPr>
        <w:t xml:space="preserve">(Conversión de Permisos), </w:t>
      </w:r>
      <w:r>
        <w:rPr>
          <w:sz w:val="26"/>
          <w:szCs w:val="26"/>
          <w:lang w:val="es-ES" w:eastAsia="es-ES"/>
        </w:rPr>
        <w:t>en la modalidad de Autobuses, que el</w:t>
      </w:r>
      <w:r>
        <w:rPr>
          <w:sz w:val="26"/>
          <w:szCs w:val="26"/>
          <w:lang w:val="es-ES" w:eastAsia="es-ES"/>
        </w:rPr>
        <w:t xml:space="preserve"> Consejo de Transporte Público ha desarrollado según las determinaciones de la Ley No. 8826 y del Decreto Ejecutivo No. 37337-MOPT </w:t>
      </w:r>
      <w:r>
        <w:rPr>
          <w:i/>
          <w:iCs/>
          <w:sz w:val="26"/>
          <w:szCs w:val="26"/>
          <w:lang w:val="es-ES" w:eastAsia="es-ES"/>
        </w:rPr>
        <w:t xml:space="preserve">y </w:t>
      </w:r>
      <w:r>
        <w:rPr>
          <w:sz w:val="26"/>
          <w:szCs w:val="26"/>
          <w:lang w:val="es-ES" w:eastAsia="es-ES"/>
        </w:rPr>
        <w:t>del cual la firma T</w:t>
      </w:r>
      <w:r w:rsidR="00923ED8">
        <w:rPr>
          <w:sz w:val="26"/>
          <w:szCs w:val="26"/>
          <w:lang w:val="es-ES" w:eastAsia="es-ES"/>
        </w:rPr>
        <w:t>.J.</w:t>
      </w:r>
      <w:r>
        <w:rPr>
          <w:sz w:val="26"/>
          <w:szCs w:val="26"/>
          <w:lang w:val="es-ES" w:eastAsia="es-ES"/>
        </w:rPr>
        <w:t>S.A.</w:t>
      </w:r>
      <w:r w:rsidR="00923ED8">
        <w:rPr>
          <w:sz w:val="26"/>
          <w:szCs w:val="26"/>
          <w:lang w:val="es-ES" w:eastAsia="es-ES"/>
        </w:rPr>
        <w:t>,</w:t>
      </w:r>
      <w:r>
        <w:rPr>
          <w:sz w:val="26"/>
          <w:szCs w:val="26"/>
          <w:lang w:val="es-ES" w:eastAsia="es-ES"/>
        </w:rPr>
        <w:t xml:space="preserve"> es partícipe. Dicha Incidencia de forma particularizada e independiente de cualquier</w:t>
      </w:r>
      <w:r>
        <w:rPr>
          <w:sz w:val="26"/>
          <w:szCs w:val="26"/>
          <w:lang w:val="es-ES" w:eastAsia="es-ES"/>
        </w:rPr>
        <w:t xml:space="preserve"> Acción Recursiva y en cuanto al Acto de Prevención en cuestión.</w:t>
      </w:r>
    </w:p>
    <w:p w:rsidR="00000000" w:rsidRDefault="000402B5">
      <w:pPr>
        <w:kinsoku w:val="0"/>
        <w:overflowPunct w:val="0"/>
        <w:autoSpaceDE/>
        <w:autoSpaceDN/>
        <w:adjustRightInd/>
        <w:spacing w:before="16" w:line="287" w:lineRule="exact"/>
        <w:ind w:right="504"/>
        <w:jc w:val="both"/>
        <w:textAlignment w:val="baseline"/>
        <w:rPr>
          <w:spacing w:val="2"/>
          <w:sz w:val="26"/>
          <w:szCs w:val="26"/>
          <w:lang w:val="es-ES" w:eastAsia="es-ES"/>
        </w:rPr>
      </w:pPr>
      <w:r>
        <w:rPr>
          <w:spacing w:val="2"/>
          <w:sz w:val="26"/>
          <w:szCs w:val="26"/>
          <w:lang w:val="es-ES" w:eastAsia="es-ES"/>
        </w:rPr>
        <w:t xml:space="preserve">Visto lo anterior, es preclaro que la participación que se brinda </w:t>
      </w:r>
      <w:r>
        <w:rPr>
          <w:i/>
          <w:iCs/>
          <w:spacing w:val="2"/>
          <w:sz w:val="26"/>
          <w:szCs w:val="26"/>
          <w:lang w:val="es-ES" w:eastAsia="es-ES"/>
        </w:rPr>
        <w:t xml:space="preserve">(elevación) </w:t>
      </w:r>
      <w:r>
        <w:rPr>
          <w:spacing w:val="2"/>
          <w:sz w:val="26"/>
          <w:szCs w:val="26"/>
          <w:lang w:val="es-ES" w:eastAsia="es-ES"/>
        </w:rPr>
        <w:t>a este Tribunal, es manifiestamente improcedente, toda vez que el Acto que se cuestiona es un Acto de Mero Trámit</w:t>
      </w:r>
      <w:r>
        <w:rPr>
          <w:spacing w:val="2"/>
          <w:sz w:val="26"/>
          <w:szCs w:val="26"/>
          <w:lang w:val="es-ES" w:eastAsia="es-ES"/>
        </w:rPr>
        <w:t xml:space="preserve">e, por el cual lo que realiza es una Prevención dentro de un Procedimiento de Contratación general llevado por el Consejo de Transporte Público. No definiéndose nada en sí por su medio </w:t>
      </w:r>
      <w:r>
        <w:rPr>
          <w:i/>
          <w:iCs/>
          <w:spacing w:val="2"/>
          <w:sz w:val="26"/>
          <w:szCs w:val="26"/>
          <w:lang w:val="es-ES" w:eastAsia="es-ES"/>
        </w:rPr>
        <w:t xml:space="preserve">(acto que no presenta efectos propios), </w:t>
      </w:r>
      <w:r>
        <w:rPr>
          <w:spacing w:val="2"/>
          <w:sz w:val="26"/>
          <w:szCs w:val="26"/>
          <w:lang w:val="es-ES" w:eastAsia="es-ES"/>
        </w:rPr>
        <w:t xml:space="preserve">sino que advirtiéndose </w:t>
      </w:r>
      <w:r>
        <w:rPr>
          <w:i/>
          <w:iCs/>
          <w:spacing w:val="2"/>
          <w:sz w:val="26"/>
          <w:szCs w:val="26"/>
          <w:lang w:val="es-ES" w:eastAsia="es-ES"/>
        </w:rPr>
        <w:t>—nada má</w:t>
      </w:r>
      <w:r>
        <w:rPr>
          <w:i/>
          <w:iCs/>
          <w:spacing w:val="2"/>
          <w:sz w:val="26"/>
          <w:szCs w:val="26"/>
          <w:lang w:val="es-ES" w:eastAsia="es-ES"/>
        </w:rPr>
        <w:t xml:space="preserve">s- </w:t>
      </w:r>
      <w:r>
        <w:rPr>
          <w:spacing w:val="2"/>
          <w:sz w:val="26"/>
          <w:szCs w:val="26"/>
          <w:lang w:val="es-ES" w:eastAsia="es-ES"/>
        </w:rPr>
        <w:t>de una situación a corregirse o enmendarse, según los Cánones de la Contratación Administrativa o Pública. Por</w:t>
      </w:r>
    </w:p>
    <w:p w:rsidR="00000000" w:rsidRDefault="000402B5">
      <w:pPr>
        <w:kinsoku w:val="0"/>
        <w:overflowPunct w:val="0"/>
        <w:autoSpaceDE/>
        <w:autoSpaceDN/>
        <w:adjustRightInd/>
        <w:spacing w:line="1041" w:lineRule="exact"/>
        <w:jc w:val="right"/>
        <w:textAlignment w:val="baseline"/>
        <w:rPr>
          <w:sz w:val="26"/>
          <w:szCs w:val="26"/>
          <w:lang w:val="es-ES" w:eastAsia="es-ES"/>
        </w:rPr>
      </w:pPr>
    </w:p>
    <w:p w:rsidR="00000000" w:rsidRDefault="000402B5">
      <w:pPr>
        <w:widowControl/>
        <w:rPr>
          <w:sz w:val="24"/>
          <w:szCs w:val="24"/>
        </w:rPr>
        <w:sectPr w:rsidR="00000000">
          <w:pgSz w:w="12293" w:h="15744"/>
          <w:pgMar w:top="1320" w:right="1259" w:bottom="192" w:left="1594" w:header="720" w:footer="720" w:gutter="0"/>
          <w:cols w:space="720"/>
          <w:noEndnote/>
        </w:sectPr>
      </w:pPr>
    </w:p>
    <w:p w:rsidR="00000000" w:rsidRDefault="000402B5">
      <w:pPr>
        <w:kinsoku w:val="0"/>
        <w:overflowPunct w:val="0"/>
        <w:autoSpaceDE/>
        <w:autoSpaceDN/>
        <w:adjustRightInd/>
        <w:spacing w:before="4" w:line="301" w:lineRule="exact"/>
        <w:ind w:right="72"/>
        <w:jc w:val="both"/>
        <w:textAlignment w:val="baseline"/>
        <w:rPr>
          <w:spacing w:val="4"/>
          <w:sz w:val="26"/>
          <w:szCs w:val="26"/>
          <w:lang w:val="es-ES" w:eastAsia="es-ES"/>
        </w:rPr>
      </w:pPr>
      <w:proofErr w:type="gramStart"/>
      <w:r>
        <w:rPr>
          <w:spacing w:val="4"/>
          <w:sz w:val="26"/>
          <w:szCs w:val="26"/>
          <w:lang w:val="es-ES" w:eastAsia="es-ES"/>
        </w:rPr>
        <w:lastRenderedPageBreak/>
        <w:t>ende</w:t>
      </w:r>
      <w:proofErr w:type="gramEnd"/>
      <w:r>
        <w:rPr>
          <w:spacing w:val="4"/>
          <w:sz w:val="26"/>
          <w:szCs w:val="26"/>
          <w:lang w:val="es-ES" w:eastAsia="es-ES"/>
        </w:rPr>
        <w:t xml:space="preserve">, como tal no se trata de un Acto que sea susceptible a ser Recurrido Ordinariamente. Visto lo anterior y dado que este Tribunal solo es competente para conocer de las Apelaciones </w:t>
      </w:r>
      <w:r>
        <w:rPr>
          <w:b/>
          <w:bCs/>
          <w:spacing w:val="4"/>
          <w:sz w:val="26"/>
          <w:szCs w:val="26"/>
          <w:lang w:val="es-ES" w:eastAsia="es-ES"/>
        </w:rPr>
        <w:t xml:space="preserve">y de las Incidencias que ligadas a éstas se le presenten </w:t>
      </w:r>
      <w:r>
        <w:rPr>
          <w:spacing w:val="4"/>
          <w:sz w:val="26"/>
          <w:szCs w:val="26"/>
          <w:lang w:val="es-ES" w:eastAsia="es-ES"/>
        </w:rPr>
        <w:t xml:space="preserve">y no así de Nulidades Particulares e Independientes, conforme las </w:t>
      </w:r>
      <w:proofErr w:type="spellStart"/>
      <w:r>
        <w:rPr>
          <w:spacing w:val="4"/>
          <w:sz w:val="26"/>
          <w:szCs w:val="26"/>
          <w:lang w:val="es-ES" w:eastAsia="es-ES"/>
        </w:rPr>
        <w:t>preceptuaciones</w:t>
      </w:r>
      <w:proofErr w:type="spellEnd"/>
      <w:r>
        <w:rPr>
          <w:spacing w:val="4"/>
          <w:sz w:val="26"/>
          <w:szCs w:val="26"/>
          <w:lang w:val="es-ES" w:eastAsia="es-ES"/>
        </w:rPr>
        <w:t xml:space="preserve"> del numeral 22 de la Ley No. 7969, es claro que no resulta pertinente nuestra atención de una Incidencia de Nulidad contra un Acto de Mero Trámite, la cual </w:t>
      </w:r>
      <w:r>
        <w:rPr>
          <w:i/>
          <w:iCs/>
          <w:spacing w:val="4"/>
          <w:sz w:val="26"/>
          <w:szCs w:val="26"/>
          <w:lang w:val="es-ES" w:eastAsia="es-ES"/>
        </w:rPr>
        <w:t xml:space="preserve">—de por sí- </w:t>
      </w:r>
      <w:r>
        <w:rPr>
          <w:spacing w:val="4"/>
          <w:sz w:val="26"/>
          <w:szCs w:val="26"/>
          <w:lang w:val="es-ES" w:eastAsia="es-ES"/>
        </w:rPr>
        <w:t xml:space="preserve">NO FUE PRESENTADA ANTE ESTE TRIBUNAL, sino solo ante el Consejo de Transporte Público como realizador del Procedimiento dentro del cual se emitiera el Acto de Prevención cuestionado. Se trata, </w:t>
      </w:r>
      <w:r>
        <w:rPr>
          <w:i/>
          <w:iCs/>
          <w:spacing w:val="4"/>
          <w:sz w:val="26"/>
          <w:szCs w:val="26"/>
          <w:lang w:val="es-ES" w:eastAsia="es-ES"/>
        </w:rPr>
        <w:t xml:space="preserve">per se, </w:t>
      </w:r>
      <w:r>
        <w:rPr>
          <w:spacing w:val="4"/>
          <w:sz w:val="26"/>
          <w:szCs w:val="26"/>
          <w:lang w:val="es-ES" w:eastAsia="es-ES"/>
        </w:rPr>
        <w:t>de una cuestión cuya definición, conforme la Acción Pla</w:t>
      </w:r>
      <w:r>
        <w:rPr>
          <w:spacing w:val="4"/>
          <w:sz w:val="26"/>
          <w:szCs w:val="26"/>
          <w:lang w:val="es-ES" w:eastAsia="es-ES"/>
        </w:rPr>
        <w:t xml:space="preserve">nteada, se agota en el ámbito del referido Consejo, dada su Resolución mediante el Acuerdo No. 8.1.22 de la Sesión Ordinaria No. 51-2014 de la Junta Directiva del Consejo de Transporte Público, de fecha 17 de Setiembre del 2014, y de la cual este Tribunal </w:t>
      </w:r>
      <w:r>
        <w:rPr>
          <w:i/>
          <w:iCs/>
          <w:spacing w:val="4"/>
          <w:sz w:val="26"/>
          <w:szCs w:val="26"/>
          <w:lang w:val="es-ES" w:eastAsia="es-ES"/>
        </w:rPr>
        <w:t>(</w:t>
      </w:r>
      <w:proofErr w:type="spellStart"/>
      <w:r>
        <w:rPr>
          <w:i/>
          <w:iCs/>
          <w:spacing w:val="4"/>
          <w:sz w:val="26"/>
          <w:szCs w:val="26"/>
          <w:lang w:val="es-ES" w:eastAsia="es-ES"/>
        </w:rPr>
        <w:t>maxime</w:t>
      </w:r>
      <w:proofErr w:type="spellEnd"/>
      <w:r>
        <w:rPr>
          <w:i/>
          <w:iCs/>
          <w:spacing w:val="4"/>
          <w:sz w:val="26"/>
          <w:szCs w:val="26"/>
          <w:lang w:val="es-ES" w:eastAsia="es-ES"/>
        </w:rPr>
        <w:t xml:space="preserve"> como la misma se ha presentado) </w:t>
      </w:r>
      <w:r>
        <w:rPr>
          <w:spacing w:val="4"/>
          <w:sz w:val="26"/>
          <w:szCs w:val="26"/>
          <w:lang w:val="es-ES" w:eastAsia="es-ES"/>
        </w:rPr>
        <w:t>NO es Competente para conocer. Así las cosas, conforme a las determinaciones del numeral 22 de la Ley No. 7969, el presente Asunto escapa a nuestra Competencia Material debida. Siendo en mérito ello que de forma cate</w:t>
      </w:r>
      <w:r>
        <w:rPr>
          <w:spacing w:val="4"/>
          <w:sz w:val="26"/>
          <w:szCs w:val="26"/>
          <w:lang w:val="es-ES" w:eastAsia="es-ES"/>
        </w:rPr>
        <w:t xml:space="preserve">górica se debe determinar que la Gestión que se atiende resulta improcedente e imposible ante esta Instancia. Solo para dejar en claro lo anterior, obsérvese lo que </w:t>
      </w:r>
      <w:proofErr w:type="gramStart"/>
      <w:r>
        <w:rPr>
          <w:spacing w:val="4"/>
          <w:sz w:val="26"/>
          <w:szCs w:val="26"/>
          <w:lang w:val="es-ES" w:eastAsia="es-ES"/>
        </w:rPr>
        <w:t>el referido</w:t>
      </w:r>
      <w:proofErr w:type="gramEnd"/>
      <w:r>
        <w:rPr>
          <w:spacing w:val="4"/>
          <w:sz w:val="26"/>
          <w:szCs w:val="26"/>
          <w:lang w:val="es-ES" w:eastAsia="es-ES"/>
        </w:rPr>
        <w:t xml:space="preserve"> numeral señala:</w:t>
      </w:r>
    </w:p>
    <w:p w:rsidR="00000000" w:rsidRDefault="000402B5">
      <w:pPr>
        <w:kinsoku w:val="0"/>
        <w:overflowPunct w:val="0"/>
        <w:autoSpaceDE/>
        <w:autoSpaceDN/>
        <w:adjustRightInd/>
        <w:spacing w:before="313" w:line="273" w:lineRule="exact"/>
        <w:ind w:left="576" w:right="72"/>
        <w:textAlignment w:val="baseline"/>
        <w:rPr>
          <w:sz w:val="26"/>
          <w:szCs w:val="26"/>
          <w:lang w:val="es-ES" w:eastAsia="es-ES"/>
        </w:rPr>
      </w:pPr>
      <w:r>
        <w:rPr>
          <w:b/>
          <w:bCs/>
          <w:sz w:val="26"/>
          <w:szCs w:val="26"/>
          <w:lang w:val="es-ES" w:eastAsia="es-ES"/>
        </w:rPr>
        <w:t>ARTÍCULO 22.- Competencia del Tribunal</w:t>
      </w:r>
      <w:r>
        <w:rPr>
          <w:b/>
          <w:bCs/>
          <w:sz w:val="26"/>
          <w:szCs w:val="26"/>
          <w:lang w:val="es-ES" w:eastAsia="es-ES"/>
        </w:rPr>
        <w:br/>
      </w:r>
      <w:r>
        <w:rPr>
          <w:sz w:val="26"/>
          <w:szCs w:val="26"/>
          <w:lang w:val="es-ES" w:eastAsia="es-ES"/>
        </w:rPr>
        <w:t>El Tribunal será compete</w:t>
      </w:r>
      <w:r>
        <w:rPr>
          <w:sz w:val="26"/>
          <w:szCs w:val="26"/>
          <w:lang w:val="es-ES" w:eastAsia="es-ES"/>
        </w:rPr>
        <w:t>nte para lo siguiente:</w:t>
      </w:r>
    </w:p>
    <w:p w:rsidR="00000000" w:rsidRDefault="000402B5">
      <w:pPr>
        <w:numPr>
          <w:ilvl w:val="0"/>
          <w:numId w:val="1"/>
        </w:numPr>
        <w:kinsoku w:val="0"/>
        <w:overflowPunct w:val="0"/>
        <w:autoSpaceDE/>
        <w:autoSpaceDN/>
        <w:adjustRightInd/>
        <w:spacing w:before="278" w:line="279" w:lineRule="exact"/>
        <w:ind w:right="720"/>
        <w:jc w:val="both"/>
        <w:textAlignment w:val="baseline"/>
        <w:rPr>
          <w:sz w:val="26"/>
          <w:szCs w:val="26"/>
          <w:lang w:val="es-ES" w:eastAsia="es-ES"/>
        </w:rPr>
      </w:pPr>
      <w:r>
        <w:rPr>
          <w:sz w:val="26"/>
          <w:szCs w:val="26"/>
          <w:lang w:val="es-ES" w:eastAsia="es-ES"/>
        </w:rPr>
        <w:t>Conocer y resolver, en sede administrativa, los recursos de apelación que se interpongan contra cualquier acto o resolución del Consejo.</w:t>
      </w:r>
    </w:p>
    <w:p w:rsidR="00000000" w:rsidRDefault="000402B5">
      <w:pPr>
        <w:numPr>
          <w:ilvl w:val="0"/>
          <w:numId w:val="1"/>
        </w:numPr>
        <w:kinsoku w:val="0"/>
        <w:overflowPunct w:val="0"/>
        <w:autoSpaceDE/>
        <w:autoSpaceDN/>
        <w:adjustRightInd/>
        <w:spacing w:before="283" w:line="275" w:lineRule="exact"/>
        <w:ind w:right="720"/>
        <w:jc w:val="both"/>
        <w:textAlignment w:val="baseline"/>
        <w:rPr>
          <w:spacing w:val="-9"/>
          <w:sz w:val="26"/>
          <w:szCs w:val="26"/>
          <w:lang w:val="es-ES" w:eastAsia="es-ES"/>
        </w:rPr>
      </w:pPr>
      <w:r>
        <w:rPr>
          <w:spacing w:val="-9"/>
          <w:sz w:val="26"/>
          <w:szCs w:val="26"/>
          <w:lang w:val="es-ES" w:eastAsia="es-ES"/>
        </w:rPr>
        <w:t>Establecer, en vía administrativa, las indemnizaciones que puedan originarse en relación con</w:t>
      </w:r>
      <w:r>
        <w:rPr>
          <w:spacing w:val="-9"/>
          <w:sz w:val="26"/>
          <w:szCs w:val="26"/>
          <w:lang w:val="es-ES" w:eastAsia="es-ES"/>
        </w:rPr>
        <w:t xml:space="preserve"> los daños producidos por violaciones de la legislación del transporte público.</w:t>
      </w:r>
    </w:p>
    <w:p w:rsidR="00000000" w:rsidRDefault="000402B5">
      <w:pPr>
        <w:numPr>
          <w:ilvl w:val="0"/>
          <w:numId w:val="1"/>
        </w:numPr>
        <w:kinsoku w:val="0"/>
        <w:overflowPunct w:val="0"/>
        <w:autoSpaceDE/>
        <w:autoSpaceDN/>
        <w:adjustRightInd/>
        <w:spacing w:before="284" w:line="271" w:lineRule="exact"/>
        <w:ind w:right="720"/>
        <w:jc w:val="both"/>
        <w:textAlignment w:val="baseline"/>
        <w:rPr>
          <w:sz w:val="26"/>
          <w:szCs w:val="26"/>
          <w:lang w:val="es-ES" w:eastAsia="es-ES"/>
        </w:rPr>
      </w:pPr>
      <w:r>
        <w:rPr>
          <w:sz w:val="26"/>
          <w:szCs w:val="26"/>
          <w:lang w:val="es-ES" w:eastAsia="es-ES"/>
        </w:rPr>
        <w:t>Las resoluciones del Tribunal no tendrán más recursos y darán por agotada la vía administrativa.</w:t>
      </w:r>
    </w:p>
    <w:p w:rsidR="00000000" w:rsidRDefault="000402B5">
      <w:pPr>
        <w:kinsoku w:val="0"/>
        <w:overflowPunct w:val="0"/>
        <w:autoSpaceDE/>
        <w:autoSpaceDN/>
        <w:adjustRightInd/>
        <w:spacing w:before="481" w:line="301" w:lineRule="exact"/>
        <w:ind w:right="72"/>
        <w:jc w:val="both"/>
        <w:textAlignment w:val="baseline"/>
        <w:rPr>
          <w:sz w:val="26"/>
          <w:szCs w:val="26"/>
          <w:lang w:val="es-ES" w:eastAsia="es-ES"/>
        </w:rPr>
      </w:pPr>
      <w:r>
        <w:rPr>
          <w:sz w:val="26"/>
          <w:szCs w:val="26"/>
          <w:lang w:val="es-ES" w:eastAsia="es-ES"/>
        </w:rPr>
        <w:t>Ahora bien, de emitirse ya Actos Finales que en rigor de los Supuestos Vicios que el Recurrente apunta, puedan afectar sus Derechos e Intereses debidos, bien podría conocer este Tribunal de alguna situación de Nulidad en cuanto a lo referido, si la misma s</w:t>
      </w:r>
      <w:r>
        <w:rPr>
          <w:sz w:val="26"/>
          <w:szCs w:val="26"/>
          <w:lang w:val="es-ES" w:eastAsia="es-ES"/>
        </w:rPr>
        <w:t>e planteara como uno de los Argumentos de Apelación y el caso llegara hasta esta Instancia.</w:t>
      </w:r>
    </w:p>
    <w:p w:rsidR="00000000" w:rsidRDefault="000402B5">
      <w:pPr>
        <w:kinsoku w:val="0"/>
        <w:overflowPunct w:val="0"/>
        <w:autoSpaceDE/>
        <w:autoSpaceDN/>
        <w:adjustRightInd/>
        <w:spacing w:before="315" w:line="309" w:lineRule="exact"/>
        <w:ind w:right="72"/>
        <w:jc w:val="both"/>
        <w:textAlignment w:val="baseline"/>
        <w:rPr>
          <w:sz w:val="26"/>
          <w:szCs w:val="26"/>
          <w:lang w:val="es-ES" w:eastAsia="es-ES"/>
        </w:rPr>
      </w:pPr>
      <w:r>
        <w:rPr>
          <w:sz w:val="26"/>
          <w:szCs w:val="26"/>
          <w:lang w:val="es-ES" w:eastAsia="es-ES"/>
        </w:rPr>
        <w:t>Vale acotar que de haber acreditado la firma T</w:t>
      </w:r>
      <w:r w:rsidR="00923ED8">
        <w:rPr>
          <w:sz w:val="26"/>
          <w:szCs w:val="26"/>
          <w:lang w:val="es-ES" w:eastAsia="es-ES"/>
        </w:rPr>
        <w:t>.J.</w:t>
      </w:r>
      <w:r>
        <w:rPr>
          <w:sz w:val="26"/>
          <w:szCs w:val="26"/>
          <w:lang w:val="es-ES" w:eastAsia="es-ES"/>
        </w:rPr>
        <w:t>S.A. la representación de su Apoderado dentro de la Pre-Oferta u Oferta presentada en cuanto al Procedi</w:t>
      </w:r>
      <w:r>
        <w:rPr>
          <w:sz w:val="26"/>
          <w:szCs w:val="26"/>
          <w:lang w:val="es-ES" w:eastAsia="es-ES"/>
        </w:rPr>
        <w:t>miento Abreviado en torno al cual se dio la Prevención Objetada,</w:t>
      </w:r>
    </w:p>
    <w:p w:rsidR="00000000" w:rsidRDefault="000402B5">
      <w:pPr>
        <w:widowControl/>
        <w:rPr>
          <w:sz w:val="24"/>
          <w:szCs w:val="24"/>
        </w:rPr>
        <w:sectPr w:rsidR="00000000">
          <w:pgSz w:w="12278" w:h="15782"/>
          <w:pgMar w:top="1340" w:right="1622" w:bottom="1298" w:left="1656" w:header="720" w:footer="720" w:gutter="0"/>
          <w:cols w:space="720"/>
          <w:noEndnote/>
        </w:sectPr>
      </w:pPr>
    </w:p>
    <w:p w:rsidR="00000000" w:rsidRDefault="000402B5">
      <w:pPr>
        <w:kinsoku w:val="0"/>
        <w:overflowPunct w:val="0"/>
        <w:autoSpaceDE/>
        <w:autoSpaceDN/>
        <w:adjustRightInd/>
        <w:spacing w:before="14" w:line="301" w:lineRule="exact"/>
        <w:ind w:left="72" w:right="72"/>
        <w:jc w:val="both"/>
        <w:textAlignment w:val="baseline"/>
        <w:rPr>
          <w:sz w:val="26"/>
          <w:szCs w:val="26"/>
          <w:lang w:val="es-ES" w:eastAsia="es-ES"/>
        </w:rPr>
      </w:pPr>
      <w:proofErr w:type="gramStart"/>
      <w:r>
        <w:rPr>
          <w:sz w:val="26"/>
          <w:szCs w:val="26"/>
          <w:lang w:val="es-ES" w:eastAsia="es-ES"/>
        </w:rPr>
        <w:t>tal</w:t>
      </w:r>
      <w:proofErr w:type="gramEnd"/>
      <w:r>
        <w:rPr>
          <w:sz w:val="26"/>
          <w:szCs w:val="26"/>
          <w:lang w:val="es-ES" w:eastAsia="es-ES"/>
        </w:rPr>
        <w:t xml:space="preserve"> acreditación vale para todo el Procedimiento en cuestión, con las consecuencias de mérito.</w:t>
      </w:r>
    </w:p>
    <w:p w:rsidR="00000000" w:rsidRDefault="000402B5">
      <w:pPr>
        <w:kinsoku w:val="0"/>
        <w:overflowPunct w:val="0"/>
        <w:autoSpaceDE/>
        <w:autoSpaceDN/>
        <w:adjustRightInd/>
        <w:spacing w:before="304" w:line="300" w:lineRule="exact"/>
        <w:ind w:left="72" w:right="72"/>
        <w:jc w:val="center"/>
        <w:textAlignment w:val="baseline"/>
        <w:rPr>
          <w:b/>
          <w:bCs/>
          <w:i/>
          <w:iCs/>
          <w:sz w:val="26"/>
          <w:szCs w:val="26"/>
          <w:lang w:val="es-ES" w:eastAsia="es-ES"/>
        </w:rPr>
      </w:pPr>
      <w:r>
        <w:rPr>
          <w:b/>
          <w:bCs/>
          <w:i/>
          <w:iCs/>
          <w:sz w:val="26"/>
          <w:szCs w:val="26"/>
          <w:lang w:val="es-ES" w:eastAsia="es-ES"/>
        </w:rPr>
        <w:t>Por Tanto:</w:t>
      </w:r>
    </w:p>
    <w:p w:rsidR="00000000" w:rsidRDefault="000402B5">
      <w:pPr>
        <w:numPr>
          <w:ilvl w:val="0"/>
          <w:numId w:val="2"/>
        </w:numPr>
        <w:tabs>
          <w:tab w:val="right" w:pos="8928"/>
        </w:tabs>
        <w:kinsoku w:val="0"/>
        <w:overflowPunct w:val="0"/>
        <w:autoSpaceDE/>
        <w:autoSpaceDN/>
        <w:adjustRightInd/>
        <w:spacing w:before="321" w:line="301" w:lineRule="exact"/>
        <w:ind w:right="72"/>
        <w:jc w:val="both"/>
        <w:textAlignment w:val="baseline"/>
        <w:rPr>
          <w:sz w:val="26"/>
          <w:szCs w:val="26"/>
          <w:lang w:val="es-ES" w:eastAsia="es-ES"/>
        </w:rPr>
      </w:pPr>
      <w:r>
        <w:rPr>
          <w:sz w:val="26"/>
          <w:szCs w:val="26"/>
          <w:lang w:val="es-ES" w:eastAsia="es-ES"/>
        </w:rPr>
        <w:t xml:space="preserve">Conforme lo expresado </w:t>
      </w:r>
      <w:r>
        <w:rPr>
          <w:i/>
          <w:iCs/>
          <w:sz w:val="26"/>
          <w:szCs w:val="26"/>
          <w:lang w:val="es-ES" w:eastAsia="es-ES"/>
        </w:rPr>
        <w:t xml:space="preserve">supra, </w:t>
      </w:r>
      <w:r>
        <w:rPr>
          <w:sz w:val="26"/>
          <w:szCs w:val="26"/>
          <w:lang w:val="es-ES" w:eastAsia="es-ES"/>
        </w:rPr>
        <w:t xml:space="preserve">SE RECHAZA la </w:t>
      </w:r>
      <w:r>
        <w:rPr>
          <w:b/>
          <w:bCs/>
          <w:sz w:val="26"/>
          <w:szCs w:val="26"/>
          <w:lang w:val="es-ES" w:eastAsia="es-ES"/>
        </w:rPr>
        <w:t>ACCIÓN DE NULID</w:t>
      </w:r>
      <w:r>
        <w:rPr>
          <w:b/>
          <w:bCs/>
          <w:sz w:val="26"/>
          <w:szCs w:val="26"/>
          <w:lang w:val="es-ES" w:eastAsia="es-ES"/>
        </w:rPr>
        <w:t>AD</w:t>
      </w:r>
      <w:r>
        <w:rPr>
          <w:b/>
          <w:bCs/>
          <w:sz w:val="26"/>
          <w:szCs w:val="26"/>
          <w:lang w:val="es-ES" w:eastAsia="es-ES"/>
        </w:rPr>
        <w:br/>
        <w:t xml:space="preserve">CONTRA EL ACTO DE PREVENCIÓN DE OFERTA SUBSANABLE, </w:t>
      </w:r>
      <w:r>
        <w:rPr>
          <w:sz w:val="26"/>
          <w:szCs w:val="26"/>
          <w:lang w:val="es-ES" w:eastAsia="es-ES"/>
        </w:rPr>
        <w:t xml:space="preserve">presentada por el Señor </w:t>
      </w:r>
      <w:r>
        <w:rPr>
          <w:b/>
          <w:bCs/>
          <w:sz w:val="26"/>
          <w:szCs w:val="26"/>
          <w:lang w:val="es-ES" w:eastAsia="es-ES"/>
        </w:rPr>
        <w:t>C</w:t>
      </w:r>
      <w:r w:rsidR="00923ED8">
        <w:rPr>
          <w:b/>
          <w:bCs/>
          <w:sz w:val="26"/>
          <w:szCs w:val="26"/>
          <w:lang w:val="es-ES" w:eastAsia="es-ES"/>
        </w:rPr>
        <w:t>.Z.S.,</w:t>
      </w:r>
      <w:r>
        <w:rPr>
          <w:b/>
          <w:bCs/>
          <w:sz w:val="26"/>
          <w:szCs w:val="26"/>
          <w:lang w:val="es-ES" w:eastAsia="es-ES"/>
        </w:rPr>
        <w:t xml:space="preserve"> </w:t>
      </w:r>
      <w:r>
        <w:rPr>
          <w:sz w:val="26"/>
          <w:szCs w:val="26"/>
          <w:lang w:val="es-ES" w:eastAsia="es-ES"/>
        </w:rPr>
        <w:t xml:space="preserve">de calidades ignoradas, portador de la cédula de identidad número </w:t>
      </w:r>
      <w:r w:rsidR="00923ED8">
        <w:rPr>
          <w:sz w:val="26"/>
          <w:szCs w:val="26"/>
          <w:lang w:val="es-ES" w:eastAsia="es-ES"/>
        </w:rPr>
        <w:t>…</w:t>
      </w:r>
      <w:r>
        <w:rPr>
          <w:sz w:val="26"/>
          <w:szCs w:val="26"/>
          <w:lang w:val="es-ES" w:eastAsia="es-ES"/>
        </w:rPr>
        <w:t xml:space="preserve">, como representante de la firma </w:t>
      </w:r>
      <w:r>
        <w:rPr>
          <w:b/>
          <w:bCs/>
          <w:sz w:val="26"/>
          <w:szCs w:val="26"/>
          <w:lang w:val="es-ES" w:eastAsia="es-ES"/>
        </w:rPr>
        <w:t>T</w:t>
      </w:r>
      <w:r w:rsidR="00923ED8">
        <w:rPr>
          <w:b/>
          <w:bCs/>
          <w:sz w:val="26"/>
          <w:szCs w:val="26"/>
          <w:lang w:val="es-ES" w:eastAsia="es-ES"/>
        </w:rPr>
        <w:t>.J.</w:t>
      </w:r>
      <w:r>
        <w:rPr>
          <w:b/>
          <w:bCs/>
          <w:sz w:val="26"/>
          <w:szCs w:val="26"/>
          <w:lang w:val="es-ES" w:eastAsia="es-ES"/>
        </w:rPr>
        <w:t xml:space="preserve">S.A., </w:t>
      </w:r>
      <w:r>
        <w:rPr>
          <w:sz w:val="26"/>
          <w:szCs w:val="26"/>
          <w:lang w:val="es-ES" w:eastAsia="es-ES"/>
        </w:rPr>
        <w:t xml:space="preserve">cédula jurídica número </w:t>
      </w:r>
      <w:r w:rsidR="00923ED8">
        <w:rPr>
          <w:sz w:val="26"/>
          <w:szCs w:val="26"/>
          <w:lang w:val="es-ES" w:eastAsia="es-ES"/>
        </w:rPr>
        <w:t>…</w:t>
      </w:r>
      <w:r>
        <w:rPr>
          <w:sz w:val="26"/>
          <w:szCs w:val="26"/>
          <w:lang w:val="es-ES" w:eastAsia="es-ES"/>
        </w:rPr>
        <w:t xml:space="preserve">, contra el Acto por el cual se le realizara una Prevención meritoria en cuanto al Procedimiento Abreviado para el Otorgamiento de Concesiones en el Transporte Público Remunerado de Personas en Rutas Regulares </w:t>
      </w:r>
      <w:r>
        <w:rPr>
          <w:i/>
          <w:iCs/>
          <w:sz w:val="26"/>
          <w:szCs w:val="26"/>
          <w:lang w:val="es-ES" w:eastAsia="es-ES"/>
        </w:rPr>
        <w:t xml:space="preserve">(Conversión de Permisos), </w:t>
      </w:r>
      <w:r>
        <w:rPr>
          <w:sz w:val="26"/>
          <w:szCs w:val="26"/>
          <w:lang w:val="es-ES" w:eastAsia="es-ES"/>
        </w:rPr>
        <w:t>en la modalid</w:t>
      </w:r>
      <w:r>
        <w:rPr>
          <w:sz w:val="26"/>
          <w:szCs w:val="26"/>
          <w:lang w:val="es-ES" w:eastAsia="es-ES"/>
        </w:rPr>
        <w:t>ad de Autobuses, según las determinaciones de la Ley No. 8826 y del Decreto Ejecutivo No. 37337-MOPT.</w:t>
      </w:r>
    </w:p>
    <w:p w:rsidR="00000000" w:rsidRDefault="000402B5">
      <w:pPr>
        <w:numPr>
          <w:ilvl w:val="0"/>
          <w:numId w:val="3"/>
        </w:numPr>
        <w:kinsoku w:val="0"/>
        <w:overflowPunct w:val="0"/>
        <w:autoSpaceDE/>
        <w:autoSpaceDN/>
        <w:adjustRightInd/>
        <w:spacing w:before="441" w:line="301" w:lineRule="exact"/>
        <w:ind w:right="72"/>
        <w:jc w:val="both"/>
        <w:textAlignment w:val="baseline"/>
        <w:rPr>
          <w:i/>
          <w:iCs/>
          <w:sz w:val="26"/>
          <w:szCs w:val="26"/>
          <w:lang w:val="es-ES" w:eastAsia="es-ES"/>
        </w:rPr>
      </w:pPr>
      <w:r>
        <w:rPr>
          <w:sz w:val="26"/>
          <w:szCs w:val="26"/>
          <w:lang w:val="es-ES" w:eastAsia="es-ES"/>
        </w:rPr>
        <w:t>Por carecer la presente resolución de ulterior recurso en sede administrativa, de conformidad con los artículos 16 y 22, inciso c), de la Ley 7969,</w:t>
      </w:r>
      <w:r>
        <w:rPr>
          <w:sz w:val="26"/>
          <w:szCs w:val="26"/>
          <w:lang w:val="es-ES" w:eastAsia="es-ES"/>
        </w:rPr>
        <w:t xml:space="preserve"> </w:t>
      </w:r>
      <w:r>
        <w:rPr>
          <w:i/>
          <w:iCs/>
          <w:sz w:val="26"/>
          <w:szCs w:val="26"/>
          <w:lang w:val="es-ES" w:eastAsia="es-ES"/>
        </w:rPr>
        <w:t>se da por agotada la vía administrativa.</w:t>
      </w:r>
    </w:p>
    <w:p w:rsidR="00000000" w:rsidRDefault="000402B5">
      <w:pPr>
        <w:kinsoku w:val="0"/>
        <w:overflowPunct w:val="0"/>
        <w:autoSpaceDE/>
        <w:autoSpaceDN/>
        <w:adjustRightInd/>
        <w:spacing w:before="308" w:after="277" w:line="289" w:lineRule="exact"/>
        <w:ind w:left="72" w:right="72"/>
        <w:textAlignment w:val="baseline"/>
        <w:rPr>
          <w:b/>
          <w:bCs/>
          <w:spacing w:val="-2"/>
          <w:sz w:val="26"/>
          <w:szCs w:val="26"/>
          <w:lang w:val="es-ES" w:eastAsia="es-ES"/>
        </w:rPr>
      </w:pPr>
      <w:r>
        <w:rPr>
          <w:b/>
          <w:bCs/>
          <w:spacing w:val="-2"/>
          <w:sz w:val="26"/>
          <w:szCs w:val="26"/>
          <w:lang w:val="es-ES" w:eastAsia="es-ES"/>
        </w:rPr>
        <w:t>NOTIFÍQUESE.</w:t>
      </w:r>
    </w:p>
    <w:p w:rsidR="00000000" w:rsidRDefault="000402B5">
      <w:pPr>
        <w:widowControl/>
        <w:rPr>
          <w:sz w:val="24"/>
          <w:szCs w:val="24"/>
        </w:rPr>
      </w:pPr>
    </w:p>
    <w:p w:rsidR="00923ED8" w:rsidRDefault="00923ED8">
      <w:pPr>
        <w:widowControl/>
        <w:rPr>
          <w:sz w:val="24"/>
          <w:szCs w:val="24"/>
        </w:rPr>
      </w:pPr>
    </w:p>
    <w:p w:rsidR="00923ED8" w:rsidRPr="00E94E94" w:rsidRDefault="00923ED8" w:rsidP="00923ED8">
      <w:pPr>
        <w:pStyle w:val="Style4"/>
        <w:kinsoku w:val="0"/>
        <w:autoSpaceDE/>
        <w:ind w:left="216"/>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923ED8" w:rsidRPr="00E94E94" w:rsidRDefault="00923ED8" w:rsidP="00923ED8">
      <w:pPr>
        <w:pStyle w:val="Style4"/>
        <w:kinsoku w:val="0"/>
        <w:autoSpaceDE/>
        <w:ind w:left="216"/>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923ED8" w:rsidRPr="00E94E94" w:rsidRDefault="00923ED8" w:rsidP="00923ED8">
      <w:pPr>
        <w:pStyle w:val="Style4"/>
        <w:kinsoku w:val="0"/>
        <w:autoSpaceDE/>
        <w:ind w:left="216"/>
        <w:rPr>
          <w:rStyle w:val="CharacterStyle4"/>
          <w:spacing w:val="2"/>
          <w:w w:val="105"/>
          <w:sz w:val="28"/>
          <w:lang w:val="es-ES" w:eastAsia="es-ES"/>
        </w:rPr>
      </w:pPr>
    </w:p>
    <w:p w:rsidR="00923ED8" w:rsidRPr="00E94E94" w:rsidRDefault="00923ED8" w:rsidP="00923ED8">
      <w:pPr>
        <w:pStyle w:val="Style4"/>
        <w:kinsoku w:val="0"/>
        <w:autoSpaceDE/>
        <w:ind w:left="216"/>
        <w:rPr>
          <w:rStyle w:val="CharacterStyle4"/>
          <w:spacing w:val="2"/>
          <w:w w:val="105"/>
          <w:sz w:val="28"/>
          <w:lang w:val="es-ES" w:eastAsia="es-ES"/>
        </w:rPr>
      </w:pPr>
    </w:p>
    <w:p w:rsidR="00923ED8" w:rsidRPr="00E94E94" w:rsidRDefault="00923ED8" w:rsidP="00923ED8">
      <w:pPr>
        <w:pStyle w:val="Style4"/>
        <w:kinsoku w:val="0"/>
        <w:autoSpaceDE/>
        <w:ind w:left="216"/>
        <w:rPr>
          <w:rStyle w:val="CharacterStyle4"/>
          <w:spacing w:val="2"/>
          <w:w w:val="105"/>
          <w:sz w:val="28"/>
          <w:lang w:val="es-ES" w:eastAsia="es-ES"/>
        </w:rPr>
      </w:pPr>
      <w:r>
        <w:rPr>
          <w:rStyle w:val="CharacterStyle4"/>
          <w:spacing w:val="2"/>
          <w:w w:val="105"/>
          <w:sz w:val="28"/>
          <w:lang w:val="es-ES" w:eastAsia="es-ES"/>
        </w:rPr>
        <w:t>L</w:t>
      </w:r>
      <w:r w:rsidRPr="00E94E94">
        <w:rPr>
          <w:rStyle w:val="CharacterStyle4"/>
          <w:spacing w:val="2"/>
          <w:w w:val="105"/>
          <w:sz w:val="28"/>
          <w:lang w:val="es-ES" w:eastAsia="es-ES"/>
        </w:rPr>
        <w:t>ic. Mario Quesada Aguirre</w:t>
      </w:r>
      <w:r>
        <w:rPr>
          <w:rStyle w:val="CharacterStyle4"/>
          <w:spacing w:val="2"/>
          <w:w w:val="105"/>
          <w:sz w:val="28"/>
          <w:lang w:val="es-ES" w:eastAsia="es-ES"/>
        </w:rPr>
        <w:t xml:space="preserve">           </w:t>
      </w:r>
      <w:r w:rsidRPr="00E94E94">
        <w:rPr>
          <w:rStyle w:val="CharacterStyle4"/>
          <w:spacing w:val="2"/>
          <w:w w:val="105"/>
          <w:sz w:val="28"/>
          <w:lang w:val="es-ES" w:eastAsia="es-ES"/>
        </w:rPr>
        <w:t>Licda. Marta Luz Pérez Peláez</w:t>
      </w:r>
    </w:p>
    <w:p w:rsidR="00923ED8" w:rsidRDefault="00923ED8" w:rsidP="00923ED8">
      <w:pPr>
        <w:kinsoku w:val="0"/>
        <w:overflowPunct w:val="0"/>
        <w:autoSpaceDE/>
        <w:autoSpaceDN/>
        <w:adjustRightInd/>
        <w:spacing w:before="196" w:line="305" w:lineRule="exact"/>
        <w:textAlignment w:val="baseline"/>
        <w:rPr>
          <w:rStyle w:val="CharacterStyle4"/>
          <w:b/>
          <w:spacing w:val="2"/>
          <w:w w:val="105"/>
          <w:sz w:val="28"/>
          <w:lang w:val="es-ES" w:eastAsia="es-ES"/>
        </w:rPr>
      </w:pPr>
      <w:r w:rsidRPr="00E94E94">
        <w:rPr>
          <w:rStyle w:val="CharacterStyle4"/>
          <w:spacing w:val="2"/>
          <w:w w:val="105"/>
          <w:sz w:val="28"/>
          <w:lang w:val="es-ES" w:eastAsia="es-ES"/>
        </w:rPr>
        <w:t xml:space="preserve">       </w:t>
      </w:r>
      <w:r>
        <w:rPr>
          <w:rStyle w:val="CharacterStyle4"/>
          <w:spacing w:val="2"/>
          <w:w w:val="105"/>
          <w:sz w:val="28"/>
          <w:lang w:val="es-ES" w:eastAsia="es-ES"/>
        </w:rPr>
        <w:t xml:space="preserve">           </w:t>
      </w:r>
      <w:r>
        <w:rPr>
          <w:rStyle w:val="CharacterStyle4"/>
          <w:b/>
          <w:spacing w:val="2"/>
          <w:w w:val="105"/>
          <w:sz w:val="28"/>
          <w:lang w:val="es-ES" w:eastAsia="es-ES"/>
        </w:rPr>
        <w:t>JUEZ</w:t>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t xml:space="preserve">                 JUEZA</w:t>
      </w:r>
    </w:p>
    <w:p w:rsidR="00923ED8" w:rsidRDefault="00923ED8" w:rsidP="00923ED8">
      <w:pPr>
        <w:kinsoku w:val="0"/>
        <w:overflowPunct w:val="0"/>
        <w:autoSpaceDE/>
        <w:autoSpaceDN/>
        <w:adjustRightInd/>
        <w:spacing w:before="196" w:line="305" w:lineRule="exact"/>
        <w:textAlignment w:val="baseline"/>
        <w:rPr>
          <w:sz w:val="24"/>
          <w:szCs w:val="24"/>
        </w:rPr>
        <w:sectPr w:rsidR="00923ED8">
          <w:pgSz w:w="12283" w:h="15802"/>
          <w:pgMar w:top="1280" w:right="1677" w:bottom="246" w:left="1606" w:header="720" w:footer="720" w:gutter="0"/>
          <w:cols w:space="720"/>
          <w:noEndnote/>
        </w:sectPr>
      </w:pPr>
    </w:p>
    <w:p w:rsidR="00000000" w:rsidRDefault="000402B5">
      <w:pPr>
        <w:kinsoku w:val="0"/>
        <w:overflowPunct w:val="0"/>
        <w:autoSpaceDE/>
        <w:autoSpaceDN/>
        <w:adjustRightInd/>
        <w:spacing w:before="6278" w:line="288" w:lineRule="exact"/>
        <w:textAlignment w:val="baseline"/>
        <w:rPr>
          <w:sz w:val="24"/>
          <w:szCs w:val="24"/>
        </w:rPr>
      </w:pPr>
    </w:p>
    <w:p w:rsidR="000402B5" w:rsidRDefault="000402B5" w:rsidP="00923ED8">
      <w:pPr>
        <w:kinsoku w:val="0"/>
        <w:overflowPunct w:val="0"/>
        <w:autoSpaceDE/>
        <w:autoSpaceDN/>
        <w:adjustRightInd/>
        <w:spacing w:before="18" w:line="235" w:lineRule="exact"/>
        <w:ind w:left="6840"/>
        <w:textAlignment w:val="baseline"/>
        <w:rPr>
          <w:i/>
          <w:iCs/>
          <w:spacing w:val="-5"/>
          <w:sz w:val="22"/>
          <w:szCs w:val="22"/>
          <w:lang w:val="es-ES" w:eastAsia="es-ES"/>
        </w:rPr>
      </w:pPr>
    </w:p>
    <w:sectPr w:rsidR="000402B5">
      <w:type w:val="continuous"/>
      <w:pgSz w:w="12283" w:h="15802"/>
      <w:pgMar w:top="1280" w:right="2048" w:bottom="246" w:left="79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8F71"/>
    <w:multiLevelType w:val="singleLevel"/>
    <w:tmpl w:val="E9AE3688"/>
    <w:lvl w:ilvl="0">
      <w:start w:val="1"/>
      <w:numFmt w:val="upperRoman"/>
      <w:lvlText w:val="%1.-"/>
      <w:lvlJc w:val="left"/>
      <w:pPr>
        <w:tabs>
          <w:tab w:val="num" w:pos="792"/>
        </w:tabs>
        <w:ind w:left="72"/>
      </w:pPr>
      <w:rPr>
        <w:b/>
        <w:snapToGrid/>
        <w:sz w:val="26"/>
        <w:szCs w:val="26"/>
      </w:rPr>
    </w:lvl>
  </w:abstractNum>
  <w:abstractNum w:abstractNumId="1">
    <w:nsid w:val="004EC8D8"/>
    <w:multiLevelType w:val="singleLevel"/>
    <w:tmpl w:val="6D91BEF5"/>
    <w:lvl w:ilvl="0">
      <w:start w:val="1"/>
      <w:numFmt w:val="lowerLetter"/>
      <w:lvlText w:val="%1)"/>
      <w:lvlJc w:val="left"/>
      <w:pPr>
        <w:tabs>
          <w:tab w:val="num" w:pos="864"/>
        </w:tabs>
        <w:ind w:left="576"/>
      </w:pPr>
      <w:rPr>
        <w:snapToGrid/>
        <w:sz w:val="26"/>
        <w:szCs w:val="26"/>
      </w:rPr>
    </w:lvl>
  </w:abstractNum>
  <w:num w:numId="1">
    <w:abstractNumId w:val="1"/>
  </w:num>
  <w:num w:numId="2">
    <w:abstractNumId w:val="0"/>
  </w:num>
  <w:num w:numId="3">
    <w:abstractNumId w:val="0"/>
    <w:lvlOverride w:ilvl="0">
      <w:lvl w:ilvl="0">
        <w:numFmt w:val="upperRoman"/>
        <w:lvlText w:val="%1.-"/>
        <w:lvlJc w:val="left"/>
        <w:pPr>
          <w:tabs>
            <w:tab w:val="num" w:pos="504"/>
          </w:tabs>
          <w:ind w:left="72"/>
        </w:pPr>
        <w:rPr>
          <w:b/>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87B55"/>
    <w:rsid w:val="000402B5"/>
    <w:rsid w:val="00287B55"/>
    <w:rsid w:val="00760118"/>
    <w:rsid w:val="00923ED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923ED8"/>
    <w:rPr>
      <w:rFonts w:eastAsia="Times New Roman"/>
      <w:sz w:val="21"/>
      <w:szCs w:val="21"/>
    </w:rPr>
  </w:style>
  <w:style w:type="character" w:customStyle="1" w:styleId="CharacterStyle4">
    <w:name w:val="Character Style 4"/>
    <w:uiPriority w:val="99"/>
    <w:rsid w:val="00923ED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5D807-65B2-4BF7-8191-4929A374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874</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2015-11-27T17:38:00Z</dcterms:created>
  <dcterms:modified xsi:type="dcterms:W3CDTF">2015-11-27T17:38:00Z</dcterms:modified>
</cp:coreProperties>
</file>