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222FC">
      <w:pPr>
        <w:kinsoku w:val="0"/>
        <w:overflowPunct w:val="0"/>
        <w:autoSpaceDE/>
        <w:autoSpaceDN/>
        <w:adjustRightInd/>
        <w:spacing w:line="231" w:lineRule="exact"/>
        <w:jc w:val="center"/>
        <w:textAlignment w:val="baseline"/>
        <w:rPr>
          <w:rFonts w:ascii="Verdana" w:hAnsi="Verdana" w:cs="Verdana"/>
          <w:b/>
          <w:bCs/>
          <w:spacing w:val="10"/>
          <w:sz w:val="19"/>
          <w:szCs w:val="19"/>
          <w:lang w:val="es-ES" w:eastAsia="es-ES"/>
        </w:rPr>
      </w:pPr>
      <w:r>
        <w:rPr>
          <w:rFonts w:ascii="Verdana" w:hAnsi="Verdana" w:cs="Verdana"/>
          <w:b/>
          <w:bCs/>
          <w:spacing w:val="10"/>
          <w:sz w:val="19"/>
          <w:szCs w:val="19"/>
          <w:lang w:val="es-ES" w:eastAsia="es-ES"/>
        </w:rPr>
        <w:t>RESOLUCION No. TAT-2438-2015</w:t>
      </w:r>
    </w:p>
    <w:p w:rsidR="00000000" w:rsidRDefault="009222FC">
      <w:pPr>
        <w:kinsoku w:val="0"/>
        <w:overflowPunct w:val="0"/>
        <w:autoSpaceDE/>
        <w:autoSpaceDN/>
        <w:adjustRightInd/>
        <w:spacing w:before="521" w:line="253" w:lineRule="exact"/>
        <w:ind w:right="576"/>
        <w:jc w:val="both"/>
        <w:textAlignment w:val="baseline"/>
        <w:rPr>
          <w:rFonts w:ascii="Verdana" w:hAnsi="Verdana" w:cs="Verdana"/>
          <w:sz w:val="21"/>
          <w:szCs w:val="21"/>
          <w:lang w:val="es-ES" w:eastAsia="es-ES"/>
        </w:rPr>
      </w:pPr>
      <w:r>
        <w:rPr>
          <w:rFonts w:ascii="Verdana" w:hAnsi="Verdana" w:cs="Verdana"/>
          <w:b/>
          <w:bCs/>
          <w:sz w:val="19"/>
          <w:szCs w:val="19"/>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diez horas cuarenta y dos minutos del veintinueve de enero de dos mil quince.</w:t>
      </w:r>
    </w:p>
    <w:p w:rsidR="00000000" w:rsidRDefault="009222FC">
      <w:pPr>
        <w:kinsoku w:val="0"/>
        <w:overflowPunct w:val="0"/>
        <w:autoSpaceDE/>
        <w:autoSpaceDN/>
        <w:adjustRightInd/>
        <w:spacing w:before="242" w:line="253" w:lineRule="exact"/>
        <w:ind w:right="576"/>
        <w:jc w:val="both"/>
        <w:textAlignment w:val="baseline"/>
        <w:rPr>
          <w:rFonts w:ascii="Verdana" w:hAnsi="Verdana" w:cs="Verdana"/>
          <w:b/>
          <w:bCs/>
          <w:spacing w:val="8"/>
          <w:sz w:val="19"/>
          <w:szCs w:val="19"/>
          <w:lang w:val="es-ES" w:eastAsia="es-ES"/>
        </w:rPr>
      </w:pPr>
      <w:r>
        <w:rPr>
          <w:rFonts w:ascii="Verdana" w:hAnsi="Verdana" w:cs="Verdana"/>
          <w:b/>
          <w:bCs/>
          <w:spacing w:val="8"/>
          <w:sz w:val="19"/>
          <w:szCs w:val="19"/>
          <w:lang w:val="es-ES" w:eastAsia="es-ES"/>
        </w:rPr>
        <w:t xml:space="preserve">Recurso de Revisión y Nulidad concomitante, </w:t>
      </w:r>
      <w:r>
        <w:rPr>
          <w:rFonts w:ascii="Verdana" w:hAnsi="Verdana" w:cs="Verdana"/>
          <w:spacing w:val="8"/>
          <w:sz w:val="21"/>
          <w:szCs w:val="21"/>
          <w:lang w:val="es-ES" w:eastAsia="es-ES"/>
        </w:rPr>
        <w:t xml:space="preserve">interpuesto por el señor </w:t>
      </w:r>
      <w:r>
        <w:rPr>
          <w:rFonts w:ascii="Verdana" w:hAnsi="Verdana" w:cs="Verdana"/>
          <w:b/>
          <w:bCs/>
          <w:spacing w:val="8"/>
          <w:sz w:val="19"/>
          <w:szCs w:val="19"/>
          <w:lang w:val="es-ES" w:eastAsia="es-ES"/>
        </w:rPr>
        <w:t>V</w:t>
      </w:r>
      <w:r w:rsidR="0084659D">
        <w:rPr>
          <w:rFonts w:ascii="Verdana" w:hAnsi="Verdana" w:cs="Verdana"/>
          <w:b/>
          <w:bCs/>
          <w:spacing w:val="8"/>
          <w:sz w:val="19"/>
          <w:szCs w:val="19"/>
          <w:lang w:val="es-ES" w:eastAsia="es-ES"/>
        </w:rPr>
        <w:t>.E.V.C.</w:t>
      </w:r>
      <w:r>
        <w:rPr>
          <w:rFonts w:ascii="Verdana" w:hAnsi="Verdana" w:cs="Verdana"/>
          <w:b/>
          <w:bCs/>
          <w:spacing w:val="8"/>
          <w:sz w:val="19"/>
          <w:szCs w:val="19"/>
          <w:lang w:val="es-ES" w:eastAsia="es-ES"/>
        </w:rPr>
        <w:t xml:space="preserve">, </w:t>
      </w:r>
      <w:r>
        <w:rPr>
          <w:rFonts w:ascii="Verdana" w:hAnsi="Verdana" w:cs="Verdana"/>
          <w:spacing w:val="8"/>
          <w:sz w:val="21"/>
          <w:szCs w:val="21"/>
          <w:lang w:val="es-ES" w:eastAsia="es-ES"/>
        </w:rPr>
        <w:t xml:space="preserve">cédula de identidad </w:t>
      </w:r>
      <w:proofErr w:type="gramStart"/>
      <w:r>
        <w:rPr>
          <w:rFonts w:ascii="Verdana" w:hAnsi="Verdana" w:cs="Verdana"/>
          <w:spacing w:val="8"/>
          <w:sz w:val="21"/>
          <w:szCs w:val="21"/>
          <w:lang w:val="es-ES" w:eastAsia="es-ES"/>
        </w:rPr>
        <w:t xml:space="preserve">número </w:t>
      </w:r>
      <w:r w:rsidR="0084659D">
        <w:rPr>
          <w:rFonts w:ascii="Verdana" w:hAnsi="Verdana" w:cs="Verdana"/>
          <w:spacing w:val="8"/>
          <w:sz w:val="21"/>
          <w:szCs w:val="21"/>
          <w:lang w:val="es-ES" w:eastAsia="es-ES"/>
        </w:rPr>
        <w:t>…</w:t>
      </w:r>
      <w:proofErr w:type="gramEnd"/>
      <w:r>
        <w:rPr>
          <w:rFonts w:ascii="Verdana" w:hAnsi="Verdana" w:cs="Verdana"/>
          <w:spacing w:val="8"/>
          <w:sz w:val="21"/>
          <w:szCs w:val="21"/>
          <w:lang w:val="es-ES" w:eastAsia="es-ES"/>
        </w:rPr>
        <w:t xml:space="preserve">, contra el </w:t>
      </w:r>
      <w:r>
        <w:rPr>
          <w:rFonts w:ascii="Verdana" w:hAnsi="Verdana" w:cs="Verdana"/>
          <w:b/>
          <w:bCs/>
          <w:spacing w:val="8"/>
          <w:sz w:val="19"/>
          <w:szCs w:val="19"/>
          <w:lang w:val="es-ES" w:eastAsia="es-ES"/>
        </w:rPr>
        <w:t>Artículo 6.8.52 de l</w:t>
      </w:r>
      <w:r>
        <w:rPr>
          <w:rFonts w:ascii="Verdana" w:hAnsi="Verdana" w:cs="Verdana"/>
          <w:b/>
          <w:bCs/>
          <w:spacing w:val="8"/>
          <w:sz w:val="19"/>
          <w:szCs w:val="19"/>
          <w:lang w:val="es-ES" w:eastAsia="es-ES"/>
        </w:rPr>
        <w:t xml:space="preserve">a Sesión Ordinaria N. 24-2010 </w:t>
      </w:r>
      <w:r>
        <w:rPr>
          <w:rFonts w:ascii="Verdana" w:hAnsi="Verdana" w:cs="Verdana"/>
          <w:spacing w:val="8"/>
          <w:sz w:val="21"/>
          <w:szCs w:val="21"/>
          <w:lang w:val="es-ES" w:eastAsia="es-ES"/>
        </w:rPr>
        <w:t xml:space="preserve">de 22 de abril de 2010, dictado por la </w:t>
      </w:r>
      <w:r>
        <w:rPr>
          <w:spacing w:val="8"/>
          <w:sz w:val="19"/>
          <w:szCs w:val="19"/>
          <w:lang w:val="es-ES" w:eastAsia="es-ES"/>
        </w:rPr>
        <w:t xml:space="preserve">JUNTA DIRECTIVA DEL CONSEJO DE TRANSPORTE PÚBLICO. </w:t>
      </w:r>
      <w:r>
        <w:rPr>
          <w:rFonts w:ascii="Verdana" w:hAnsi="Verdana" w:cs="Verdana"/>
          <w:b/>
          <w:bCs/>
          <w:spacing w:val="8"/>
          <w:sz w:val="19"/>
          <w:szCs w:val="19"/>
          <w:lang w:val="es-ES" w:eastAsia="es-ES"/>
        </w:rPr>
        <w:t>El caso se tramita en Expediente Administrativo N. TAT-221-14.</w:t>
      </w:r>
    </w:p>
    <w:p w:rsidR="00000000" w:rsidRDefault="009222FC">
      <w:pPr>
        <w:kinsoku w:val="0"/>
        <w:overflowPunct w:val="0"/>
        <w:autoSpaceDE/>
        <w:autoSpaceDN/>
        <w:adjustRightInd/>
        <w:spacing w:before="277" w:line="236" w:lineRule="exact"/>
        <w:jc w:val="center"/>
        <w:textAlignment w:val="baseline"/>
        <w:rPr>
          <w:rFonts w:ascii="Verdana" w:hAnsi="Verdana" w:cs="Verdana"/>
          <w:b/>
          <w:bCs/>
          <w:spacing w:val="3"/>
          <w:sz w:val="19"/>
          <w:szCs w:val="19"/>
          <w:lang w:val="es-ES" w:eastAsia="es-ES"/>
        </w:rPr>
      </w:pPr>
      <w:proofErr w:type="gramStart"/>
      <w:r>
        <w:rPr>
          <w:rFonts w:ascii="Verdana" w:hAnsi="Verdana" w:cs="Verdana"/>
          <w:b/>
          <w:bCs/>
          <w:spacing w:val="3"/>
          <w:sz w:val="19"/>
          <w:szCs w:val="19"/>
          <w:lang w:val="es-ES" w:eastAsia="es-ES"/>
        </w:rPr>
        <w:t>RESULTAN</w:t>
      </w:r>
      <w:proofErr w:type="gramEnd"/>
      <w:r>
        <w:rPr>
          <w:rFonts w:ascii="Verdana" w:hAnsi="Verdana" w:cs="Verdana"/>
          <w:b/>
          <w:bCs/>
          <w:spacing w:val="3"/>
          <w:sz w:val="19"/>
          <w:szCs w:val="19"/>
          <w:lang w:val="es-ES" w:eastAsia="es-ES"/>
        </w:rPr>
        <w:t xml:space="preserve"> DO</w:t>
      </w:r>
    </w:p>
    <w:p w:rsidR="00000000" w:rsidRDefault="009222FC">
      <w:pPr>
        <w:kinsoku w:val="0"/>
        <w:overflowPunct w:val="0"/>
        <w:autoSpaceDE/>
        <w:autoSpaceDN/>
        <w:adjustRightInd/>
        <w:spacing w:before="509" w:line="253" w:lineRule="exact"/>
        <w:ind w:right="576"/>
        <w:jc w:val="both"/>
        <w:textAlignment w:val="baseline"/>
        <w:rPr>
          <w:rFonts w:ascii="Verdana" w:hAnsi="Verdana" w:cs="Verdana"/>
          <w:i/>
          <w:iCs/>
          <w:spacing w:val="1"/>
          <w:sz w:val="21"/>
          <w:szCs w:val="21"/>
          <w:lang w:val="es-ES" w:eastAsia="es-ES"/>
        </w:rPr>
      </w:pPr>
      <w:r>
        <w:rPr>
          <w:rFonts w:ascii="Verdana" w:hAnsi="Verdana" w:cs="Verdana"/>
          <w:b/>
          <w:bCs/>
          <w:spacing w:val="1"/>
          <w:sz w:val="19"/>
          <w:szCs w:val="19"/>
          <w:lang w:val="es-ES" w:eastAsia="es-ES"/>
        </w:rPr>
        <w:t xml:space="preserve">PRIMERO: </w:t>
      </w:r>
      <w:r>
        <w:rPr>
          <w:rFonts w:ascii="Verdana" w:hAnsi="Verdana" w:cs="Verdana"/>
          <w:spacing w:val="1"/>
          <w:sz w:val="21"/>
          <w:szCs w:val="21"/>
          <w:lang w:val="es-ES" w:eastAsia="es-ES"/>
        </w:rPr>
        <w:t xml:space="preserve">La </w:t>
      </w:r>
      <w:r>
        <w:rPr>
          <w:spacing w:val="1"/>
          <w:sz w:val="19"/>
          <w:szCs w:val="19"/>
          <w:lang w:val="es-ES" w:eastAsia="es-ES"/>
        </w:rPr>
        <w:t>JUNTA DIRECTIVA DEL CONSEJO DE TRANSPORTE PÚ</w:t>
      </w:r>
      <w:r>
        <w:rPr>
          <w:spacing w:val="1"/>
          <w:sz w:val="19"/>
          <w:szCs w:val="19"/>
          <w:lang w:val="es-ES" w:eastAsia="es-ES"/>
        </w:rPr>
        <w:t xml:space="preserve">BLICO, </w:t>
      </w:r>
      <w:r>
        <w:rPr>
          <w:rFonts w:ascii="Verdana" w:hAnsi="Verdana" w:cs="Verdana"/>
          <w:spacing w:val="1"/>
          <w:sz w:val="21"/>
          <w:szCs w:val="21"/>
          <w:lang w:val="es-ES" w:eastAsia="es-ES"/>
        </w:rPr>
        <w:t xml:space="preserve">mediante </w:t>
      </w:r>
      <w:r>
        <w:rPr>
          <w:rFonts w:ascii="Verdana" w:hAnsi="Verdana" w:cs="Verdana"/>
          <w:b/>
          <w:bCs/>
          <w:spacing w:val="1"/>
          <w:sz w:val="19"/>
          <w:szCs w:val="19"/>
          <w:lang w:val="es-ES" w:eastAsia="es-ES"/>
        </w:rPr>
        <w:t xml:space="preserve">Artículo 6.8.52 de la Sesión Ordinaria N. 24-2010 </w:t>
      </w:r>
      <w:r>
        <w:rPr>
          <w:rFonts w:ascii="Verdana" w:hAnsi="Verdana" w:cs="Verdana"/>
          <w:spacing w:val="1"/>
          <w:sz w:val="21"/>
          <w:szCs w:val="21"/>
          <w:lang w:val="es-ES" w:eastAsia="es-ES"/>
        </w:rPr>
        <w:t>de 22 de abril de 2010, acuerda decretar la caducidad del derecho de concesión de la Placa de Taxi TSJ-</w:t>
      </w:r>
      <w:r w:rsidR="0084659D">
        <w:rPr>
          <w:rFonts w:ascii="Verdana" w:hAnsi="Verdana" w:cs="Verdana"/>
          <w:spacing w:val="1"/>
          <w:sz w:val="21"/>
          <w:szCs w:val="21"/>
          <w:lang w:val="es-ES" w:eastAsia="es-ES"/>
        </w:rPr>
        <w:t>XXXX</w:t>
      </w:r>
      <w:r>
        <w:rPr>
          <w:rFonts w:ascii="Verdana" w:hAnsi="Verdana" w:cs="Verdana"/>
          <w:spacing w:val="1"/>
          <w:sz w:val="21"/>
          <w:szCs w:val="21"/>
          <w:lang w:val="es-ES" w:eastAsia="es-ES"/>
        </w:rPr>
        <w:t xml:space="preserve"> al tener por demostrada la transferencia de hecho por parte del señor M</w:t>
      </w:r>
      <w:r w:rsidR="0084659D">
        <w:rPr>
          <w:rFonts w:ascii="Verdana" w:hAnsi="Verdana" w:cs="Verdana"/>
          <w:spacing w:val="1"/>
          <w:sz w:val="21"/>
          <w:szCs w:val="21"/>
          <w:lang w:val="es-ES" w:eastAsia="es-ES"/>
        </w:rPr>
        <w:t>.C.V.</w:t>
      </w:r>
      <w:r>
        <w:rPr>
          <w:rFonts w:ascii="Verdana" w:hAnsi="Verdana" w:cs="Verdana"/>
          <w:spacing w:val="1"/>
          <w:sz w:val="21"/>
          <w:szCs w:val="21"/>
          <w:lang w:val="es-ES" w:eastAsia="es-ES"/>
        </w:rPr>
        <w:t xml:space="preserve"> de la concesión otorgada por la Administración. </w:t>
      </w:r>
      <w:r>
        <w:rPr>
          <w:rFonts w:ascii="Verdana" w:hAnsi="Verdana" w:cs="Verdana"/>
          <w:i/>
          <w:iCs/>
          <w:spacing w:val="1"/>
          <w:sz w:val="21"/>
          <w:szCs w:val="21"/>
          <w:lang w:val="es-ES" w:eastAsia="es-ES"/>
        </w:rPr>
        <w:t>(Léanse folios del 24 al 26 del expediente administrativo)</w:t>
      </w:r>
    </w:p>
    <w:p w:rsidR="00000000" w:rsidRDefault="009222FC">
      <w:pPr>
        <w:kinsoku w:val="0"/>
        <w:overflowPunct w:val="0"/>
        <w:autoSpaceDE/>
        <w:autoSpaceDN/>
        <w:adjustRightInd/>
        <w:spacing w:before="360" w:line="260" w:lineRule="exact"/>
        <w:ind w:right="576"/>
        <w:jc w:val="both"/>
        <w:textAlignment w:val="baseline"/>
        <w:rPr>
          <w:rFonts w:ascii="Verdana" w:hAnsi="Verdana" w:cs="Verdana"/>
          <w:spacing w:val="4"/>
          <w:sz w:val="21"/>
          <w:szCs w:val="21"/>
          <w:lang w:val="es-ES" w:eastAsia="es-ES"/>
        </w:rPr>
      </w:pPr>
      <w:r>
        <w:rPr>
          <w:rFonts w:ascii="Verdana" w:hAnsi="Verdana" w:cs="Verdana"/>
          <w:b/>
          <w:bCs/>
          <w:spacing w:val="4"/>
          <w:sz w:val="19"/>
          <w:szCs w:val="19"/>
          <w:lang w:val="es-ES" w:eastAsia="es-ES"/>
        </w:rPr>
        <w:t xml:space="preserve">SEGUNDO: </w:t>
      </w:r>
      <w:r w:rsidRPr="0084659D">
        <w:rPr>
          <w:rFonts w:ascii="Verdana" w:hAnsi="Verdana" w:cs="Verdana"/>
          <w:spacing w:val="4"/>
          <w:sz w:val="21"/>
          <w:szCs w:val="21"/>
          <w:lang w:val="es-ES" w:eastAsia="es-ES"/>
        </w:rPr>
        <w:t>El señor</w:t>
      </w:r>
      <w:r>
        <w:rPr>
          <w:spacing w:val="4"/>
          <w:sz w:val="19"/>
          <w:szCs w:val="19"/>
          <w:lang w:val="es-ES" w:eastAsia="es-ES"/>
        </w:rPr>
        <w:t xml:space="preserve"> </w:t>
      </w:r>
      <w:r>
        <w:rPr>
          <w:rFonts w:ascii="Verdana" w:hAnsi="Verdana" w:cs="Verdana"/>
          <w:b/>
          <w:bCs/>
          <w:spacing w:val="4"/>
          <w:sz w:val="19"/>
          <w:szCs w:val="19"/>
          <w:lang w:val="es-ES" w:eastAsia="es-ES"/>
        </w:rPr>
        <w:t>V</w:t>
      </w:r>
      <w:r w:rsidR="0084659D">
        <w:rPr>
          <w:rFonts w:ascii="Verdana" w:hAnsi="Verdana" w:cs="Verdana"/>
          <w:b/>
          <w:bCs/>
          <w:spacing w:val="4"/>
          <w:sz w:val="19"/>
          <w:szCs w:val="19"/>
          <w:lang w:val="es-ES" w:eastAsia="es-ES"/>
        </w:rPr>
        <w:t>.E.V.C.</w:t>
      </w:r>
      <w:r>
        <w:rPr>
          <w:rFonts w:ascii="Verdana" w:hAnsi="Verdana" w:cs="Verdana"/>
          <w:b/>
          <w:bCs/>
          <w:spacing w:val="4"/>
          <w:sz w:val="19"/>
          <w:szCs w:val="19"/>
          <w:lang w:val="es-ES" w:eastAsia="es-ES"/>
        </w:rPr>
        <w:t xml:space="preserve">, </w:t>
      </w:r>
      <w:r>
        <w:rPr>
          <w:rFonts w:ascii="Verdana" w:hAnsi="Verdana" w:cs="Verdana"/>
          <w:spacing w:val="4"/>
          <w:sz w:val="21"/>
          <w:szCs w:val="21"/>
          <w:lang w:val="es-ES" w:eastAsia="es-ES"/>
        </w:rPr>
        <w:t xml:space="preserve">cédula de identidad número </w:t>
      </w:r>
      <w:r w:rsidR="0084659D">
        <w:rPr>
          <w:rFonts w:ascii="Verdana" w:hAnsi="Verdana" w:cs="Verdana"/>
          <w:spacing w:val="4"/>
          <w:sz w:val="21"/>
          <w:szCs w:val="21"/>
          <w:lang w:val="es-ES" w:eastAsia="es-ES"/>
        </w:rPr>
        <w:t>…</w:t>
      </w:r>
      <w:r>
        <w:rPr>
          <w:rFonts w:ascii="Verdana" w:hAnsi="Verdana" w:cs="Verdana"/>
          <w:spacing w:val="4"/>
          <w:sz w:val="21"/>
          <w:szCs w:val="21"/>
          <w:lang w:val="es-ES" w:eastAsia="es-ES"/>
        </w:rPr>
        <w:t>, presenta ante el Consejo de Transporte Público recurso</w:t>
      </w:r>
      <w:r>
        <w:rPr>
          <w:rFonts w:ascii="Verdana" w:hAnsi="Verdana" w:cs="Verdana"/>
          <w:spacing w:val="4"/>
          <w:sz w:val="21"/>
          <w:szCs w:val="21"/>
          <w:lang w:val="es-ES" w:eastAsia="es-ES"/>
        </w:rPr>
        <w:t xml:space="preserve"> de Revisión y Nulidad concomitante en contra el </w:t>
      </w:r>
      <w:r>
        <w:rPr>
          <w:rFonts w:ascii="Verdana" w:hAnsi="Verdana" w:cs="Verdana"/>
          <w:b/>
          <w:bCs/>
          <w:spacing w:val="4"/>
          <w:sz w:val="19"/>
          <w:szCs w:val="19"/>
          <w:lang w:val="es-ES" w:eastAsia="es-ES"/>
        </w:rPr>
        <w:t xml:space="preserve">Artículo 6.8.52 de la Sesión Ordinaria N. 24-2010 </w:t>
      </w:r>
      <w:r>
        <w:rPr>
          <w:rFonts w:ascii="Verdana" w:hAnsi="Verdana" w:cs="Verdana"/>
          <w:spacing w:val="4"/>
          <w:sz w:val="21"/>
          <w:szCs w:val="21"/>
          <w:lang w:val="es-ES" w:eastAsia="es-ES"/>
        </w:rPr>
        <w:t xml:space="preserve">de 22 de abril de 2010, dictado por la </w:t>
      </w:r>
      <w:r>
        <w:rPr>
          <w:spacing w:val="4"/>
          <w:sz w:val="19"/>
          <w:szCs w:val="19"/>
          <w:lang w:val="es-ES" w:eastAsia="es-ES"/>
        </w:rPr>
        <w:t xml:space="preserve">JUNTA DIRECTIVA DEL CONSEJO DE TRANSPORTE PÚBLICO, </w:t>
      </w:r>
      <w:r>
        <w:rPr>
          <w:rFonts w:ascii="Verdana" w:hAnsi="Verdana" w:cs="Verdana"/>
          <w:spacing w:val="4"/>
          <w:sz w:val="21"/>
          <w:szCs w:val="21"/>
          <w:lang w:val="es-ES" w:eastAsia="es-ES"/>
        </w:rPr>
        <w:t>al considerar que no se le otorgo el derecho de defensa. (Léanse fo</w:t>
      </w:r>
      <w:r>
        <w:rPr>
          <w:rFonts w:ascii="Verdana" w:hAnsi="Verdana" w:cs="Verdana"/>
          <w:spacing w:val="4"/>
          <w:sz w:val="21"/>
          <w:szCs w:val="21"/>
          <w:lang w:val="es-ES" w:eastAsia="es-ES"/>
        </w:rPr>
        <w:t>lios del 14 al 23 del expediente administrativo).</w:t>
      </w:r>
    </w:p>
    <w:p w:rsidR="00000000" w:rsidRDefault="009222FC">
      <w:pPr>
        <w:kinsoku w:val="0"/>
        <w:overflowPunct w:val="0"/>
        <w:autoSpaceDE/>
        <w:autoSpaceDN/>
        <w:adjustRightInd/>
        <w:spacing w:before="241" w:line="261" w:lineRule="exact"/>
        <w:ind w:right="576"/>
        <w:jc w:val="both"/>
        <w:textAlignment w:val="baseline"/>
        <w:rPr>
          <w:rFonts w:ascii="Verdana" w:hAnsi="Verdana" w:cs="Verdana"/>
          <w:sz w:val="21"/>
          <w:szCs w:val="21"/>
          <w:lang w:val="es-ES" w:eastAsia="es-ES"/>
        </w:rPr>
      </w:pPr>
      <w:r>
        <w:rPr>
          <w:rFonts w:ascii="Verdana" w:hAnsi="Verdana" w:cs="Verdana"/>
          <w:b/>
          <w:bCs/>
          <w:sz w:val="19"/>
          <w:szCs w:val="19"/>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19"/>
          <w:szCs w:val="19"/>
          <w:lang w:val="es-ES" w:eastAsia="es-ES"/>
        </w:rPr>
        <w:t xml:space="preserve">acuerdo 7.14.1 de la Sesión Ordinaria N. 59-2014 </w:t>
      </w:r>
      <w:r>
        <w:rPr>
          <w:rFonts w:ascii="Verdana" w:hAnsi="Verdana" w:cs="Verdana"/>
          <w:sz w:val="21"/>
          <w:szCs w:val="21"/>
          <w:lang w:val="es-ES" w:eastAsia="es-ES"/>
        </w:rPr>
        <w:t>de 15 de octubre d</w:t>
      </w:r>
      <w:r w:rsidR="0084659D">
        <w:rPr>
          <w:rFonts w:ascii="Verdana" w:hAnsi="Verdana" w:cs="Verdana"/>
          <w:sz w:val="21"/>
          <w:szCs w:val="21"/>
          <w:lang w:val="es-ES" w:eastAsia="es-ES"/>
        </w:rPr>
        <w:t>e</w:t>
      </w:r>
      <w:r>
        <w:rPr>
          <w:rFonts w:ascii="Verdana" w:hAnsi="Verdana" w:cs="Verdana"/>
          <w:sz w:val="21"/>
          <w:szCs w:val="21"/>
          <w:lang w:val="es-ES" w:eastAsia="es-ES"/>
        </w:rPr>
        <w:t xml:space="preserve"> 2014, conoce y aprueba el informe jurídico de la Dirección de Asu</w:t>
      </w:r>
      <w:r>
        <w:rPr>
          <w:rFonts w:ascii="Verdana" w:hAnsi="Verdana" w:cs="Verdana"/>
          <w:sz w:val="21"/>
          <w:szCs w:val="21"/>
          <w:lang w:val="es-ES" w:eastAsia="es-ES"/>
        </w:rPr>
        <w:t xml:space="preserve">ntos Jurídicos DAJ-2010-003688 y rechaza el recurso de Revisión y la Nulidad presentada por </w:t>
      </w:r>
      <w:r>
        <w:rPr>
          <w:rFonts w:ascii="Verdana" w:hAnsi="Verdana" w:cs="Verdana"/>
          <w:b/>
          <w:bCs/>
          <w:sz w:val="19"/>
          <w:szCs w:val="19"/>
          <w:lang w:val="es-ES" w:eastAsia="es-ES"/>
        </w:rPr>
        <w:t>V</w:t>
      </w:r>
      <w:r w:rsidR="0084659D">
        <w:rPr>
          <w:rFonts w:ascii="Verdana" w:hAnsi="Verdana" w:cs="Verdana"/>
          <w:b/>
          <w:bCs/>
          <w:sz w:val="19"/>
          <w:szCs w:val="19"/>
          <w:lang w:val="es-ES" w:eastAsia="es-ES"/>
        </w:rPr>
        <w:t>.E.V.C.</w:t>
      </w:r>
      <w:r>
        <w:rPr>
          <w:rFonts w:ascii="Verdana" w:hAnsi="Verdana" w:cs="Verdana"/>
          <w:b/>
          <w:bCs/>
          <w:sz w:val="19"/>
          <w:szCs w:val="19"/>
          <w:lang w:val="es-ES" w:eastAsia="es-ES"/>
        </w:rPr>
        <w:t xml:space="preserve">, POR CONSIDERAR QUE ÉSTE CARECE DE LEGITIMACIÓN. </w:t>
      </w:r>
      <w:r>
        <w:rPr>
          <w:rFonts w:ascii="Verdana" w:hAnsi="Verdana" w:cs="Verdana"/>
          <w:sz w:val="21"/>
          <w:szCs w:val="21"/>
          <w:lang w:val="es-ES" w:eastAsia="es-ES"/>
        </w:rPr>
        <w:t>(Léanse folios del 2 al 12 del expediente administrativo).</w:t>
      </w:r>
    </w:p>
    <w:p w:rsidR="00000000" w:rsidRDefault="009222FC">
      <w:pPr>
        <w:kinsoku w:val="0"/>
        <w:overflowPunct w:val="0"/>
        <w:autoSpaceDE/>
        <w:autoSpaceDN/>
        <w:adjustRightInd/>
        <w:spacing w:before="276" w:line="246" w:lineRule="exact"/>
        <w:ind w:right="576"/>
        <w:jc w:val="both"/>
        <w:textAlignment w:val="baseline"/>
        <w:rPr>
          <w:rFonts w:ascii="Verdana" w:hAnsi="Verdana" w:cs="Verdana"/>
          <w:sz w:val="21"/>
          <w:szCs w:val="21"/>
          <w:lang w:val="es-ES" w:eastAsia="es-ES"/>
        </w:rPr>
      </w:pPr>
      <w:r>
        <w:rPr>
          <w:rFonts w:ascii="Verdana" w:hAnsi="Verdana" w:cs="Verdana"/>
          <w:b/>
          <w:bCs/>
          <w:sz w:val="19"/>
          <w:szCs w:val="19"/>
          <w:lang w:val="es-ES" w:eastAsia="es-ES"/>
        </w:rPr>
        <w:t xml:space="preserve">CUARTO: </w:t>
      </w:r>
      <w:r>
        <w:rPr>
          <w:rFonts w:ascii="Verdana" w:hAnsi="Verdana" w:cs="Verdana"/>
          <w:sz w:val="21"/>
          <w:szCs w:val="21"/>
          <w:lang w:val="es-ES" w:eastAsia="es-ES"/>
        </w:rPr>
        <w:t>En los procedimie</w:t>
      </w:r>
      <w:r>
        <w:rPr>
          <w:rFonts w:ascii="Verdana" w:hAnsi="Verdana" w:cs="Verdana"/>
          <w:sz w:val="21"/>
          <w:szCs w:val="21"/>
          <w:lang w:val="es-ES" w:eastAsia="es-ES"/>
        </w:rPr>
        <w:t>ntos seguidos se han observado las prescripciones legales.</w:t>
      </w:r>
    </w:p>
    <w:p w:rsidR="00000000" w:rsidRDefault="009222FC">
      <w:pPr>
        <w:kinsoku w:val="0"/>
        <w:overflowPunct w:val="0"/>
        <w:autoSpaceDE/>
        <w:autoSpaceDN/>
        <w:adjustRightInd/>
        <w:spacing w:before="265" w:after="1412" w:line="253" w:lineRule="exact"/>
        <w:textAlignment w:val="baseline"/>
        <w:rPr>
          <w:rFonts w:ascii="Verdana" w:hAnsi="Verdana" w:cs="Verdana"/>
          <w:sz w:val="21"/>
          <w:szCs w:val="21"/>
          <w:lang w:val="es-ES" w:eastAsia="es-ES"/>
        </w:rPr>
      </w:pPr>
      <w:r>
        <w:rPr>
          <w:rFonts w:ascii="Verdana" w:hAnsi="Verdana" w:cs="Verdana"/>
          <w:sz w:val="21"/>
          <w:szCs w:val="21"/>
          <w:lang w:val="es-ES" w:eastAsia="es-ES"/>
        </w:rPr>
        <w:t>Redacta la Jueza Pérez Peláez.</w:t>
      </w:r>
    </w:p>
    <w:p w:rsidR="00000000" w:rsidRDefault="009222FC">
      <w:pPr>
        <w:widowControl/>
        <w:rPr>
          <w:sz w:val="24"/>
          <w:szCs w:val="24"/>
        </w:rPr>
        <w:sectPr w:rsidR="00000000">
          <w:pgSz w:w="12240" w:h="15840"/>
          <w:pgMar w:top="880" w:right="1478" w:bottom="210" w:left="2122" w:header="720" w:footer="720" w:gutter="0"/>
          <w:cols w:space="720"/>
          <w:noEndnote/>
        </w:sectPr>
      </w:pPr>
    </w:p>
    <w:p w:rsidR="00000000" w:rsidRDefault="009222FC">
      <w:pPr>
        <w:tabs>
          <w:tab w:val="right" w:pos="2664"/>
        </w:tabs>
        <w:kinsoku w:val="0"/>
        <w:overflowPunct w:val="0"/>
        <w:autoSpaceDE/>
        <w:autoSpaceDN/>
        <w:adjustRightInd/>
        <w:spacing w:line="217" w:lineRule="exact"/>
        <w:textAlignment w:val="baseline"/>
        <w:rPr>
          <w:sz w:val="19"/>
          <w:szCs w:val="19"/>
          <w:lang w:val="es-ES" w:eastAsia="es-ES"/>
        </w:rPr>
      </w:pPr>
      <w:r>
        <w:rPr>
          <w:sz w:val="19"/>
          <w:szCs w:val="19"/>
          <w:lang w:val="es-ES" w:eastAsia="es-ES"/>
        </w:rPr>
        <w:lastRenderedPageBreak/>
        <w:tab/>
      </w:r>
    </w:p>
    <w:p w:rsidR="00000000" w:rsidRDefault="009222FC">
      <w:pPr>
        <w:widowControl/>
        <w:rPr>
          <w:sz w:val="24"/>
          <w:szCs w:val="24"/>
        </w:rPr>
        <w:sectPr w:rsidR="00000000">
          <w:type w:val="continuous"/>
          <w:pgSz w:w="12240" w:h="15840"/>
          <w:pgMar w:top="880" w:right="2144" w:bottom="210" w:left="7416" w:header="720" w:footer="720" w:gutter="0"/>
          <w:cols w:space="720"/>
          <w:noEndnote/>
        </w:sectPr>
      </w:pPr>
    </w:p>
    <w:p w:rsidR="00000000" w:rsidRDefault="009222FC">
      <w:pPr>
        <w:kinsoku w:val="0"/>
        <w:overflowPunct w:val="0"/>
        <w:autoSpaceDE/>
        <w:autoSpaceDN/>
        <w:adjustRightInd/>
        <w:spacing w:before="38" w:line="243" w:lineRule="exact"/>
        <w:jc w:val="center"/>
        <w:textAlignment w:val="baseline"/>
        <w:rPr>
          <w:rFonts w:ascii="Verdana" w:hAnsi="Verdana" w:cs="Verdana"/>
          <w:b/>
          <w:bCs/>
          <w:spacing w:val="-10"/>
          <w:sz w:val="22"/>
          <w:szCs w:val="22"/>
          <w:lang w:val="es-ES" w:eastAsia="es-ES"/>
        </w:rPr>
      </w:pPr>
      <w:r>
        <w:rPr>
          <w:rFonts w:ascii="Verdana" w:hAnsi="Verdana" w:cs="Verdana"/>
          <w:b/>
          <w:bCs/>
          <w:spacing w:val="-10"/>
          <w:sz w:val="22"/>
          <w:szCs w:val="22"/>
          <w:lang w:val="es-ES" w:eastAsia="es-ES"/>
        </w:rPr>
        <w:lastRenderedPageBreak/>
        <w:t>CONSIDERANDO UNICO</w:t>
      </w:r>
    </w:p>
    <w:p w:rsidR="00000000" w:rsidRDefault="009222FC">
      <w:pPr>
        <w:kinsoku w:val="0"/>
        <w:overflowPunct w:val="0"/>
        <w:autoSpaceDE/>
        <w:autoSpaceDN/>
        <w:adjustRightInd/>
        <w:spacing w:before="260" w:line="252" w:lineRule="exact"/>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Debe procederse al archivo del presente asunto, ya que el recurrente accionó ú</w:t>
      </w:r>
      <w:r>
        <w:rPr>
          <w:rFonts w:ascii="Verdana" w:hAnsi="Verdana" w:cs="Verdana"/>
          <w:spacing w:val="-6"/>
          <w:sz w:val="22"/>
          <w:szCs w:val="22"/>
          <w:lang w:val="es-ES" w:eastAsia="es-ES"/>
        </w:rPr>
        <w:t>nicamente ante el Consejo de Transporte Público y no ante el Tribunal Administrativo de Transporte, por lo que éste se ve inhibido para conocer del asunto, pues no ha sido pedido así por el Administrado.</w:t>
      </w:r>
    </w:p>
    <w:p w:rsidR="00000000" w:rsidRDefault="009222FC">
      <w:pPr>
        <w:kinsoku w:val="0"/>
        <w:overflowPunct w:val="0"/>
        <w:autoSpaceDE/>
        <w:autoSpaceDN/>
        <w:adjustRightInd/>
        <w:spacing w:before="254"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18"/>
          <w:szCs w:val="18"/>
          <w:lang w:val="es-ES" w:eastAsia="es-ES"/>
        </w:rPr>
        <w:t>V</w:t>
      </w:r>
      <w:r w:rsidR="0084659D">
        <w:rPr>
          <w:rFonts w:ascii="Verdana" w:hAnsi="Verdana" w:cs="Verdana"/>
          <w:b/>
          <w:bCs/>
          <w:sz w:val="18"/>
          <w:szCs w:val="18"/>
          <w:lang w:val="es-ES" w:eastAsia="es-ES"/>
        </w:rPr>
        <w:t>.E.V.C.</w:t>
      </w:r>
      <w:r>
        <w:rPr>
          <w:rFonts w:ascii="Verdana" w:hAnsi="Verdana" w:cs="Verdana"/>
          <w:b/>
          <w:bCs/>
          <w:sz w:val="18"/>
          <w:szCs w:val="18"/>
          <w:lang w:val="es-ES" w:eastAsia="es-ES"/>
        </w:rPr>
        <w:t xml:space="preserve">, </w:t>
      </w:r>
      <w:r>
        <w:rPr>
          <w:rFonts w:ascii="Verdana" w:hAnsi="Verdana" w:cs="Verdana"/>
          <w:sz w:val="22"/>
          <w:szCs w:val="22"/>
          <w:lang w:val="es-ES" w:eastAsia="es-ES"/>
        </w:rPr>
        <w:t>como se col</w:t>
      </w:r>
      <w:r>
        <w:rPr>
          <w:rFonts w:ascii="Verdana" w:hAnsi="Verdana" w:cs="Verdana"/>
          <w:sz w:val="22"/>
          <w:szCs w:val="22"/>
          <w:lang w:val="es-ES" w:eastAsia="es-ES"/>
        </w:rPr>
        <w:t>ige de las piezas del expediente, lo que interpone es un recurso de Revisión ante el Consejo de Transporte Público y no un Recurso de Apelación, por lo que no ha sido utilizada la herramienta procesal para activar la acción de éste Órgano.</w:t>
      </w:r>
    </w:p>
    <w:p w:rsidR="00000000" w:rsidRDefault="009222FC">
      <w:pPr>
        <w:kinsoku w:val="0"/>
        <w:overflowPunct w:val="0"/>
        <w:autoSpaceDE/>
        <w:autoSpaceDN/>
        <w:adjustRightInd/>
        <w:spacing w:before="524" w:line="25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w:t>
      </w:r>
      <w:r>
        <w:rPr>
          <w:rFonts w:ascii="Verdana" w:hAnsi="Verdana" w:cs="Verdana"/>
          <w:sz w:val="22"/>
          <w:szCs w:val="22"/>
          <w:lang w:val="es-ES" w:eastAsia="es-ES"/>
        </w:rPr>
        <w:t>on el numeral 22 de La Ley de Transporte Remunerado de Personas en Vehículos en la Modalidad de Taxi, N. 7969 del 22 de diciembre de 1999, el Tribunal es competente:</w:t>
      </w:r>
    </w:p>
    <w:p w:rsidR="00000000" w:rsidRDefault="009222FC">
      <w:pPr>
        <w:kinsoku w:val="0"/>
        <w:overflowPunct w:val="0"/>
        <w:autoSpaceDE/>
        <w:autoSpaceDN/>
        <w:adjustRightInd/>
        <w:spacing w:before="263" w:line="223" w:lineRule="exact"/>
        <w:ind w:left="432"/>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"ARTÍCULO 22.- Competencia del Tribunal</w:t>
      </w:r>
    </w:p>
    <w:p w:rsidR="00000000" w:rsidRDefault="009222FC">
      <w:pPr>
        <w:kinsoku w:val="0"/>
        <w:overflowPunct w:val="0"/>
        <w:autoSpaceDE/>
        <w:autoSpaceDN/>
        <w:adjustRightInd/>
        <w:spacing w:before="4" w:line="225" w:lineRule="exact"/>
        <w:ind w:left="432"/>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El Tribunal será competente para lo siguiente:</w:t>
      </w:r>
    </w:p>
    <w:p w:rsidR="00000000" w:rsidRDefault="009222FC">
      <w:pPr>
        <w:numPr>
          <w:ilvl w:val="0"/>
          <w:numId w:val="1"/>
        </w:numPr>
        <w:kinsoku w:val="0"/>
        <w:overflowPunct w:val="0"/>
        <w:autoSpaceDE/>
        <w:autoSpaceDN/>
        <w:adjustRightInd/>
        <w:spacing w:before="232" w:line="230" w:lineRule="exact"/>
        <w:ind w:right="360"/>
        <w:jc w:val="both"/>
        <w:textAlignment w:val="baseline"/>
        <w:rPr>
          <w:rFonts w:ascii="Verdana" w:hAnsi="Verdana" w:cs="Verdana"/>
          <w:b/>
          <w:bCs/>
          <w:i/>
          <w:iCs/>
          <w:spacing w:val="3"/>
          <w:sz w:val="18"/>
          <w:szCs w:val="18"/>
          <w:lang w:val="es-ES" w:eastAsia="es-ES"/>
        </w:rPr>
      </w:pPr>
      <w:r>
        <w:rPr>
          <w:rFonts w:ascii="Verdana" w:hAnsi="Verdana" w:cs="Verdana"/>
          <w:b/>
          <w:bCs/>
          <w:i/>
          <w:iCs/>
          <w:spacing w:val="3"/>
          <w:sz w:val="18"/>
          <w:szCs w:val="18"/>
          <w:lang w:val="es-ES" w:eastAsia="es-ES"/>
        </w:rPr>
        <w:t>Conocer y resolver, en sede administrativa, los recursos de apelación que se interpongan contra cualquier acto o resolución del Consejo.</w:t>
      </w:r>
    </w:p>
    <w:p w:rsidR="00000000" w:rsidRDefault="009222FC">
      <w:pPr>
        <w:numPr>
          <w:ilvl w:val="0"/>
          <w:numId w:val="2"/>
        </w:numPr>
        <w:kinsoku w:val="0"/>
        <w:overflowPunct w:val="0"/>
        <w:autoSpaceDE/>
        <w:autoSpaceDN/>
        <w:adjustRightInd/>
        <w:spacing w:before="7" w:line="228" w:lineRule="exact"/>
        <w:ind w:right="360"/>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 xml:space="preserve">Establecer, en vía administrativa, las indemnizaciones que puedan originarse en relación con los daños producidos </w:t>
      </w:r>
      <w:r>
        <w:rPr>
          <w:rFonts w:ascii="Verdana" w:hAnsi="Verdana" w:cs="Verdana"/>
          <w:i/>
          <w:iCs/>
          <w:spacing w:val="4"/>
          <w:sz w:val="18"/>
          <w:szCs w:val="18"/>
          <w:lang w:val="es-ES" w:eastAsia="es-ES"/>
        </w:rPr>
        <w:t>por violaciones de la legislación del transporte público.</w:t>
      </w:r>
    </w:p>
    <w:p w:rsidR="00000000" w:rsidRDefault="009222FC">
      <w:pPr>
        <w:numPr>
          <w:ilvl w:val="0"/>
          <w:numId w:val="2"/>
        </w:numPr>
        <w:kinsoku w:val="0"/>
        <w:overflowPunct w:val="0"/>
        <w:autoSpaceDE/>
        <w:autoSpaceDN/>
        <w:adjustRightInd/>
        <w:spacing w:before="1" w:line="230" w:lineRule="exact"/>
        <w:ind w:right="36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Las resoluciones del </w:t>
      </w:r>
      <w:r>
        <w:rPr>
          <w:rFonts w:ascii="Verdana" w:hAnsi="Verdana" w:cs="Verdana"/>
          <w:b/>
          <w:bCs/>
          <w:i/>
          <w:iCs/>
          <w:sz w:val="18"/>
          <w:szCs w:val="18"/>
          <w:lang w:val="es-ES" w:eastAsia="es-ES"/>
        </w:rPr>
        <w:t xml:space="preserve">Tribunal </w:t>
      </w:r>
      <w:r>
        <w:rPr>
          <w:rFonts w:ascii="Verdana" w:hAnsi="Verdana" w:cs="Verdana"/>
          <w:i/>
          <w:iCs/>
          <w:sz w:val="18"/>
          <w:szCs w:val="18"/>
          <w:lang w:val="es-ES" w:eastAsia="es-ES"/>
        </w:rPr>
        <w:t>no tendrán más recursos y darán por agotada la vía administrativa." ( el resaltado es nuestro)</w:t>
      </w:r>
    </w:p>
    <w:p w:rsidR="00000000" w:rsidRDefault="009222FC">
      <w:pPr>
        <w:kinsoku w:val="0"/>
        <w:overflowPunct w:val="0"/>
        <w:autoSpaceDE/>
        <w:autoSpaceDN/>
        <w:adjustRightInd/>
        <w:spacing w:before="222" w:line="274"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Como se puede verificar de lo dicho, el órgano de alzada tiene la compe</w:t>
      </w:r>
      <w:r>
        <w:rPr>
          <w:rFonts w:ascii="Verdana" w:hAnsi="Verdana" w:cs="Verdana"/>
          <w:spacing w:val="2"/>
          <w:sz w:val="22"/>
          <w:szCs w:val="22"/>
          <w:lang w:val="es-ES" w:eastAsia="es-ES"/>
        </w:rPr>
        <w:t>tencia para conocer de los recursos de apelación que se le presenten contra los actos del Consejo de Transporte Público, sin embargo, al revisar el libelo, en ningún momento el recurrente presenta un recurso de Apelación en subsidio, sino que lo que interp</w:t>
      </w:r>
      <w:r>
        <w:rPr>
          <w:rFonts w:ascii="Verdana" w:hAnsi="Verdana" w:cs="Verdana"/>
          <w:spacing w:val="2"/>
          <w:sz w:val="22"/>
          <w:szCs w:val="22"/>
          <w:lang w:val="es-ES" w:eastAsia="es-ES"/>
        </w:rPr>
        <w:t>one es un Recurso de Revisión ante el Consejo y contra un acto de éste lo que inhibe a este colegiado de conocer el asunto en los términos del artículo 353 de la Ley General de la Administración Pública, el cual dispone lo siguiente:</w:t>
      </w:r>
    </w:p>
    <w:p w:rsidR="00000000" w:rsidRDefault="009222FC">
      <w:pPr>
        <w:kinsoku w:val="0"/>
        <w:overflowPunct w:val="0"/>
        <w:autoSpaceDE/>
        <w:autoSpaceDN/>
        <w:adjustRightInd/>
        <w:spacing w:before="527" w:line="223" w:lineRule="exact"/>
        <w:ind w:left="432"/>
        <w:textAlignment w:val="baseline"/>
        <w:rPr>
          <w:rFonts w:ascii="Verdana" w:hAnsi="Verdana" w:cs="Verdana"/>
          <w:sz w:val="24"/>
          <w:szCs w:val="24"/>
          <w:lang w:eastAsia="en-US"/>
        </w:rPr>
      </w:pPr>
      <w:r>
        <w:rPr>
          <w:rFonts w:ascii="Verdana" w:hAnsi="Verdana" w:cs="Verdana"/>
          <w:i/>
          <w:iCs/>
          <w:spacing w:val="3"/>
          <w:sz w:val="18"/>
          <w:szCs w:val="18"/>
          <w:lang w:val="es-ES" w:eastAsia="es-ES"/>
        </w:rPr>
        <w:t>"Artículo 353.</w:t>
      </w:r>
      <w:r>
        <w:rPr>
          <w:rFonts w:ascii="Verdana" w:hAnsi="Verdana" w:cs="Verdana"/>
          <w:i/>
          <w:iCs/>
          <w:spacing w:val="3"/>
          <w:sz w:val="18"/>
          <w:szCs w:val="18"/>
          <w:lang w:val="es-ES" w:eastAsia="es-ES"/>
        </w:rPr>
        <w:noBreakHyphen/>
      </w:r>
    </w:p>
    <w:p w:rsidR="00000000" w:rsidRDefault="009222FC">
      <w:pPr>
        <w:kinsoku w:val="0"/>
        <w:overflowPunct w:val="0"/>
        <w:autoSpaceDE/>
        <w:autoSpaceDN/>
        <w:adjustRightInd/>
        <w:spacing w:before="277" w:line="232" w:lineRule="exact"/>
        <w:ind w:left="432" w:right="576"/>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1. Pod</w:t>
      </w:r>
      <w:r>
        <w:rPr>
          <w:rFonts w:ascii="Verdana" w:hAnsi="Verdana" w:cs="Verdana"/>
          <w:i/>
          <w:iCs/>
          <w:spacing w:val="4"/>
          <w:sz w:val="18"/>
          <w:szCs w:val="18"/>
          <w:lang w:val="es-ES" w:eastAsia="es-ES"/>
        </w:rPr>
        <w:t xml:space="preserve">rá interponerse recurso de revisión </w:t>
      </w:r>
      <w:r>
        <w:rPr>
          <w:rFonts w:ascii="Verdana" w:hAnsi="Verdana" w:cs="Verdana"/>
          <w:b/>
          <w:bCs/>
          <w:i/>
          <w:iCs/>
          <w:spacing w:val="4"/>
          <w:sz w:val="18"/>
          <w:szCs w:val="18"/>
          <w:u w:val="single"/>
          <w:lang w:val="es-ES" w:eastAsia="es-ES"/>
        </w:rPr>
        <w:t>ante el jerarca de la  respectiva Administración</w:t>
      </w:r>
      <w:r>
        <w:rPr>
          <w:rFonts w:ascii="Verdana" w:hAnsi="Verdana" w:cs="Verdana"/>
          <w:i/>
          <w:iCs/>
          <w:spacing w:val="4"/>
          <w:sz w:val="18"/>
          <w:szCs w:val="18"/>
          <w:lang w:val="es-ES" w:eastAsia="es-ES"/>
        </w:rPr>
        <w:t xml:space="preserve"> contra aquellos actos finales firmes en que concurra alguna de las circunstancias siguientes:</w:t>
      </w:r>
    </w:p>
    <w:p w:rsidR="00000000" w:rsidRDefault="009222FC">
      <w:pPr>
        <w:kinsoku w:val="0"/>
        <w:overflowPunct w:val="0"/>
        <w:autoSpaceDE/>
        <w:autoSpaceDN/>
        <w:adjustRightInd/>
        <w:spacing w:before="289" w:line="232" w:lineRule="exact"/>
        <w:ind w:left="432" w:right="720"/>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a) Cuando al dictarlos se hubiere incurrido en manifiesto error de hecho que </w:t>
      </w:r>
      <w:r>
        <w:rPr>
          <w:rFonts w:ascii="Verdana" w:hAnsi="Verdana" w:cs="Verdana"/>
          <w:i/>
          <w:iCs/>
          <w:sz w:val="18"/>
          <w:szCs w:val="18"/>
          <w:lang w:val="es-ES" w:eastAsia="es-ES"/>
        </w:rPr>
        <w:t>aparezca de los propios documentos incorporados al expediente;</w:t>
      </w:r>
    </w:p>
    <w:p w:rsidR="00000000" w:rsidRDefault="009222FC">
      <w:pPr>
        <w:tabs>
          <w:tab w:val="right" w:pos="8064"/>
        </w:tabs>
        <w:kinsoku w:val="0"/>
        <w:overflowPunct w:val="0"/>
        <w:autoSpaceDE/>
        <w:autoSpaceDN/>
        <w:adjustRightInd/>
        <w:spacing w:before="1299" w:line="252" w:lineRule="exact"/>
        <w:ind w:left="5256"/>
        <w:textAlignment w:val="baseline"/>
        <w:rPr>
          <w:rFonts w:ascii="Verdana" w:hAnsi="Verdana" w:cs="Verdana"/>
          <w:sz w:val="22"/>
          <w:szCs w:val="22"/>
          <w:lang w:val="es-ES" w:eastAsia="es-ES"/>
        </w:rPr>
      </w:pPr>
      <w:r>
        <w:rPr>
          <w:sz w:val="19"/>
          <w:szCs w:val="19"/>
          <w:lang w:val="es-ES" w:eastAsia="es-ES"/>
        </w:rPr>
        <w:tab/>
      </w:r>
    </w:p>
    <w:p w:rsidR="00000000" w:rsidRDefault="009222FC">
      <w:pPr>
        <w:widowControl/>
        <w:rPr>
          <w:sz w:val="24"/>
          <w:szCs w:val="24"/>
        </w:rPr>
        <w:sectPr w:rsidR="00000000">
          <w:pgSz w:w="12240" w:h="15840"/>
          <w:pgMar w:top="1360" w:right="2096" w:bottom="210" w:left="2064" w:header="720" w:footer="720" w:gutter="0"/>
          <w:cols w:space="720"/>
          <w:noEndnote/>
        </w:sectPr>
      </w:pPr>
    </w:p>
    <w:p w:rsidR="00000000" w:rsidRDefault="009222FC" w:rsidP="0084659D">
      <w:pPr>
        <w:numPr>
          <w:ilvl w:val="0"/>
          <w:numId w:val="3"/>
        </w:numPr>
        <w:kinsoku w:val="0"/>
        <w:overflowPunct w:val="0"/>
        <w:autoSpaceDE/>
        <w:autoSpaceDN/>
        <w:adjustRightInd/>
        <w:spacing w:before="21" w:line="227" w:lineRule="exact"/>
        <w:ind w:right="72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Cuando aparezcan documentos de valor esencial para la resolución del asunto, ignorados al dictarse la resolución o de imposible aportación entonces a</w:t>
      </w:r>
      <w:r>
        <w:rPr>
          <w:rFonts w:ascii="Verdana" w:hAnsi="Verdana" w:cs="Verdana"/>
          <w:i/>
          <w:iCs/>
          <w:sz w:val="18"/>
          <w:szCs w:val="18"/>
          <w:lang w:val="es-ES" w:eastAsia="es-ES"/>
        </w:rPr>
        <w:t>l expediente;</w:t>
      </w:r>
    </w:p>
    <w:p w:rsidR="00000000" w:rsidRDefault="009222FC" w:rsidP="0084659D">
      <w:pPr>
        <w:numPr>
          <w:ilvl w:val="0"/>
          <w:numId w:val="3"/>
        </w:numPr>
        <w:kinsoku w:val="0"/>
        <w:overflowPunct w:val="0"/>
        <w:autoSpaceDE/>
        <w:autoSpaceDN/>
        <w:adjustRightInd/>
        <w:spacing w:before="253" w:line="230" w:lineRule="exact"/>
        <w:ind w:right="115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Cuando en el acto hayan influido esencialmente documentos o testimonios declarados falsos por sentencia judicial firme anterior o posterior del acto, siempre que, en el primer caso, el interesado desconociera la declaración de falsedad; y</w:t>
      </w:r>
    </w:p>
    <w:p w:rsidR="00000000" w:rsidRDefault="009222FC" w:rsidP="0084659D">
      <w:pPr>
        <w:numPr>
          <w:ilvl w:val="0"/>
          <w:numId w:val="3"/>
        </w:numPr>
        <w:kinsoku w:val="0"/>
        <w:overflowPunct w:val="0"/>
        <w:autoSpaceDE/>
        <w:autoSpaceDN/>
        <w:adjustRightInd/>
        <w:spacing w:before="268" w:line="229" w:lineRule="exact"/>
        <w:ind w:right="72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Cuando el acto se hubiera dictado como consecuencia de prevaricato, cohecho, violencia u otra maquinación fraudulenta y se haya declarado así en virtud de sentencia judicial. "(El Resaltado es nuestro)</w:t>
      </w:r>
    </w:p>
    <w:p w:rsidR="00000000" w:rsidRDefault="009222FC">
      <w:pPr>
        <w:kinsoku w:val="0"/>
        <w:overflowPunct w:val="0"/>
        <w:autoSpaceDE/>
        <w:autoSpaceDN/>
        <w:adjustRightInd/>
        <w:spacing w:before="516" w:line="252" w:lineRule="exact"/>
        <w:ind w:right="144"/>
        <w:jc w:val="both"/>
        <w:textAlignment w:val="baseline"/>
        <w:rPr>
          <w:rFonts w:ascii="Verdana" w:hAnsi="Verdana" w:cs="Verdana"/>
          <w:lang w:val="es-ES" w:eastAsia="es-ES"/>
        </w:rPr>
      </w:pPr>
      <w:r>
        <w:rPr>
          <w:rFonts w:ascii="Verdana" w:hAnsi="Verdana" w:cs="Verdana"/>
          <w:lang w:val="es-ES" w:eastAsia="es-ES"/>
        </w:rPr>
        <w:t>El recurso extraordinario de revisión, tiene por objet</w:t>
      </w:r>
      <w:r>
        <w:rPr>
          <w:rFonts w:ascii="Verdana" w:hAnsi="Verdana" w:cs="Verdana"/>
          <w:lang w:val="es-ES" w:eastAsia="es-ES"/>
        </w:rPr>
        <w:t xml:space="preserve">o la impugnación de aquellos actos administrativos finales firmes, que presenten incertidumbre respecto de su validez, </w:t>
      </w:r>
      <w:r>
        <w:rPr>
          <w:rFonts w:ascii="Verdana" w:hAnsi="Verdana" w:cs="Verdana"/>
          <w:b/>
          <w:bCs/>
          <w:u w:val="single"/>
          <w:lang w:val="es-ES" w:eastAsia="es-ES"/>
        </w:rPr>
        <w:t>según los supuestos señalados supra en el artículo 353 de la Ley General de la Administración Pública,</w:t>
      </w:r>
      <w:r>
        <w:rPr>
          <w:rFonts w:ascii="Verdana" w:hAnsi="Verdana" w:cs="Verdana"/>
          <w:lang w:val="es-ES" w:eastAsia="es-ES"/>
        </w:rPr>
        <w:t xml:space="preserve"> pero ante el Jerarca de la respectiva administración.</w:t>
      </w:r>
    </w:p>
    <w:p w:rsidR="00000000" w:rsidRDefault="009222FC">
      <w:pPr>
        <w:kinsoku w:val="0"/>
        <w:overflowPunct w:val="0"/>
        <w:autoSpaceDE/>
        <w:autoSpaceDN/>
        <w:adjustRightInd/>
        <w:spacing w:before="257" w:line="252" w:lineRule="exact"/>
        <w:ind w:right="144"/>
        <w:jc w:val="both"/>
        <w:textAlignment w:val="baseline"/>
        <w:rPr>
          <w:rFonts w:ascii="Verdana" w:hAnsi="Verdana" w:cs="Verdana"/>
          <w:spacing w:val="1"/>
          <w:lang w:val="es-ES" w:eastAsia="es-ES"/>
        </w:rPr>
      </w:pPr>
      <w:r>
        <w:rPr>
          <w:rFonts w:ascii="Verdana" w:hAnsi="Verdana" w:cs="Verdana"/>
          <w:spacing w:val="1"/>
          <w:lang w:val="es-ES" w:eastAsia="es-ES"/>
        </w:rPr>
        <w:t>Al respecto, la Procuraduría General de la República, en el dictamen C-157</w:t>
      </w:r>
      <w:r>
        <w:rPr>
          <w:rFonts w:ascii="Verdana" w:hAnsi="Verdana" w:cs="Verdana"/>
          <w:spacing w:val="1"/>
          <w:lang w:val="es-ES" w:eastAsia="es-ES"/>
        </w:rPr>
        <w:softHyphen/>
        <w:t>2003, del 3 de junio de 2003, se refirió a la procedencia del Recurso de Revisión en contra de los actos emanados tanto del Co</w:t>
      </w:r>
      <w:r>
        <w:rPr>
          <w:rFonts w:ascii="Verdana" w:hAnsi="Verdana" w:cs="Verdana"/>
          <w:spacing w:val="1"/>
          <w:lang w:val="es-ES" w:eastAsia="es-ES"/>
        </w:rPr>
        <w:t>nsejo de Transporte Público como del Tribunal Administrativo de Transporte, en los siguientes términos:</w:t>
      </w:r>
    </w:p>
    <w:p w:rsidR="00000000" w:rsidRDefault="009222FC">
      <w:pPr>
        <w:kinsoku w:val="0"/>
        <w:overflowPunct w:val="0"/>
        <w:autoSpaceDE/>
        <w:autoSpaceDN/>
        <w:adjustRightInd/>
        <w:spacing w:before="252" w:line="252" w:lineRule="exact"/>
        <w:ind w:left="720" w:right="864"/>
        <w:jc w:val="both"/>
        <w:textAlignment w:val="baseline"/>
        <w:rPr>
          <w:rFonts w:ascii="Verdana" w:hAnsi="Verdana" w:cs="Verdana"/>
          <w:spacing w:val="4"/>
          <w:lang w:val="es-ES" w:eastAsia="es-ES"/>
        </w:rPr>
      </w:pPr>
      <w:r>
        <w:rPr>
          <w:rFonts w:ascii="Verdana" w:hAnsi="Verdana" w:cs="Verdana"/>
          <w:spacing w:val="4"/>
          <w:lang w:val="es-ES" w:eastAsia="es-ES"/>
        </w:rPr>
        <w:t xml:space="preserve">"En consecuencia, </w:t>
      </w:r>
      <w:r>
        <w:rPr>
          <w:rFonts w:ascii="Verdana" w:hAnsi="Verdana" w:cs="Verdana"/>
          <w:b/>
          <w:bCs/>
          <w:spacing w:val="4"/>
          <w:u w:val="single"/>
          <w:lang w:val="es-ES" w:eastAsia="es-ES"/>
        </w:rPr>
        <w:t>contra lo resuelto por el Consejo de Transporte Público,</w:t>
      </w:r>
      <w:r>
        <w:rPr>
          <w:rFonts w:ascii="Verdana" w:hAnsi="Verdana" w:cs="Verdana"/>
          <w:spacing w:val="4"/>
          <w:lang w:val="es-ES" w:eastAsia="es-ES"/>
        </w:rPr>
        <w:t xml:space="preserve"> en principio, sólo caben los recursos administrativos ordinarios, a saber, el</w:t>
      </w:r>
      <w:r>
        <w:rPr>
          <w:rFonts w:ascii="Verdana" w:hAnsi="Verdana" w:cs="Verdana"/>
          <w:spacing w:val="4"/>
          <w:lang w:val="es-ES" w:eastAsia="es-ES"/>
        </w:rPr>
        <w:t xml:space="preserve"> de revocatoria (que conocería el mismo Consejo) y el de apelación que corresponde conocer al Tribunal Administrativo de Transporte. Y contra lo resuelto por el citado Tribunal, no cabe más recurso y se tendrá por agotada la vía administrativa.</w:t>
      </w:r>
    </w:p>
    <w:p w:rsidR="00000000" w:rsidRDefault="009222FC">
      <w:pPr>
        <w:kinsoku w:val="0"/>
        <w:overflowPunct w:val="0"/>
        <w:autoSpaceDE/>
        <w:autoSpaceDN/>
        <w:adjustRightInd/>
        <w:spacing w:before="279" w:line="248" w:lineRule="exact"/>
        <w:ind w:left="720" w:right="864"/>
        <w:jc w:val="both"/>
        <w:textAlignment w:val="baseline"/>
        <w:rPr>
          <w:rFonts w:ascii="Verdana" w:hAnsi="Verdana" w:cs="Verdana"/>
          <w:spacing w:val="2"/>
          <w:lang w:val="es-ES" w:eastAsia="es-ES"/>
        </w:rPr>
      </w:pPr>
      <w:r>
        <w:rPr>
          <w:rFonts w:ascii="Verdana" w:hAnsi="Verdana" w:cs="Verdana"/>
          <w:b/>
          <w:bCs/>
          <w:spacing w:val="2"/>
          <w:lang w:val="es-ES" w:eastAsia="es-ES"/>
        </w:rPr>
        <w:t>No obstante</w:t>
      </w:r>
      <w:r>
        <w:rPr>
          <w:rFonts w:ascii="Verdana" w:hAnsi="Verdana" w:cs="Verdana"/>
          <w:b/>
          <w:bCs/>
          <w:spacing w:val="2"/>
          <w:lang w:val="es-ES" w:eastAsia="es-ES"/>
        </w:rPr>
        <w:t>, en opinión de la Procuraduría General de la República, en el caso de que los citados órganos hayan incurrido, al dictar un determinado acto administrativo, en alguno de los supuestos que contempla el ordenamiento jurídico para que proceda el recurso de r</w:t>
      </w:r>
      <w:r>
        <w:rPr>
          <w:rFonts w:ascii="Verdana" w:hAnsi="Verdana" w:cs="Verdana"/>
          <w:b/>
          <w:bCs/>
          <w:spacing w:val="2"/>
          <w:lang w:val="es-ES" w:eastAsia="es-ES"/>
        </w:rPr>
        <w:t xml:space="preserve">evisión, y a fin de no desvirtuar la desconcentración operada a su favor, </w:t>
      </w:r>
      <w:r>
        <w:rPr>
          <w:rFonts w:ascii="Verdana" w:hAnsi="Verdana" w:cs="Verdana"/>
          <w:b/>
          <w:bCs/>
          <w:spacing w:val="2"/>
          <w:u w:val="single"/>
          <w:lang w:val="es-ES" w:eastAsia="es-ES"/>
        </w:rPr>
        <w:t>el recurso en cuestión tendría que se</w:t>
      </w:r>
      <w:r w:rsidR="0084659D">
        <w:rPr>
          <w:rFonts w:ascii="Verdana" w:hAnsi="Verdana" w:cs="Verdana"/>
          <w:b/>
          <w:bCs/>
          <w:spacing w:val="2"/>
          <w:u w:val="single"/>
          <w:lang w:val="es-ES" w:eastAsia="es-ES"/>
        </w:rPr>
        <w:t>r conocido por el mismo órgano q</w:t>
      </w:r>
      <w:r>
        <w:rPr>
          <w:rFonts w:ascii="Verdana" w:hAnsi="Verdana" w:cs="Verdana"/>
          <w:b/>
          <w:bCs/>
          <w:spacing w:val="2"/>
          <w:u w:val="single"/>
          <w:lang w:val="es-ES" w:eastAsia="es-ES"/>
        </w:rPr>
        <w:t xml:space="preserve">ue ha dictado el acto  que se cuestiona." </w:t>
      </w:r>
      <w:r>
        <w:rPr>
          <w:rFonts w:ascii="Verdana" w:hAnsi="Verdana" w:cs="Verdana"/>
          <w:spacing w:val="2"/>
          <w:lang w:val="es-ES" w:eastAsia="es-ES"/>
        </w:rPr>
        <w:t xml:space="preserve"> (Lo resaltado no es del original)</w:t>
      </w:r>
    </w:p>
    <w:p w:rsidR="00000000" w:rsidRDefault="009222FC">
      <w:pPr>
        <w:kinsoku w:val="0"/>
        <w:overflowPunct w:val="0"/>
        <w:autoSpaceDE/>
        <w:autoSpaceDN/>
        <w:adjustRightInd/>
        <w:spacing w:before="513" w:after="1531" w:line="252" w:lineRule="exact"/>
        <w:ind w:right="144"/>
        <w:jc w:val="both"/>
        <w:textAlignment w:val="baseline"/>
        <w:rPr>
          <w:rFonts w:ascii="Verdana" w:hAnsi="Verdana" w:cs="Verdana"/>
          <w:lang w:val="es-ES" w:eastAsia="es-ES"/>
        </w:rPr>
      </w:pPr>
      <w:r>
        <w:rPr>
          <w:rFonts w:ascii="Verdana" w:hAnsi="Verdana" w:cs="Verdana"/>
          <w:lang w:val="es-ES" w:eastAsia="es-ES"/>
        </w:rPr>
        <w:t xml:space="preserve">En conclusión el señor </w:t>
      </w:r>
      <w:r>
        <w:rPr>
          <w:rFonts w:ascii="Verdana" w:hAnsi="Verdana" w:cs="Verdana"/>
          <w:b/>
          <w:bCs/>
          <w:lang w:val="es-ES" w:eastAsia="es-ES"/>
        </w:rPr>
        <w:t>V</w:t>
      </w:r>
      <w:r w:rsidR="0084659D">
        <w:rPr>
          <w:rFonts w:ascii="Verdana" w:hAnsi="Verdana" w:cs="Verdana"/>
          <w:b/>
          <w:bCs/>
          <w:lang w:val="es-ES" w:eastAsia="es-ES"/>
        </w:rPr>
        <w:t>.E.V.C.</w:t>
      </w:r>
      <w:r>
        <w:rPr>
          <w:rFonts w:ascii="Verdana" w:hAnsi="Verdana" w:cs="Verdana"/>
          <w:b/>
          <w:bCs/>
          <w:lang w:val="es-ES" w:eastAsia="es-ES"/>
        </w:rPr>
        <w:t xml:space="preserve"> </w:t>
      </w:r>
      <w:r>
        <w:rPr>
          <w:rFonts w:ascii="Verdana" w:hAnsi="Verdana" w:cs="Verdana"/>
          <w:lang w:val="es-ES" w:eastAsia="es-ES"/>
        </w:rPr>
        <w:t>lo que presenta únicamente es el Recurso de Revisión, más no Apelación, por lo que el caso fue mal elevado por parte del Consejo de Transporte Público y por lo tanto debe ordenarse el archivo.</w:t>
      </w:r>
    </w:p>
    <w:p w:rsidR="00000000" w:rsidRDefault="009222FC">
      <w:pPr>
        <w:widowControl/>
        <w:rPr>
          <w:sz w:val="24"/>
          <w:szCs w:val="24"/>
        </w:rPr>
        <w:sectPr w:rsidR="00000000">
          <w:pgSz w:w="12240" w:h="15840"/>
          <w:pgMar w:top="1360" w:right="2002" w:bottom="220" w:left="2047" w:header="720" w:footer="720" w:gutter="0"/>
          <w:cols w:space="720"/>
          <w:noEndnote/>
        </w:sectPr>
      </w:pPr>
    </w:p>
    <w:p w:rsidR="00000000" w:rsidRDefault="009222FC">
      <w:pPr>
        <w:tabs>
          <w:tab w:val="right" w:pos="2664"/>
        </w:tabs>
        <w:kinsoku w:val="0"/>
        <w:overflowPunct w:val="0"/>
        <w:autoSpaceDE/>
        <w:autoSpaceDN/>
        <w:adjustRightInd/>
        <w:spacing w:line="230" w:lineRule="exact"/>
        <w:textAlignment w:val="baseline"/>
        <w:rPr>
          <w:rFonts w:ascii="Verdana" w:hAnsi="Verdana" w:cs="Verdana"/>
          <w:lang w:val="es-ES" w:eastAsia="es-ES"/>
        </w:rPr>
      </w:pPr>
      <w:r>
        <w:rPr>
          <w:sz w:val="19"/>
          <w:szCs w:val="19"/>
          <w:lang w:val="es-ES" w:eastAsia="es-ES"/>
        </w:rPr>
        <w:tab/>
      </w:r>
    </w:p>
    <w:p w:rsidR="00000000" w:rsidRDefault="009222FC">
      <w:pPr>
        <w:widowControl/>
        <w:rPr>
          <w:sz w:val="24"/>
          <w:szCs w:val="24"/>
        </w:rPr>
        <w:sectPr w:rsidR="00000000">
          <w:type w:val="continuous"/>
          <w:pgSz w:w="12240" w:h="15840"/>
          <w:pgMar w:top="1360" w:right="2002" w:bottom="220" w:left="7358" w:header="720" w:footer="720" w:gutter="0"/>
          <w:cols w:space="720"/>
          <w:noEndnote/>
        </w:sectPr>
      </w:pPr>
    </w:p>
    <w:p w:rsidR="00000000" w:rsidRDefault="009222FC">
      <w:pPr>
        <w:kinsoku w:val="0"/>
        <w:overflowPunct w:val="0"/>
        <w:autoSpaceDE/>
        <w:autoSpaceDN/>
        <w:adjustRightInd/>
        <w:spacing w:before="13" w:after="240" w:line="247" w:lineRule="exact"/>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000000" w:rsidRDefault="009222FC">
      <w:pPr>
        <w:widowControl/>
        <w:rPr>
          <w:sz w:val="24"/>
          <w:szCs w:val="24"/>
        </w:rPr>
        <w:sectPr w:rsidR="00000000">
          <w:pgSz w:w="12240" w:h="15840"/>
          <w:pgMar w:top="1400" w:right="4634" w:bottom="180" w:left="4726" w:header="720" w:footer="720" w:gutter="0"/>
          <w:cols w:space="720"/>
          <w:noEndnote/>
        </w:sectPr>
      </w:pPr>
    </w:p>
    <w:p w:rsidR="00000000" w:rsidRDefault="009222FC">
      <w:pPr>
        <w:numPr>
          <w:ilvl w:val="0"/>
          <w:numId w:val="4"/>
        </w:numPr>
        <w:kinsoku w:val="0"/>
        <w:overflowPunct w:val="0"/>
        <w:autoSpaceDE/>
        <w:autoSpaceDN/>
        <w:adjustRightInd/>
        <w:spacing w:before="13" w:line="250" w:lineRule="exact"/>
        <w:ind w:right="72"/>
        <w:jc w:val="both"/>
        <w:textAlignment w:val="baseline"/>
        <w:rPr>
          <w:sz w:val="18"/>
          <w:szCs w:val="18"/>
          <w:lang w:val="es-ES" w:eastAsia="es-ES"/>
        </w:rPr>
      </w:pPr>
      <w:r>
        <w:rPr>
          <w:rFonts w:ascii="Verdana" w:hAnsi="Verdana" w:cs="Verdana"/>
          <w:lang w:val="es-ES" w:eastAsia="es-ES"/>
        </w:rPr>
        <w:t xml:space="preserve">Se ordena el archivo por mal elevado del Recurso de Revocatoria interpuesto por el señor </w:t>
      </w:r>
      <w:r>
        <w:rPr>
          <w:rFonts w:ascii="Verdana" w:hAnsi="Verdana" w:cs="Verdana"/>
          <w:b/>
          <w:bCs/>
          <w:lang w:val="es-ES" w:eastAsia="es-ES"/>
        </w:rPr>
        <w:t>V</w:t>
      </w:r>
      <w:r w:rsidR="0084659D">
        <w:rPr>
          <w:rFonts w:ascii="Verdana" w:hAnsi="Verdana" w:cs="Verdana"/>
          <w:b/>
          <w:bCs/>
          <w:lang w:val="es-ES" w:eastAsia="es-ES"/>
        </w:rPr>
        <w:t>.E.V.C.</w:t>
      </w:r>
      <w:r>
        <w:rPr>
          <w:rFonts w:ascii="Verdana" w:hAnsi="Verdana" w:cs="Verdana"/>
          <w:b/>
          <w:bCs/>
          <w:lang w:val="es-ES" w:eastAsia="es-ES"/>
        </w:rPr>
        <w:t xml:space="preserve">, </w:t>
      </w:r>
      <w:r>
        <w:rPr>
          <w:rFonts w:ascii="Verdana" w:hAnsi="Verdana" w:cs="Verdana"/>
          <w:lang w:val="es-ES" w:eastAsia="es-ES"/>
        </w:rPr>
        <w:t xml:space="preserve">cédula de identidad </w:t>
      </w:r>
      <w:proofErr w:type="gramStart"/>
      <w:r>
        <w:rPr>
          <w:rFonts w:ascii="Verdana" w:hAnsi="Verdana" w:cs="Verdana"/>
          <w:lang w:val="es-ES" w:eastAsia="es-ES"/>
        </w:rPr>
        <w:t xml:space="preserve">número </w:t>
      </w:r>
      <w:r w:rsidR="0084659D">
        <w:rPr>
          <w:rFonts w:ascii="Verdana" w:hAnsi="Verdana" w:cs="Verdana"/>
          <w:lang w:val="es-ES" w:eastAsia="es-ES"/>
        </w:rPr>
        <w:t>…</w:t>
      </w:r>
      <w:proofErr w:type="gramEnd"/>
      <w:r>
        <w:rPr>
          <w:rFonts w:ascii="Verdana" w:hAnsi="Verdana" w:cs="Verdana"/>
          <w:lang w:val="es-ES" w:eastAsia="es-ES"/>
        </w:rPr>
        <w:t xml:space="preserve">, contra el </w:t>
      </w:r>
      <w:r>
        <w:rPr>
          <w:rFonts w:ascii="Verdana" w:hAnsi="Verdana" w:cs="Verdana"/>
          <w:b/>
          <w:bCs/>
          <w:lang w:val="es-ES" w:eastAsia="es-ES"/>
        </w:rPr>
        <w:t>Artículo 0.8.52 de la Sesió</w:t>
      </w:r>
      <w:r>
        <w:rPr>
          <w:rFonts w:ascii="Verdana" w:hAnsi="Verdana" w:cs="Verdana"/>
          <w:b/>
          <w:bCs/>
          <w:lang w:val="es-ES" w:eastAsia="es-ES"/>
        </w:rPr>
        <w:t xml:space="preserve">n Ordinaria N. 24-2010 </w:t>
      </w:r>
      <w:r>
        <w:rPr>
          <w:rFonts w:ascii="Verdana" w:hAnsi="Verdana" w:cs="Verdana"/>
          <w:lang w:val="es-ES" w:eastAsia="es-ES"/>
        </w:rPr>
        <w:t xml:space="preserve">de 22 de abril de 2010, dictado por la </w:t>
      </w:r>
      <w:r>
        <w:rPr>
          <w:sz w:val="18"/>
          <w:szCs w:val="18"/>
          <w:lang w:val="es-ES" w:eastAsia="es-ES"/>
        </w:rPr>
        <w:t>JUNTA DIRECTIVA DEL CONSEJO DE TRANSPORTE PÚBLICO.</w:t>
      </w:r>
    </w:p>
    <w:p w:rsidR="0084659D" w:rsidRPr="0084659D" w:rsidRDefault="009222FC" w:rsidP="0084659D">
      <w:pPr>
        <w:numPr>
          <w:ilvl w:val="0"/>
          <w:numId w:val="5"/>
        </w:numPr>
        <w:kinsoku w:val="0"/>
        <w:overflowPunct w:val="0"/>
        <w:autoSpaceDE/>
        <w:autoSpaceDN/>
        <w:adjustRightInd/>
        <w:spacing w:before="253" w:after="1003" w:line="250" w:lineRule="exact"/>
        <w:jc w:val="both"/>
        <w:textAlignment w:val="baseline"/>
        <w:rPr>
          <w:sz w:val="24"/>
          <w:szCs w:val="24"/>
          <w:lang w:val="en-US"/>
        </w:rPr>
      </w:pPr>
      <w:r>
        <w:rPr>
          <w:rFonts w:ascii="Verdana" w:hAnsi="Verdana" w:cs="Verdana"/>
          <w:b/>
          <w:bCs/>
          <w:spacing w:val="1"/>
          <w:lang w:val="es-ES" w:eastAsia="es-ES"/>
        </w:rPr>
        <w:t>NOTIFIQUESE.</w:t>
      </w:r>
    </w:p>
    <w:p w:rsidR="0084659D" w:rsidRPr="00CF40A0" w:rsidRDefault="0084659D" w:rsidP="0084659D">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4659D" w:rsidRDefault="0084659D" w:rsidP="0084659D">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84659D" w:rsidRDefault="0084659D" w:rsidP="0084659D">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00000" w:rsidRDefault="0084659D" w:rsidP="0084659D">
      <w:pPr>
        <w:kinsoku w:val="0"/>
        <w:overflowPunct w:val="0"/>
        <w:autoSpaceDE/>
        <w:autoSpaceDN/>
        <w:adjustRightInd/>
        <w:spacing w:before="253" w:after="1003" w:line="250" w:lineRule="exact"/>
        <w:ind w:left="72"/>
        <w:jc w:val="both"/>
        <w:textAlignment w:val="baseline"/>
        <w:rPr>
          <w:sz w:val="24"/>
          <w:szCs w:val="24"/>
        </w:rPr>
        <w:sectPr w:rsidR="00000000">
          <w:type w:val="continuous"/>
          <w:pgSz w:w="12240" w:h="15840"/>
          <w:pgMar w:top="1400" w:right="1979" w:bottom="180" w:left="2070" w:header="720" w:footer="720" w:gutter="0"/>
          <w:cols w:space="720"/>
          <w:noEndnote/>
        </w:sectPr>
      </w:pPr>
      <w:r>
        <w:rPr>
          <w:sz w:val="24"/>
          <w:szCs w:val="24"/>
        </w:rPr>
        <w:t xml:space="preserve"> </w:t>
      </w:r>
    </w:p>
    <w:p w:rsidR="009222FC" w:rsidRDefault="009222FC" w:rsidP="0084659D">
      <w:pPr>
        <w:tabs>
          <w:tab w:val="right" w:pos="5400"/>
        </w:tabs>
        <w:kinsoku w:val="0"/>
        <w:overflowPunct w:val="0"/>
        <w:autoSpaceDE/>
        <w:autoSpaceDN/>
        <w:adjustRightInd/>
        <w:spacing w:line="230" w:lineRule="exact"/>
        <w:ind w:left="2664"/>
        <w:textAlignment w:val="baseline"/>
        <w:rPr>
          <w:rFonts w:ascii="Verdana" w:hAnsi="Verdana" w:cs="Verdana"/>
          <w:lang w:val="es-ES" w:eastAsia="es-ES"/>
        </w:rPr>
      </w:pPr>
    </w:p>
    <w:sectPr w:rsidR="009222FC">
      <w:type w:val="continuous"/>
      <w:pgSz w:w="12240" w:h="15840"/>
      <w:pgMar w:top="1400" w:right="2052" w:bottom="180" w:left="4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8E07"/>
    <w:multiLevelType w:val="singleLevel"/>
    <w:tmpl w:val="09445601"/>
    <w:lvl w:ilvl="0">
      <w:start w:val="1"/>
      <w:numFmt w:val="lowerLetter"/>
      <w:lvlText w:val="%1)"/>
      <w:lvlJc w:val="left"/>
      <w:pPr>
        <w:tabs>
          <w:tab w:val="num" w:pos="720"/>
        </w:tabs>
        <w:ind w:left="432"/>
      </w:pPr>
      <w:rPr>
        <w:rFonts w:ascii="Verdana" w:hAnsi="Verdana" w:cs="Verdana"/>
        <w:b/>
        <w:bCs/>
        <w:i/>
        <w:iCs/>
        <w:snapToGrid/>
        <w:spacing w:val="3"/>
        <w:sz w:val="18"/>
        <w:szCs w:val="18"/>
      </w:rPr>
    </w:lvl>
  </w:abstractNum>
  <w:abstractNum w:abstractNumId="1">
    <w:nsid w:val="04DE2E7F"/>
    <w:multiLevelType w:val="singleLevel"/>
    <w:tmpl w:val="EB48B6FC"/>
    <w:lvl w:ilvl="0">
      <w:start w:val="1"/>
      <w:numFmt w:val="upperRoman"/>
      <w:lvlText w:val="%1.-"/>
      <w:lvlJc w:val="left"/>
      <w:pPr>
        <w:tabs>
          <w:tab w:val="num" w:pos="648"/>
        </w:tabs>
        <w:ind w:left="72"/>
      </w:pPr>
      <w:rPr>
        <w:rFonts w:ascii="Verdana" w:hAnsi="Verdana" w:cs="Verdana"/>
        <w:b/>
        <w:snapToGrid/>
        <w:sz w:val="20"/>
        <w:szCs w:val="20"/>
      </w:rPr>
    </w:lvl>
  </w:abstractNum>
  <w:abstractNum w:abstractNumId="2">
    <w:nsid w:val="07CF2D11"/>
    <w:multiLevelType w:val="singleLevel"/>
    <w:tmpl w:val="6A77EE81"/>
    <w:lvl w:ilvl="0">
      <w:start w:val="2"/>
      <w:numFmt w:val="lowerLetter"/>
      <w:lvlText w:val="%1)"/>
      <w:lvlJc w:val="left"/>
      <w:pPr>
        <w:tabs>
          <w:tab w:val="num" w:pos="864"/>
        </w:tabs>
        <w:ind w:left="576"/>
      </w:pPr>
      <w:rPr>
        <w:rFonts w:ascii="Verdana" w:hAnsi="Verdana" w:cs="Verdana"/>
        <w:i/>
        <w:iCs/>
        <w:snapToGrid/>
        <w:sz w:val="18"/>
        <w:szCs w:val="18"/>
      </w:rPr>
    </w:lvl>
  </w:abstractNum>
  <w:num w:numId="1">
    <w:abstractNumId w:val="0"/>
  </w:num>
  <w:num w:numId="2">
    <w:abstractNumId w:val="0"/>
    <w:lvlOverride w:ilvl="0">
      <w:lvl w:ilvl="0">
        <w:numFmt w:val="lowerLetter"/>
        <w:lvlText w:val="%1)"/>
        <w:lvlJc w:val="left"/>
        <w:pPr>
          <w:tabs>
            <w:tab w:val="num" w:pos="720"/>
          </w:tabs>
          <w:ind w:left="432"/>
        </w:pPr>
        <w:rPr>
          <w:rFonts w:ascii="Verdana" w:hAnsi="Verdana" w:cs="Verdana"/>
          <w:i/>
          <w:iCs/>
          <w:snapToGrid/>
          <w:spacing w:val="4"/>
          <w:sz w:val="18"/>
          <w:szCs w:val="18"/>
        </w:rPr>
      </w:lvl>
    </w:lvlOverride>
  </w:num>
  <w:num w:numId="3">
    <w:abstractNumId w:val="2"/>
  </w:num>
  <w:num w:numId="4">
    <w:abstractNumId w:val="1"/>
  </w:num>
  <w:num w:numId="5">
    <w:abstractNumId w:val="1"/>
    <w:lvlOverride w:ilvl="0">
      <w:lvl w:ilvl="0">
        <w:numFmt w:val="upperRoman"/>
        <w:lvlText w:val="%1.-"/>
        <w:lvlJc w:val="left"/>
        <w:pPr>
          <w:tabs>
            <w:tab w:val="num" w:pos="648"/>
          </w:tabs>
          <w:ind w:left="72"/>
        </w:pPr>
        <w:rPr>
          <w:rFonts w:ascii="Verdana" w:hAnsi="Verdana" w:cs="Verdana"/>
          <w:b/>
          <w:bCs/>
          <w:snapToGrid/>
          <w:spacing w:val="1"/>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860F7"/>
    <w:rsid w:val="0084659D"/>
    <w:rsid w:val="009222FC"/>
    <w:rsid w:val="009860F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4659D"/>
  </w:style>
  <w:style w:type="character" w:customStyle="1" w:styleId="CharacterStyle1">
    <w:name w:val="Character Style 1"/>
    <w:uiPriority w:val="99"/>
    <w:rsid w:val="0084659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5802</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2016-01-04T18:33:00Z</dcterms:created>
  <dcterms:modified xsi:type="dcterms:W3CDTF">2016-01-04T18:33:00Z</dcterms:modified>
</cp:coreProperties>
</file>