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37D" w:rsidRDefault="0054127F">
      <w:pPr>
        <w:kinsoku w:val="0"/>
        <w:overflowPunct w:val="0"/>
        <w:autoSpaceDE/>
        <w:autoSpaceDN/>
        <w:adjustRightInd/>
        <w:spacing w:line="259"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RESOLUCION No. TAT-2439-2015</w:t>
      </w:r>
    </w:p>
    <w:p w:rsidR="0098637D" w:rsidRDefault="0054127F">
      <w:pPr>
        <w:kinsoku w:val="0"/>
        <w:overflowPunct w:val="0"/>
        <w:autoSpaceDE/>
        <w:autoSpaceDN/>
        <w:adjustRightInd/>
        <w:spacing w:before="561" w:line="276"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cuarenta y cinco minutos del veintinueve de enero de dos mil quince.</w:t>
      </w:r>
    </w:p>
    <w:p w:rsidR="0098637D" w:rsidRDefault="004B4F9B">
      <w:pPr>
        <w:kinsoku w:val="0"/>
        <w:overflowPunct w:val="0"/>
        <w:autoSpaceDE/>
        <w:autoSpaceDN/>
        <w:adjustRightInd/>
        <w:spacing w:before="265" w:line="276" w:lineRule="exact"/>
        <w:ind w:right="57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Recurso</w:t>
      </w:r>
      <w:r w:rsidR="0054127F">
        <w:rPr>
          <w:rFonts w:ascii="Verdana" w:hAnsi="Verdana" w:cs="Verdana"/>
          <w:b/>
          <w:bCs/>
          <w:sz w:val="22"/>
          <w:szCs w:val="22"/>
          <w:lang w:val="es-ES" w:eastAsia="es-ES"/>
        </w:rPr>
        <w:t xml:space="preserve"> de Revocatoria, </w:t>
      </w:r>
      <w:r w:rsidR="0054127F">
        <w:rPr>
          <w:rFonts w:ascii="Verdana" w:hAnsi="Verdana" w:cs="Verdana"/>
          <w:sz w:val="22"/>
          <w:szCs w:val="22"/>
          <w:lang w:val="es-ES" w:eastAsia="es-ES"/>
        </w:rPr>
        <w:t xml:space="preserve">interpuesto por la empresa </w:t>
      </w:r>
      <w:r w:rsidR="0054127F">
        <w:rPr>
          <w:rFonts w:ascii="Verdana" w:hAnsi="Verdana" w:cs="Verdana"/>
          <w:b/>
          <w:bCs/>
          <w:sz w:val="22"/>
          <w:szCs w:val="22"/>
          <w:lang w:val="es-ES" w:eastAsia="es-ES"/>
        </w:rPr>
        <w:t>S</w:t>
      </w:r>
      <w:r>
        <w:rPr>
          <w:rFonts w:ascii="Verdana" w:hAnsi="Verdana" w:cs="Verdana"/>
          <w:b/>
          <w:bCs/>
          <w:sz w:val="22"/>
          <w:szCs w:val="22"/>
          <w:lang w:val="es-ES" w:eastAsia="es-ES"/>
        </w:rPr>
        <w:t>.P.D.T.N.S.P.S.S.A.</w:t>
      </w:r>
      <w:r w:rsidR="0054127F">
        <w:rPr>
          <w:rFonts w:ascii="Verdana" w:hAnsi="Verdana" w:cs="Verdana"/>
          <w:b/>
          <w:bCs/>
          <w:sz w:val="22"/>
          <w:szCs w:val="22"/>
          <w:lang w:val="es-ES" w:eastAsia="es-ES"/>
        </w:rPr>
        <w:t xml:space="preserve">, CÉDULA JURÍDICA </w:t>
      </w:r>
      <w:proofErr w:type="gramStart"/>
      <w:r w:rsidR="0054127F">
        <w:rPr>
          <w:rFonts w:ascii="Verdana" w:hAnsi="Verdana" w:cs="Verdana"/>
          <w:b/>
          <w:bCs/>
          <w:sz w:val="22"/>
          <w:szCs w:val="22"/>
          <w:lang w:val="es-ES" w:eastAsia="es-ES"/>
        </w:rPr>
        <w:t xml:space="preserve">NÚMERO </w:t>
      </w:r>
      <w:r>
        <w:rPr>
          <w:rFonts w:ascii="Verdana" w:hAnsi="Verdana" w:cs="Verdana"/>
          <w:b/>
          <w:bCs/>
          <w:sz w:val="22"/>
          <w:szCs w:val="22"/>
          <w:lang w:val="es-ES" w:eastAsia="es-ES"/>
        </w:rPr>
        <w:t>…</w:t>
      </w:r>
      <w:proofErr w:type="gramEnd"/>
      <w:r w:rsidR="0054127F">
        <w:rPr>
          <w:rFonts w:ascii="Verdana" w:hAnsi="Verdana" w:cs="Verdana"/>
          <w:b/>
          <w:bCs/>
          <w:sz w:val="22"/>
          <w:szCs w:val="22"/>
          <w:lang w:val="es-ES" w:eastAsia="es-ES"/>
        </w:rPr>
        <w:t xml:space="preserve">, </w:t>
      </w:r>
      <w:r w:rsidR="0054127F">
        <w:rPr>
          <w:rFonts w:ascii="Verdana" w:hAnsi="Verdana" w:cs="Verdana"/>
          <w:sz w:val="22"/>
          <w:szCs w:val="22"/>
          <w:lang w:val="es-ES" w:eastAsia="es-ES"/>
        </w:rPr>
        <w:t xml:space="preserve">por medio de su Apoderado Generalísimo sin Límite de suma señor </w:t>
      </w:r>
      <w:r w:rsidR="0054127F">
        <w:rPr>
          <w:rFonts w:ascii="Verdana" w:hAnsi="Verdana" w:cs="Verdana"/>
          <w:b/>
          <w:bCs/>
          <w:sz w:val="22"/>
          <w:szCs w:val="22"/>
          <w:lang w:val="es-ES" w:eastAsia="es-ES"/>
        </w:rPr>
        <w:t>J</w:t>
      </w:r>
      <w:r>
        <w:rPr>
          <w:rFonts w:ascii="Verdana" w:hAnsi="Verdana" w:cs="Verdana"/>
          <w:b/>
          <w:bCs/>
          <w:sz w:val="22"/>
          <w:szCs w:val="22"/>
          <w:lang w:val="es-ES" w:eastAsia="es-ES"/>
        </w:rPr>
        <w:t>.P.L.S.</w:t>
      </w:r>
      <w:r w:rsidR="0054127F">
        <w:rPr>
          <w:b/>
          <w:bCs/>
          <w:sz w:val="22"/>
          <w:szCs w:val="22"/>
          <w:lang w:val="es-ES" w:eastAsia="es-ES"/>
        </w:rPr>
        <w:t xml:space="preserve">, </w:t>
      </w:r>
      <w:r w:rsidR="0054127F">
        <w:rPr>
          <w:rFonts w:ascii="Verdana" w:hAnsi="Verdana" w:cs="Verdana"/>
          <w:sz w:val="22"/>
          <w:szCs w:val="22"/>
          <w:lang w:val="es-ES" w:eastAsia="es-ES"/>
        </w:rPr>
        <w:t xml:space="preserve">cédula de identidad número </w:t>
      </w:r>
      <w:r>
        <w:rPr>
          <w:rFonts w:ascii="Verdana" w:hAnsi="Verdana" w:cs="Verdana"/>
          <w:sz w:val="22"/>
          <w:szCs w:val="22"/>
          <w:lang w:val="es-ES" w:eastAsia="es-ES"/>
        </w:rPr>
        <w:t>…</w:t>
      </w:r>
      <w:r w:rsidR="0054127F">
        <w:rPr>
          <w:rFonts w:ascii="Verdana" w:hAnsi="Verdana" w:cs="Verdana"/>
          <w:sz w:val="22"/>
          <w:szCs w:val="22"/>
          <w:lang w:val="es-ES" w:eastAsia="es-ES"/>
        </w:rPr>
        <w:t xml:space="preserve">, contra el </w:t>
      </w:r>
      <w:r w:rsidR="0054127F">
        <w:rPr>
          <w:rFonts w:ascii="Verdana" w:hAnsi="Verdana" w:cs="Verdana"/>
          <w:b/>
          <w:bCs/>
          <w:sz w:val="22"/>
          <w:szCs w:val="22"/>
          <w:lang w:val="es-ES" w:eastAsia="es-ES"/>
        </w:rPr>
        <w:t xml:space="preserve">Artículo 7.48.8 de la Sesión Ordinaria N. 86-2013 </w:t>
      </w:r>
      <w:r w:rsidR="0054127F">
        <w:rPr>
          <w:rFonts w:ascii="Verdana" w:hAnsi="Verdana" w:cs="Verdana"/>
          <w:sz w:val="22"/>
          <w:szCs w:val="22"/>
          <w:lang w:val="es-ES" w:eastAsia="es-ES"/>
        </w:rPr>
        <w:t xml:space="preserve">de 21 de noviembre de 2013, dictado por la JUNTA DIRECTIVA DEL CONSEJO DE TRANSPORTE PÚBLICO. </w:t>
      </w:r>
      <w:r w:rsidR="0054127F">
        <w:rPr>
          <w:rFonts w:ascii="Verdana" w:hAnsi="Verdana" w:cs="Verdana"/>
          <w:b/>
          <w:bCs/>
          <w:sz w:val="22"/>
          <w:szCs w:val="22"/>
          <w:lang w:val="es-ES" w:eastAsia="es-ES"/>
        </w:rPr>
        <w:t>El caso se tramita en Expediente Administrativo N. TAT-269-14.</w:t>
      </w:r>
    </w:p>
    <w:p w:rsidR="0098637D" w:rsidRDefault="0054127F">
      <w:pPr>
        <w:kinsoku w:val="0"/>
        <w:overflowPunct w:val="0"/>
        <w:autoSpaceDE/>
        <w:autoSpaceDN/>
        <w:adjustRightInd/>
        <w:spacing w:before="289" w:line="259"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98637D" w:rsidRDefault="0054127F">
      <w:pPr>
        <w:kinsoku w:val="0"/>
        <w:overflowPunct w:val="0"/>
        <w:autoSpaceDE/>
        <w:autoSpaceDN/>
        <w:adjustRightInd/>
        <w:spacing w:before="276" w:line="276" w:lineRule="exact"/>
        <w:ind w:right="576"/>
        <w:jc w:val="both"/>
        <w:textAlignment w:val="baseline"/>
        <w:rPr>
          <w:rFonts w:ascii="Verdana" w:hAnsi="Verdana" w:cs="Verdana"/>
          <w:i/>
          <w:iCs/>
          <w:sz w:val="22"/>
          <w:szCs w:val="22"/>
          <w:lang w:val="es-ES" w:eastAsia="es-ES"/>
        </w:rPr>
      </w:pPr>
      <w:r>
        <w:rPr>
          <w:rFonts w:ascii="Verdana" w:hAnsi="Verdana" w:cs="Verdana"/>
          <w:b/>
          <w:bCs/>
          <w:sz w:val="22"/>
          <w:szCs w:val="22"/>
          <w:lang w:val="es-ES" w:eastAsia="es-ES"/>
        </w:rPr>
        <w:t xml:space="preserve">PRIMERO: La </w:t>
      </w:r>
      <w:r>
        <w:rPr>
          <w:rFonts w:ascii="Verdana" w:hAnsi="Verdana" w:cs="Verdana"/>
          <w:sz w:val="22"/>
          <w:szCs w:val="22"/>
          <w:lang w:val="es-ES" w:eastAsia="es-ES"/>
        </w:rPr>
        <w:t xml:space="preserve">JUNTA DIRECTIVA DEL CONSEJO DE TRANSPORTE PÚBLICO, mediante </w:t>
      </w:r>
      <w:r>
        <w:rPr>
          <w:rFonts w:ascii="Verdana" w:hAnsi="Verdana" w:cs="Verdana"/>
          <w:b/>
          <w:bCs/>
          <w:sz w:val="22"/>
          <w:szCs w:val="22"/>
          <w:lang w:val="es-ES" w:eastAsia="es-ES"/>
        </w:rPr>
        <w:t xml:space="preserve">Artículo 7.48.8 de la Sesión Ordinaria N. 86-2013 </w:t>
      </w:r>
      <w:r>
        <w:rPr>
          <w:rFonts w:ascii="Verdana" w:hAnsi="Verdana" w:cs="Verdana"/>
          <w:sz w:val="22"/>
          <w:szCs w:val="22"/>
          <w:lang w:val="es-ES" w:eastAsia="es-ES"/>
        </w:rPr>
        <w:t xml:space="preserve">de 21 de noviembre de 2013, y en conocimiento de un Recurso administrativo en su parte dispositiva determina Anular los artículos 2.2.48 de la Sesión Extraordinaria 02-2012 del 16 de abril de 2012 y el 3.1 de la Sesión Ordinaria 42-2012 del 2 de julio de 2012, así mismo denegar la solicitud de permiso Especial Estable de Taxi a la firma que recurre en este momento. </w:t>
      </w:r>
      <w:r>
        <w:rPr>
          <w:rFonts w:ascii="Verdana" w:hAnsi="Verdana" w:cs="Verdana"/>
          <w:i/>
          <w:iCs/>
          <w:sz w:val="22"/>
          <w:szCs w:val="22"/>
          <w:lang w:val="es-ES" w:eastAsia="es-ES"/>
        </w:rPr>
        <w:t>(Léanse folios del 59 al 60 del expediente administrativo)</w:t>
      </w:r>
    </w:p>
    <w:p w:rsidR="0098637D" w:rsidRDefault="0054127F" w:rsidP="004B4F9B">
      <w:pPr>
        <w:kinsoku w:val="0"/>
        <w:overflowPunct w:val="0"/>
        <w:autoSpaceDE/>
        <w:autoSpaceDN/>
        <w:adjustRightInd/>
        <w:spacing w:before="360" w:line="276"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El señor </w:t>
      </w:r>
      <w:r>
        <w:rPr>
          <w:b/>
          <w:bCs/>
          <w:sz w:val="22"/>
          <w:szCs w:val="22"/>
          <w:lang w:val="es-ES" w:eastAsia="es-ES"/>
        </w:rPr>
        <w:t>J</w:t>
      </w:r>
      <w:r w:rsidR="004B4F9B">
        <w:rPr>
          <w:b/>
          <w:bCs/>
          <w:sz w:val="22"/>
          <w:szCs w:val="22"/>
          <w:lang w:val="es-ES" w:eastAsia="es-ES"/>
        </w:rPr>
        <w:t>.P.L.S.</w:t>
      </w:r>
      <w:r>
        <w:rPr>
          <w:b/>
          <w:bCs/>
          <w:sz w:val="22"/>
          <w:szCs w:val="22"/>
          <w:lang w:val="es-ES" w:eastAsia="es-ES"/>
        </w:rPr>
        <w:t xml:space="preserve">, </w:t>
      </w:r>
      <w:r>
        <w:rPr>
          <w:rFonts w:ascii="Verdana" w:hAnsi="Verdana" w:cs="Verdana"/>
          <w:sz w:val="22"/>
          <w:szCs w:val="22"/>
          <w:lang w:val="es-ES" w:eastAsia="es-ES"/>
        </w:rPr>
        <w:t>presenta ante el Consejo de Transporte Público el día 23 de enero de 2014 un escrito en el que indica que ya que atendiendo prevención que se le hiciera aporto certificaciones de contar con patente municipal y de estar inscrito ante la Caja del Seguro Social desde el mes de julio de 2011, por lo que contando con todos los requisitos, pide se proceda a emitir</w:t>
      </w:r>
      <w:r w:rsidR="004B4F9B">
        <w:rPr>
          <w:rFonts w:ascii="Verdana" w:hAnsi="Verdana" w:cs="Verdana"/>
          <w:sz w:val="22"/>
          <w:szCs w:val="22"/>
          <w:lang w:val="es-ES" w:eastAsia="es-ES"/>
        </w:rPr>
        <w:t xml:space="preserve"> </w:t>
      </w:r>
      <w:r>
        <w:rPr>
          <w:rFonts w:ascii="Verdana" w:hAnsi="Verdana" w:cs="Verdana"/>
          <w:sz w:val="22"/>
          <w:szCs w:val="22"/>
          <w:lang w:val="es-ES" w:eastAsia="es-ES"/>
        </w:rPr>
        <w:t>la autorización respectiva. (Léase folio 53</w:t>
      </w:r>
      <w:r w:rsidR="004B4F9B">
        <w:rPr>
          <w:rFonts w:ascii="Verdana" w:hAnsi="Verdana" w:cs="Verdana"/>
          <w:sz w:val="22"/>
          <w:szCs w:val="22"/>
          <w:lang w:val="es-ES" w:eastAsia="es-ES"/>
        </w:rPr>
        <w:t xml:space="preserve"> </w:t>
      </w:r>
      <w:r>
        <w:rPr>
          <w:rFonts w:ascii="Verdana" w:hAnsi="Verdana" w:cs="Verdana"/>
          <w:sz w:val="22"/>
          <w:szCs w:val="22"/>
          <w:lang w:val="es-ES" w:eastAsia="es-ES"/>
        </w:rPr>
        <w:t>del expediente administrativo).</w:t>
      </w:r>
    </w:p>
    <w:p w:rsidR="0098637D" w:rsidRDefault="0054127F">
      <w:pPr>
        <w:kinsoku w:val="0"/>
        <w:overflowPunct w:val="0"/>
        <w:autoSpaceDE/>
        <w:autoSpaceDN/>
        <w:adjustRightInd/>
        <w:spacing w:before="305" w:after="474" w:line="276"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7.2.9 de la Sesión Ordinaria N. 62-2014 </w:t>
      </w:r>
      <w:r>
        <w:rPr>
          <w:rFonts w:ascii="Verdana" w:hAnsi="Verdana" w:cs="Verdana"/>
          <w:sz w:val="22"/>
          <w:szCs w:val="22"/>
          <w:lang w:val="es-ES" w:eastAsia="es-ES"/>
        </w:rPr>
        <w:t>de 23 de octubre de 2014, dictado por la JUNTA DIRECTIVA DEL CONSEJO DE TRANSPORTE PÚBLICO, conoce y aprueba el informe jurídico de la Dirección de Asuntos Jurídicos DAJ-2014002926 y rechaza el recurso</w:t>
      </w:r>
    </w:p>
    <w:p w:rsidR="0098637D" w:rsidRDefault="0098637D">
      <w:pPr>
        <w:widowControl/>
        <w:rPr>
          <w:sz w:val="24"/>
          <w:szCs w:val="24"/>
        </w:rPr>
        <w:sectPr w:rsidR="0098637D">
          <w:pgSz w:w="12240" w:h="15840"/>
          <w:pgMar w:top="840" w:right="1498" w:bottom="230" w:left="2102" w:header="720" w:footer="720" w:gutter="0"/>
          <w:cols w:space="720"/>
          <w:noEndnote/>
        </w:sectPr>
      </w:pPr>
    </w:p>
    <w:p w:rsidR="0098637D" w:rsidRDefault="0054127F">
      <w:pPr>
        <w:tabs>
          <w:tab w:val="right" w:pos="2664"/>
        </w:tabs>
        <w:kinsoku w:val="0"/>
        <w:overflowPunct w:val="0"/>
        <w:autoSpaceDE/>
        <w:autoSpaceDN/>
        <w:adjustRightInd/>
        <w:spacing w:line="217" w:lineRule="exact"/>
        <w:textAlignment w:val="baseline"/>
        <w:rPr>
          <w:sz w:val="19"/>
          <w:szCs w:val="19"/>
          <w:lang w:val="es-ES" w:eastAsia="es-ES"/>
        </w:rPr>
      </w:pPr>
      <w:r>
        <w:rPr>
          <w:sz w:val="19"/>
          <w:szCs w:val="19"/>
          <w:lang w:val="es-ES" w:eastAsia="es-ES"/>
        </w:rPr>
        <w:lastRenderedPageBreak/>
        <w:tab/>
      </w:r>
    </w:p>
    <w:p w:rsidR="0098637D" w:rsidRDefault="0098637D">
      <w:pPr>
        <w:widowControl/>
        <w:rPr>
          <w:sz w:val="24"/>
          <w:szCs w:val="24"/>
        </w:rPr>
        <w:sectPr w:rsidR="0098637D">
          <w:type w:val="continuous"/>
          <w:pgSz w:w="12240" w:h="15840"/>
          <w:pgMar w:top="840" w:right="2139" w:bottom="230" w:left="7421" w:header="720" w:footer="720" w:gutter="0"/>
          <w:cols w:space="720"/>
          <w:noEndnote/>
        </w:sectPr>
      </w:pPr>
    </w:p>
    <w:p w:rsidR="0098637D" w:rsidRDefault="0054127F">
      <w:pPr>
        <w:kinsoku w:val="0"/>
        <w:overflowPunct w:val="0"/>
        <w:autoSpaceDE/>
        <w:autoSpaceDN/>
        <w:adjustRightInd/>
        <w:spacing w:line="275" w:lineRule="exact"/>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lastRenderedPageBreak/>
        <w:t>de</w:t>
      </w:r>
      <w:proofErr w:type="gramEnd"/>
      <w:r>
        <w:rPr>
          <w:rFonts w:ascii="Verdana" w:hAnsi="Verdana" w:cs="Verdana"/>
          <w:sz w:val="22"/>
          <w:szCs w:val="22"/>
          <w:lang w:val="es-ES" w:eastAsia="es-ES"/>
        </w:rPr>
        <w:t xml:space="preserve"> revocatoria planteado, por la empresa S</w:t>
      </w:r>
      <w:r w:rsidR="004B4F9B">
        <w:rPr>
          <w:rFonts w:ascii="Verdana" w:hAnsi="Verdana" w:cs="Verdana"/>
          <w:sz w:val="22"/>
          <w:szCs w:val="22"/>
          <w:lang w:val="es-ES" w:eastAsia="es-ES"/>
        </w:rPr>
        <w:t xml:space="preserve">. </w:t>
      </w:r>
      <w:r>
        <w:rPr>
          <w:rFonts w:ascii="Verdana" w:hAnsi="Verdana" w:cs="Verdana"/>
          <w:sz w:val="22"/>
          <w:szCs w:val="22"/>
          <w:lang w:val="es-ES" w:eastAsia="es-ES"/>
        </w:rPr>
        <w:t>(Léanse folios del 1 al 2 y del 45 al 47 del expediente administrativo).</w:t>
      </w:r>
    </w:p>
    <w:p w:rsidR="0098637D" w:rsidRDefault="0054127F">
      <w:pPr>
        <w:kinsoku w:val="0"/>
        <w:overflowPunct w:val="0"/>
        <w:autoSpaceDE/>
        <w:autoSpaceDN/>
        <w:adjustRightInd/>
        <w:spacing w:before="266" w:line="275"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procedimientos seguidos se han observado las prescripciones legales.</w:t>
      </w:r>
    </w:p>
    <w:p w:rsidR="0098637D" w:rsidRDefault="0054127F">
      <w:pPr>
        <w:kinsoku w:val="0"/>
        <w:overflowPunct w:val="0"/>
        <w:autoSpaceDE/>
        <w:autoSpaceDN/>
        <w:adjustRightInd/>
        <w:spacing w:before="270" w:line="275" w:lineRule="exact"/>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Redacta la Jueza Pérez Peláez.</w:t>
      </w:r>
    </w:p>
    <w:p w:rsidR="0098637D" w:rsidRDefault="0054127F">
      <w:pPr>
        <w:kinsoku w:val="0"/>
        <w:overflowPunct w:val="0"/>
        <w:autoSpaceDE/>
        <w:autoSpaceDN/>
        <w:adjustRightInd/>
        <w:spacing w:before="271" w:line="261"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CONSIDERANDO UNICO</w:t>
      </w:r>
    </w:p>
    <w:p w:rsidR="0098637D" w:rsidRDefault="0054127F">
      <w:pPr>
        <w:kinsoku w:val="0"/>
        <w:overflowPunct w:val="0"/>
        <w:autoSpaceDE/>
        <w:autoSpaceDN/>
        <w:adjustRightInd/>
        <w:spacing w:before="270" w:line="275"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Debe procederse al archivo del presente asunto, ya que el recurrente accionó únicamente ante el Consejo de Transporte Público y no ante el Tribunal Administrativo de Transporte, por lo que éste se ve inhibido para conocer del asunto, pues no ha sido pedido así por el Administrado.</w:t>
      </w:r>
    </w:p>
    <w:p w:rsidR="0098637D" w:rsidRDefault="0054127F">
      <w:pPr>
        <w:kinsoku w:val="0"/>
        <w:overflowPunct w:val="0"/>
        <w:autoSpaceDE/>
        <w:autoSpaceDN/>
        <w:adjustRightInd/>
        <w:spacing w:before="271" w:line="27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w:t>
      </w:r>
      <w:r>
        <w:rPr>
          <w:rFonts w:ascii="Verdana" w:hAnsi="Verdana" w:cs="Verdana"/>
          <w:b/>
          <w:bCs/>
          <w:sz w:val="22"/>
          <w:szCs w:val="22"/>
          <w:lang w:val="es-ES" w:eastAsia="es-ES"/>
        </w:rPr>
        <w:t>J</w:t>
      </w:r>
      <w:r w:rsidR="004B4F9B">
        <w:rPr>
          <w:rFonts w:ascii="Verdana" w:hAnsi="Verdana" w:cs="Verdana"/>
          <w:b/>
          <w:bCs/>
          <w:sz w:val="22"/>
          <w:szCs w:val="22"/>
          <w:lang w:val="es-ES" w:eastAsia="es-ES"/>
        </w:rPr>
        <w:t>.P.L.S.</w:t>
      </w:r>
      <w:r>
        <w:rPr>
          <w:rFonts w:ascii="Verdana" w:hAnsi="Verdana" w:cs="Verdana"/>
          <w:b/>
          <w:bCs/>
          <w:sz w:val="22"/>
          <w:szCs w:val="22"/>
          <w:lang w:val="es-ES" w:eastAsia="es-ES"/>
        </w:rPr>
        <w:t xml:space="preserve">, </w:t>
      </w:r>
      <w:r>
        <w:rPr>
          <w:rFonts w:ascii="Verdana" w:hAnsi="Verdana" w:cs="Verdana"/>
          <w:sz w:val="22"/>
          <w:szCs w:val="22"/>
          <w:lang w:val="es-ES" w:eastAsia="es-ES"/>
        </w:rPr>
        <w:t>como se colige de las piezas del expediente, lo que presenta el día 23 de enero del 2004, es un simple documento en el que solicita se le autorice el permiso de Servicio Especial Estable de Taxi que solicita ya que cumplió con los requisitos.</w:t>
      </w:r>
    </w:p>
    <w:p w:rsidR="0098637D" w:rsidRDefault="0054127F">
      <w:pPr>
        <w:kinsoku w:val="0"/>
        <w:overflowPunct w:val="0"/>
        <w:autoSpaceDE/>
        <w:autoSpaceDN/>
        <w:adjustRightInd/>
        <w:spacing w:before="271" w:line="275"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La Dirección Jurídica del Consejo de Transporte Público en su informe DAJ2014002926 de 4 de agosto de 2014, dando una interpretación indebida al principio de informalismo, asume que el documento presentado por </w:t>
      </w:r>
      <w:r>
        <w:rPr>
          <w:rFonts w:ascii="Verdana" w:hAnsi="Verdana" w:cs="Verdana"/>
          <w:b/>
          <w:bCs/>
          <w:spacing w:val="3"/>
          <w:sz w:val="22"/>
          <w:szCs w:val="22"/>
          <w:lang w:val="es-ES" w:eastAsia="es-ES"/>
        </w:rPr>
        <w:t>J</w:t>
      </w:r>
      <w:r w:rsidR="004B4F9B">
        <w:rPr>
          <w:rFonts w:ascii="Verdana" w:hAnsi="Verdana" w:cs="Verdana"/>
          <w:b/>
          <w:bCs/>
          <w:spacing w:val="3"/>
          <w:sz w:val="22"/>
          <w:szCs w:val="22"/>
          <w:lang w:val="es-ES" w:eastAsia="es-ES"/>
        </w:rPr>
        <w:t>.P.L.S.</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corresponde a un recurso de Revocatoria con Apelación en subsidio contra el </w:t>
      </w:r>
      <w:r>
        <w:rPr>
          <w:rFonts w:ascii="Verdana" w:hAnsi="Verdana" w:cs="Verdana"/>
          <w:b/>
          <w:bCs/>
          <w:spacing w:val="3"/>
          <w:sz w:val="22"/>
          <w:szCs w:val="22"/>
          <w:lang w:val="es-ES" w:eastAsia="es-ES"/>
        </w:rPr>
        <w:t xml:space="preserve">Artículo 7.48.8 de la Sesión Ordinaria N. 86-2013 </w:t>
      </w:r>
      <w:r>
        <w:rPr>
          <w:rFonts w:ascii="Verdana" w:hAnsi="Verdana" w:cs="Verdana"/>
          <w:spacing w:val="3"/>
          <w:sz w:val="22"/>
          <w:szCs w:val="22"/>
          <w:lang w:val="es-ES" w:eastAsia="es-ES"/>
        </w:rPr>
        <w:t>de 21 de noviembre de 2013, cosa que no es así, pues el referido señor lo que presenta es una solicitud de revisión pero en ningún momento un recurso de Apelación.</w:t>
      </w:r>
    </w:p>
    <w:p w:rsidR="0098637D" w:rsidRDefault="0054127F" w:rsidP="004B4F9B">
      <w:pPr>
        <w:kinsoku w:val="0"/>
        <w:overflowPunct w:val="0"/>
        <w:autoSpaceDE/>
        <w:autoSpaceDN/>
        <w:adjustRightInd/>
        <w:spacing w:before="285" w:line="273"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El artículo 348 de la Ley General de la Administración Pública señala que </w:t>
      </w:r>
      <w:r>
        <w:rPr>
          <w:rFonts w:ascii="Verdana" w:hAnsi="Verdana" w:cs="Verdana"/>
          <w:i/>
          <w:iCs/>
          <w:spacing w:val="3"/>
          <w:sz w:val="22"/>
          <w:szCs w:val="22"/>
          <w:lang w:val="es-ES" w:eastAsia="es-ES"/>
        </w:rPr>
        <w:t xml:space="preserve">"Los recursos no requieren una redacción ni una pretensión especiales y bastará para su correcta formulación que de </w:t>
      </w:r>
      <w:r>
        <w:rPr>
          <w:rFonts w:ascii="Verdana" w:hAnsi="Verdana" w:cs="Verdana"/>
          <w:b/>
          <w:bCs/>
          <w:i/>
          <w:iCs/>
          <w:spacing w:val="3"/>
          <w:sz w:val="22"/>
          <w:szCs w:val="22"/>
          <w:lang w:val="es-ES" w:eastAsia="es-ES"/>
        </w:rPr>
        <w:t xml:space="preserve">su texto se infiera claramente la petición de revisión" </w:t>
      </w:r>
      <w:r>
        <w:rPr>
          <w:rFonts w:ascii="Verdana" w:hAnsi="Verdana" w:cs="Verdana"/>
          <w:i/>
          <w:iCs/>
          <w:spacing w:val="3"/>
          <w:sz w:val="22"/>
          <w:szCs w:val="22"/>
          <w:lang w:val="es-ES" w:eastAsia="es-ES"/>
        </w:rPr>
        <w:t xml:space="preserve">(el resaltado es nuestro); </w:t>
      </w:r>
      <w:r>
        <w:rPr>
          <w:rFonts w:ascii="Verdana" w:hAnsi="Verdana" w:cs="Verdana"/>
          <w:spacing w:val="3"/>
          <w:sz w:val="22"/>
          <w:szCs w:val="22"/>
          <w:lang w:val="es-ES" w:eastAsia="es-ES"/>
        </w:rPr>
        <w:t>como se colige de lo indicado, se infiere de la solicitud presentada la solicitud de que se revise lo actuado por el Consejo, pero del documento presentado por el señor L</w:t>
      </w:r>
      <w:r w:rsidR="004B4F9B">
        <w:rPr>
          <w:rFonts w:ascii="Verdana" w:hAnsi="Verdana" w:cs="Verdana"/>
          <w:spacing w:val="3"/>
          <w:sz w:val="22"/>
          <w:szCs w:val="22"/>
          <w:lang w:val="es-ES" w:eastAsia="es-ES"/>
        </w:rPr>
        <w:t>.S.</w:t>
      </w:r>
      <w:r>
        <w:rPr>
          <w:rFonts w:ascii="Verdana" w:hAnsi="Verdana" w:cs="Verdana"/>
          <w:spacing w:val="3"/>
          <w:sz w:val="22"/>
          <w:szCs w:val="22"/>
          <w:lang w:val="es-ES" w:eastAsia="es-ES"/>
        </w:rPr>
        <w:t>, el 23 de enero de 2014, no se infiere en ninguna parte su intensión de que se eleve en Apelación ante el Tribunal impugnación contra el acuerdo 7.48.8 de la Sesión Ordinaria 86-2013.</w:t>
      </w:r>
    </w:p>
    <w:p w:rsidR="0098637D" w:rsidRDefault="0054127F">
      <w:pPr>
        <w:kinsoku w:val="0"/>
        <w:overflowPunct w:val="0"/>
        <w:autoSpaceDE/>
        <w:autoSpaceDN/>
        <w:adjustRightInd/>
        <w:spacing w:before="298" w:after="1041" w:line="275"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con el numeral 22 de La Ley de Transporte Remunerado de Personas en Vehículos en la Modalidad de Taxi, N. 7969 del 22 de diciembre de 1999, el Tribunal es competente:</w:t>
      </w:r>
    </w:p>
    <w:p w:rsidR="0098637D" w:rsidRDefault="0098637D">
      <w:pPr>
        <w:widowControl/>
        <w:rPr>
          <w:sz w:val="24"/>
          <w:szCs w:val="24"/>
        </w:rPr>
        <w:sectPr w:rsidR="0098637D">
          <w:pgSz w:w="12240" w:h="15840"/>
          <w:pgMar w:top="1360" w:right="2053" w:bottom="230" w:left="2107" w:header="720" w:footer="720" w:gutter="0"/>
          <w:cols w:space="720"/>
          <w:noEndnote/>
        </w:sectPr>
      </w:pPr>
    </w:p>
    <w:p w:rsidR="0098637D" w:rsidRDefault="0054127F">
      <w:pPr>
        <w:tabs>
          <w:tab w:val="right" w:pos="2736"/>
        </w:tabs>
        <w:kinsoku w:val="0"/>
        <w:overflowPunct w:val="0"/>
        <w:autoSpaceDE/>
        <w:autoSpaceDN/>
        <w:adjustRightInd/>
        <w:spacing w:line="250" w:lineRule="exact"/>
        <w:textAlignment w:val="baseline"/>
        <w:rPr>
          <w:sz w:val="23"/>
          <w:szCs w:val="23"/>
          <w:lang w:val="es-ES" w:eastAsia="es-ES"/>
        </w:rPr>
      </w:pPr>
      <w:r>
        <w:rPr>
          <w:sz w:val="19"/>
          <w:szCs w:val="19"/>
          <w:lang w:val="es-ES" w:eastAsia="es-ES"/>
        </w:rPr>
        <w:tab/>
      </w:r>
    </w:p>
    <w:p w:rsidR="0098637D" w:rsidRDefault="0098637D">
      <w:pPr>
        <w:widowControl/>
        <w:rPr>
          <w:sz w:val="24"/>
          <w:szCs w:val="24"/>
        </w:rPr>
        <w:sectPr w:rsidR="0098637D">
          <w:type w:val="continuous"/>
          <w:pgSz w:w="12240" w:h="15840"/>
          <w:pgMar w:top="1360" w:right="2125" w:bottom="230" w:left="7391" w:header="720" w:footer="720" w:gutter="0"/>
          <w:cols w:space="720"/>
          <w:noEndnote/>
        </w:sectPr>
      </w:pPr>
    </w:p>
    <w:p w:rsidR="0098637D" w:rsidRDefault="0054127F">
      <w:pPr>
        <w:kinsoku w:val="0"/>
        <w:overflowPunct w:val="0"/>
        <w:autoSpaceDE/>
        <w:autoSpaceDN/>
        <w:adjustRightInd/>
        <w:spacing w:before="10" w:line="274" w:lineRule="exact"/>
        <w:ind w:left="432"/>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"ARTÍCULO 22.- Competencia del Tribunal</w:t>
      </w:r>
    </w:p>
    <w:p w:rsidR="0098637D" w:rsidRDefault="0054127F">
      <w:pPr>
        <w:kinsoku w:val="0"/>
        <w:overflowPunct w:val="0"/>
        <w:autoSpaceDE/>
        <w:autoSpaceDN/>
        <w:adjustRightInd/>
        <w:spacing w:before="2" w:line="274" w:lineRule="exact"/>
        <w:ind w:left="432"/>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El Tribunal será competente para lo siguiente:</w:t>
      </w:r>
    </w:p>
    <w:p w:rsidR="0098637D" w:rsidRDefault="0054127F">
      <w:pPr>
        <w:numPr>
          <w:ilvl w:val="0"/>
          <w:numId w:val="1"/>
        </w:numPr>
        <w:kinsoku w:val="0"/>
        <w:overflowPunct w:val="0"/>
        <w:autoSpaceDE/>
        <w:autoSpaceDN/>
        <w:adjustRightInd/>
        <w:spacing w:before="272" w:line="274" w:lineRule="exact"/>
        <w:ind w:right="360"/>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Conocer y resolver, en sede administrativa, los recursos de apelación que se interpongan contra cualquier acto o resolución del Consejo.</w:t>
      </w:r>
    </w:p>
    <w:p w:rsidR="0098637D" w:rsidRDefault="0054127F">
      <w:pPr>
        <w:numPr>
          <w:ilvl w:val="0"/>
          <w:numId w:val="2"/>
        </w:numPr>
        <w:kinsoku w:val="0"/>
        <w:overflowPunct w:val="0"/>
        <w:autoSpaceDE/>
        <w:autoSpaceDN/>
        <w:adjustRightInd/>
        <w:spacing w:line="272"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Establecer, en vía administrativa, las indemnizaciones que puedan originarse en relación con los daños producidos por violaciones de la legislación del transporte público.</w:t>
      </w:r>
    </w:p>
    <w:p w:rsidR="0098637D" w:rsidRDefault="0054127F" w:rsidP="004B4F9B">
      <w:pPr>
        <w:numPr>
          <w:ilvl w:val="0"/>
          <w:numId w:val="2"/>
        </w:numPr>
        <w:kinsoku w:val="0"/>
        <w:overflowPunct w:val="0"/>
        <w:autoSpaceDE/>
        <w:autoSpaceDN/>
        <w:adjustRightInd/>
        <w:spacing w:before="2" w:line="274"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Las resoluciones del </w:t>
      </w:r>
      <w:r>
        <w:rPr>
          <w:rFonts w:ascii="Verdana" w:hAnsi="Verdana" w:cs="Verdana"/>
          <w:b/>
          <w:bCs/>
          <w:i/>
          <w:iCs/>
          <w:sz w:val="22"/>
          <w:szCs w:val="22"/>
          <w:lang w:val="es-ES" w:eastAsia="es-ES"/>
        </w:rPr>
        <w:t xml:space="preserve">Tribunal </w:t>
      </w:r>
      <w:r>
        <w:rPr>
          <w:rFonts w:ascii="Verdana" w:hAnsi="Verdana" w:cs="Verdana"/>
          <w:i/>
          <w:iCs/>
          <w:sz w:val="22"/>
          <w:szCs w:val="22"/>
          <w:lang w:val="es-ES" w:eastAsia="es-ES"/>
        </w:rPr>
        <w:t>no tendrán más recursos y darán por agotada la vía administrativa." ( el resaltado es nuestro)</w:t>
      </w:r>
    </w:p>
    <w:p w:rsidR="0098637D" w:rsidRDefault="0054127F">
      <w:pPr>
        <w:kinsoku w:val="0"/>
        <w:overflowPunct w:val="0"/>
        <w:autoSpaceDE/>
        <w:autoSpaceDN/>
        <w:adjustRightInd/>
        <w:spacing w:before="315" w:line="272" w:lineRule="exact"/>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Como se puede verificar de lo dicho, el órgano de alzada tiene la competencia para conocer de los recursos de apelación que se le presenten contra los actos del Consejo de Transporte Público, sin embargo, al revisar el recurso, en ningún momento el recurrente presenta un recurso de Apelación en subsidio, únicamente Revocatoria, tal hecho inhibe a este colegiado de conocer el asunto en los términos del artículo 347 de la Ley General de la Administración Pública, el cual dispone lo siguiente:</w:t>
      </w:r>
    </w:p>
    <w:p w:rsidR="0098637D" w:rsidRDefault="0054127F">
      <w:pPr>
        <w:kinsoku w:val="0"/>
        <w:overflowPunct w:val="0"/>
        <w:autoSpaceDE/>
        <w:autoSpaceDN/>
        <w:adjustRightInd/>
        <w:spacing w:before="259" w:line="274" w:lineRule="exact"/>
        <w:ind w:left="576"/>
        <w:textAlignment w:val="baseline"/>
        <w:rPr>
          <w:rFonts w:ascii="Verdana" w:hAnsi="Verdana" w:cs="Verdana"/>
          <w:sz w:val="24"/>
          <w:szCs w:val="24"/>
          <w:lang w:eastAsia="en-US"/>
        </w:rPr>
      </w:pPr>
      <w:r>
        <w:rPr>
          <w:rFonts w:ascii="Verdana" w:hAnsi="Verdana" w:cs="Verdana"/>
          <w:i/>
          <w:iCs/>
          <w:spacing w:val="1"/>
          <w:sz w:val="22"/>
          <w:szCs w:val="22"/>
          <w:lang w:val="es-ES" w:eastAsia="es-ES"/>
        </w:rPr>
        <w:t>"Artículo 347.</w:t>
      </w:r>
      <w:r>
        <w:rPr>
          <w:rFonts w:ascii="Verdana" w:hAnsi="Verdana" w:cs="Verdana"/>
          <w:i/>
          <w:iCs/>
          <w:spacing w:val="1"/>
          <w:sz w:val="22"/>
          <w:szCs w:val="22"/>
          <w:lang w:val="es-ES" w:eastAsia="es-ES"/>
        </w:rPr>
        <w:noBreakHyphen/>
      </w:r>
    </w:p>
    <w:p w:rsidR="0098637D" w:rsidRDefault="0054127F">
      <w:pPr>
        <w:numPr>
          <w:ilvl w:val="0"/>
          <w:numId w:val="3"/>
        </w:numPr>
        <w:kinsoku w:val="0"/>
        <w:overflowPunct w:val="0"/>
        <w:autoSpaceDE/>
        <w:autoSpaceDN/>
        <w:adjustRightInd/>
        <w:spacing w:before="273" w:line="274" w:lineRule="exact"/>
        <w:ind w:right="576"/>
        <w:textAlignment w:val="baseline"/>
        <w:rPr>
          <w:rFonts w:ascii="Verdana" w:hAnsi="Verdana" w:cs="Verdana"/>
          <w:i/>
          <w:iCs/>
          <w:sz w:val="22"/>
          <w:szCs w:val="22"/>
          <w:lang w:val="es-ES" w:eastAsia="es-ES"/>
        </w:rPr>
      </w:pPr>
      <w:r>
        <w:rPr>
          <w:rFonts w:ascii="Verdana" w:hAnsi="Verdana" w:cs="Verdana"/>
          <w:i/>
          <w:iCs/>
          <w:sz w:val="22"/>
          <w:szCs w:val="22"/>
          <w:lang w:val="es-ES" w:eastAsia="es-ES"/>
        </w:rPr>
        <w:t>Los recursos podrán también interponerse haciéndolo constar en el acta de la notificación respectiva.</w:t>
      </w:r>
    </w:p>
    <w:p w:rsidR="0098637D" w:rsidRDefault="0054127F">
      <w:pPr>
        <w:numPr>
          <w:ilvl w:val="0"/>
          <w:numId w:val="4"/>
        </w:numPr>
        <w:kinsoku w:val="0"/>
        <w:overflowPunct w:val="0"/>
        <w:autoSpaceDE/>
        <w:autoSpaceDN/>
        <w:adjustRightInd/>
        <w:spacing w:line="271" w:lineRule="exact"/>
        <w:ind w:right="576"/>
        <w:jc w:val="both"/>
        <w:textAlignment w:val="baseline"/>
        <w:rPr>
          <w:rFonts w:ascii="Verdana" w:hAnsi="Verdana" w:cs="Verdana"/>
          <w:b/>
          <w:bCs/>
          <w:i/>
          <w:iCs/>
          <w:spacing w:val="1"/>
          <w:sz w:val="22"/>
          <w:szCs w:val="22"/>
          <w:lang w:val="es-ES" w:eastAsia="es-ES"/>
        </w:rPr>
      </w:pPr>
      <w:r>
        <w:rPr>
          <w:rFonts w:ascii="Verdana" w:hAnsi="Verdana" w:cs="Verdana"/>
          <w:b/>
          <w:bCs/>
          <w:i/>
          <w:iCs/>
          <w:spacing w:val="1"/>
          <w:sz w:val="22"/>
          <w:szCs w:val="22"/>
          <w:lang w:val="es-ES" w:eastAsia="es-ES"/>
        </w:rPr>
        <w:t>Es potestativo usar ambos recursos ordinarios o uno solo de ellos, pero será inadmisible el que se interponga pasados los términos fijados en el artículo anterior.</w:t>
      </w:r>
    </w:p>
    <w:p w:rsidR="0098637D" w:rsidRDefault="0054127F">
      <w:pPr>
        <w:numPr>
          <w:ilvl w:val="0"/>
          <w:numId w:val="4"/>
        </w:numPr>
        <w:kinsoku w:val="0"/>
        <w:overflowPunct w:val="0"/>
        <w:autoSpaceDE/>
        <w:autoSpaceDN/>
        <w:adjustRightInd/>
        <w:spacing w:before="17" w:line="274" w:lineRule="exact"/>
        <w:ind w:right="576"/>
        <w:jc w:val="both"/>
        <w:textAlignment w:val="baseline"/>
        <w:rPr>
          <w:rFonts w:ascii="Verdana" w:hAnsi="Verdana" w:cs="Verdana"/>
          <w:i/>
          <w:iCs/>
          <w:sz w:val="22"/>
          <w:szCs w:val="22"/>
          <w:lang w:val="es-ES" w:eastAsia="es-ES"/>
        </w:rPr>
      </w:pPr>
      <w:r>
        <w:rPr>
          <w:rFonts w:ascii="Verdana" w:hAnsi="Verdana" w:cs="Verdana"/>
          <w:b/>
          <w:bCs/>
          <w:i/>
          <w:iCs/>
          <w:sz w:val="22"/>
          <w:szCs w:val="22"/>
          <w:lang w:val="es-ES" w:eastAsia="es-ES"/>
        </w:rPr>
        <w:t xml:space="preserve">Si se interponen ambos recursos a la vez, se tramitará la apelación una vez declarada sin lugar la revocatoria, "(El </w:t>
      </w:r>
      <w:r>
        <w:rPr>
          <w:rFonts w:ascii="Verdana" w:hAnsi="Verdana" w:cs="Verdana"/>
          <w:i/>
          <w:iCs/>
          <w:sz w:val="22"/>
          <w:szCs w:val="22"/>
          <w:lang w:val="es-ES" w:eastAsia="es-ES"/>
        </w:rPr>
        <w:t>Resaltado es nuestro)</w:t>
      </w:r>
    </w:p>
    <w:p w:rsidR="0098637D" w:rsidRDefault="0054127F">
      <w:pPr>
        <w:kinsoku w:val="0"/>
        <w:overflowPunct w:val="0"/>
        <w:autoSpaceDE/>
        <w:autoSpaceDN/>
        <w:adjustRightInd/>
        <w:spacing w:before="254" w:after="2979" w:line="27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conclusión, asumiendo que el señor </w:t>
      </w:r>
      <w:r>
        <w:rPr>
          <w:rFonts w:ascii="Verdana" w:hAnsi="Verdana" w:cs="Verdana"/>
          <w:b/>
          <w:bCs/>
          <w:sz w:val="22"/>
          <w:szCs w:val="22"/>
          <w:lang w:val="es-ES" w:eastAsia="es-ES"/>
        </w:rPr>
        <w:t>L</w:t>
      </w:r>
      <w:r w:rsidR="004B4F9B">
        <w:rPr>
          <w:rFonts w:ascii="Verdana" w:hAnsi="Verdana" w:cs="Verdana"/>
          <w:b/>
          <w:bCs/>
          <w:sz w:val="22"/>
          <w:szCs w:val="22"/>
          <w:lang w:val="es-ES" w:eastAsia="es-ES"/>
        </w:rPr>
        <w:t>.S.</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el principio de informalismo presentó un recurso de Revocatoria en contra del acuerdo </w:t>
      </w:r>
      <w:r>
        <w:rPr>
          <w:rFonts w:ascii="Verdana" w:hAnsi="Verdana" w:cs="Verdana"/>
          <w:b/>
          <w:bCs/>
          <w:sz w:val="22"/>
          <w:szCs w:val="22"/>
          <w:lang w:val="es-ES" w:eastAsia="es-ES"/>
        </w:rPr>
        <w:t xml:space="preserve">7.48.8 de la Sesión Ordinaria 86-2013, </w:t>
      </w:r>
      <w:r>
        <w:rPr>
          <w:rFonts w:ascii="Verdana" w:hAnsi="Verdana" w:cs="Verdana"/>
          <w:sz w:val="22"/>
          <w:szCs w:val="22"/>
          <w:lang w:val="es-ES" w:eastAsia="es-ES"/>
        </w:rPr>
        <w:t>es claro que no presenta ninguna Apelación en subsidio, por lo que el caso debe archivarse por mal elevado.</w:t>
      </w:r>
    </w:p>
    <w:p w:rsidR="0098637D" w:rsidRDefault="0098637D">
      <w:pPr>
        <w:widowControl/>
        <w:rPr>
          <w:sz w:val="24"/>
          <w:szCs w:val="24"/>
        </w:rPr>
        <w:sectPr w:rsidR="0098637D">
          <w:pgSz w:w="12240" w:h="15840"/>
          <w:pgMar w:top="1360" w:right="2068" w:bottom="220" w:left="2092" w:header="720" w:footer="720" w:gutter="0"/>
          <w:cols w:space="720"/>
          <w:noEndnote/>
        </w:sectPr>
      </w:pPr>
    </w:p>
    <w:p w:rsidR="0098637D" w:rsidRDefault="0054127F">
      <w:pPr>
        <w:tabs>
          <w:tab w:val="right" w:pos="2736"/>
        </w:tabs>
        <w:kinsoku w:val="0"/>
        <w:overflowPunct w:val="0"/>
        <w:autoSpaceDE/>
        <w:autoSpaceDN/>
        <w:adjustRightInd/>
        <w:spacing w:line="251" w:lineRule="exact"/>
        <w:textAlignment w:val="baseline"/>
        <w:rPr>
          <w:rFonts w:ascii="Verdana" w:hAnsi="Verdana" w:cs="Verdana"/>
          <w:sz w:val="22"/>
          <w:szCs w:val="22"/>
          <w:lang w:val="es-ES" w:eastAsia="es-ES"/>
        </w:rPr>
      </w:pPr>
      <w:r>
        <w:rPr>
          <w:sz w:val="19"/>
          <w:szCs w:val="19"/>
          <w:lang w:val="es-ES" w:eastAsia="es-ES"/>
        </w:rPr>
        <w:tab/>
      </w:r>
    </w:p>
    <w:p w:rsidR="0098637D" w:rsidRDefault="0098637D">
      <w:pPr>
        <w:widowControl/>
        <w:rPr>
          <w:sz w:val="24"/>
          <w:szCs w:val="24"/>
        </w:rPr>
        <w:sectPr w:rsidR="0098637D">
          <w:type w:val="continuous"/>
          <w:pgSz w:w="12240" w:h="15840"/>
          <w:pgMar w:top="1360" w:right="2142" w:bottom="220" w:left="7374" w:header="720" w:footer="720" w:gutter="0"/>
          <w:cols w:space="720"/>
          <w:noEndnote/>
        </w:sectPr>
      </w:pPr>
    </w:p>
    <w:p w:rsidR="0098637D" w:rsidRDefault="0054127F">
      <w:pPr>
        <w:kinsoku w:val="0"/>
        <w:overflowPunct w:val="0"/>
        <w:autoSpaceDE/>
        <w:autoSpaceDN/>
        <w:adjustRightInd/>
        <w:spacing w:after="253" w:line="267"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POR TANTO</w:t>
      </w:r>
    </w:p>
    <w:p w:rsidR="0098637D" w:rsidRDefault="0098637D">
      <w:pPr>
        <w:widowControl/>
        <w:rPr>
          <w:sz w:val="24"/>
          <w:szCs w:val="24"/>
        </w:rPr>
        <w:sectPr w:rsidR="0098637D">
          <w:pgSz w:w="12240" w:h="15840"/>
          <w:pgMar w:top="1380" w:right="4739" w:bottom="230" w:left="4777" w:header="720" w:footer="720" w:gutter="0"/>
          <w:cols w:space="720"/>
          <w:noEndnote/>
        </w:sectPr>
      </w:pPr>
    </w:p>
    <w:p w:rsidR="0098637D" w:rsidRPr="004B4F9B" w:rsidRDefault="0054127F" w:rsidP="004B4F9B">
      <w:pPr>
        <w:numPr>
          <w:ilvl w:val="0"/>
          <w:numId w:val="5"/>
        </w:numPr>
        <w:kinsoku w:val="0"/>
        <w:overflowPunct w:val="0"/>
        <w:autoSpaceDE/>
        <w:autoSpaceDN/>
        <w:adjustRightInd/>
        <w:spacing w:before="5" w:line="274" w:lineRule="exact"/>
        <w:jc w:val="both"/>
        <w:textAlignment w:val="baseline"/>
        <w:rPr>
          <w:rFonts w:ascii="Verdana" w:hAnsi="Verdana" w:cs="Verdana"/>
          <w:sz w:val="22"/>
          <w:szCs w:val="22"/>
          <w:lang w:val="es-ES" w:eastAsia="es-ES"/>
        </w:rPr>
      </w:pPr>
      <w:r w:rsidRPr="004B4F9B">
        <w:rPr>
          <w:rFonts w:ascii="Verdana" w:hAnsi="Verdana" w:cs="Verdana"/>
          <w:spacing w:val="3"/>
          <w:sz w:val="22"/>
          <w:szCs w:val="22"/>
          <w:lang w:val="es-ES" w:eastAsia="es-ES"/>
        </w:rPr>
        <w:t xml:space="preserve">Se ordena el archivo por mal elevado de Recurso de Revocatoria interpuesto por la empresa </w:t>
      </w:r>
      <w:r w:rsidRPr="004B4F9B">
        <w:rPr>
          <w:rFonts w:ascii="Verdana" w:hAnsi="Verdana" w:cs="Verdana"/>
          <w:b/>
          <w:bCs/>
          <w:spacing w:val="3"/>
          <w:sz w:val="22"/>
          <w:szCs w:val="22"/>
          <w:lang w:val="es-ES" w:eastAsia="es-ES"/>
        </w:rPr>
        <w:t>S</w:t>
      </w:r>
      <w:r w:rsidR="004B4F9B" w:rsidRPr="004B4F9B">
        <w:rPr>
          <w:rFonts w:ascii="Verdana" w:hAnsi="Verdana" w:cs="Verdana"/>
          <w:b/>
          <w:bCs/>
          <w:spacing w:val="3"/>
          <w:sz w:val="22"/>
          <w:szCs w:val="22"/>
          <w:lang w:val="es-ES" w:eastAsia="es-ES"/>
        </w:rPr>
        <w:t>.P.D.T.N.S.P.S.S.A.</w:t>
      </w:r>
      <w:r w:rsidRPr="004B4F9B">
        <w:rPr>
          <w:rFonts w:ascii="Verdana" w:hAnsi="Verdana" w:cs="Verdana"/>
          <w:b/>
          <w:bCs/>
          <w:spacing w:val="3"/>
          <w:sz w:val="22"/>
          <w:szCs w:val="22"/>
          <w:lang w:val="es-ES" w:eastAsia="es-ES"/>
        </w:rPr>
        <w:t xml:space="preserve">, CÉDULA JURÍDICA </w:t>
      </w:r>
      <w:proofErr w:type="gramStart"/>
      <w:r w:rsidRPr="004B4F9B">
        <w:rPr>
          <w:rFonts w:ascii="Verdana" w:hAnsi="Verdana" w:cs="Verdana"/>
          <w:b/>
          <w:bCs/>
          <w:spacing w:val="3"/>
          <w:sz w:val="22"/>
          <w:szCs w:val="22"/>
          <w:lang w:val="es-ES" w:eastAsia="es-ES"/>
        </w:rPr>
        <w:t xml:space="preserve">NÚMERO </w:t>
      </w:r>
      <w:r w:rsidR="004B4F9B" w:rsidRPr="004B4F9B">
        <w:rPr>
          <w:rFonts w:ascii="Verdana" w:hAnsi="Verdana" w:cs="Verdana"/>
          <w:b/>
          <w:bCs/>
          <w:spacing w:val="3"/>
          <w:sz w:val="22"/>
          <w:szCs w:val="22"/>
          <w:lang w:val="es-ES" w:eastAsia="es-ES"/>
        </w:rPr>
        <w:t>…</w:t>
      </w:r>
      <w:proofErr w:type="gramEnd"/>
      <w:r w:rsidRPr="004B4F9B">
        <w:rPr>
          <w:rFonts w:ascii="Verdana" w:hAnsi="Verdana" w:cs="Verdana"/>
          <w:b/>
          <w:bCs/>
          <w:spacing w:val="3"/>
          <w:sz w:val="22"/>
          <w:szCs w:val="22"/>
          <w:lang w:val="es-ES" w:eastAsia="es-ES"/>
        </w:rPr>
        <w:t xml:space="preserve">, </w:t>
      </w:r>
      <w:r w:rsidRPr="004B4F9B">
        <w:rPr>
          <w:rFonts w:ascii="Verdana" w:hAnsi="Verdana" w:cs="Verdana"/>
          <w:spacing w:val="3"/>
          <w:sz w:val="22"/>
          <w:szCs w:val="22"/>
          <w:lang w:val="es-ES" w:eastAsia="es-ES"/>
        </w:rPr>
        <w:t xml:space="preserve">por medio de su Apoderado Generalísimo sin Límite de suma señor </w:t>
      </w:r>
      <w:r w:rsidRPr="004B4F9B">
        <w:rPr>
          <w:rFonts w:ascii="Verdana" w:hAnsi="Verdana" w:cs="Verdana"/>
          <w:b/>
          <w:bCs/>
          <w:spacing w:val="3"/>
          <w:sz w:val="22"/>
          <w:szCs w:val="22"/>
          <w:lang w:val="es-ES" w:eastAsia="es-ES"/>
        </w:rPr>
        <w:t>J</w:t>
      </w:r>
      <w:r w:rsidR="004B4F9B" w:rsidRPr="004B4F9B">
        <w:rPr>
          <w:rFonts w:ascii="Verdana" w:hAnsi="Verdana" w:cs="Verdana"/>
          <w:b/>
          <w:bCs/>
          <w:spacing w:val="3"/>
          <w:sz w:val="22"/>
          <w:szCs w:val="22"/>
          <w:lang w:val="es-ES" w:eastAsia="es-ES"/>
        </w:rPr>
        <w:t>.P.L.S.</w:t>
      </w:r>
      <w:r w:rsidRPr="004B4F9B">
        <w:rPr>
          <w:rFonts w:ascii="Verdana" w:hAnsi="Verdana" w:cs="Verdana"/>
          <w:b/>
          <w:bCs/>
          <w:sz w:val="22"/>
          <w:szCs w:val="22"/>
          <w:lang w:val="es-ES" w:eastAsia="es-ES"/>
        </w:rPr>
        <w:t xml:space="preserve">, </w:t>
      </w:r>
      <w:r w:rsidRPr="004B4F9B">
        <w:rPr>
          <w:rFonts w:ascii="Verdana" w:hAnsi="Verdana" w:cs="Verdana"/>
          <w:sz w:val="22"/>
          <w:szCs w:val="22"/>
          <w:lang w:val="es-ES" w:eastAsia="es-ES"/>
        </w:rPr>
        <w:t xml:space="preserve">cédula de identidad número </w:t>
      </w:r>
      <w:r w:rsidR="004B4F9B">
        <w:rPr>
          <w:rFonts w:ascii="Verdana" w:hAnsi="Verdana" w:cs="Verdana"/>
          <w:sz w:val="22"/>
          <w:szCs w:val="22"/>
          <w:lang w:val="es-ES" w:eastAsia="es-ES"/>
        </w:rPr>
        <w:t>…</w:t>
      </w:r>
      <w:r w:rsidRPr="004B4F9B">
        <w:rPr>
          <w:rFonts w:ascii="Verdana" w:hAnsi="Verdana" w:cs="Verdana"/>
          <w:sz w:val="22"/>
          <w:szCs w:val="22"/>
          <w:lang w:val="es-ES" w:eastAsia="es-ES"/>
        </w:rPr>
        <w:t>,</w:t>
      </w:r>
      <w:r w:rsidRPr="004B4F9B">
        <w:rPr>
          <w:rFonts w:ascii="Verdana" w:hAnsi="Verdana" w:cs="Verdana"/>
          <w:sz w:val="22"/>
          <w:szCs w:val="22"/>
          <w:lang w:val="es-ES" w:eastAsia="es-ES"/>
        </w:rPr>
        <w:tab/>
        <w:t>contra el</w:t>
      </w:r>
      <w:r w:rsidR="004B4F9B">
        <w:rPr>
          <w:rFonts w:ascii="Verdana" w:hAnsi="Verdana" w:cs="Verdana"/>
          <w:sz w:val="22"/>
          <w:szCs w:val="22"/>
          <w:lang w:val="es-ES" w:eastAsia="es-ES"/>
        </w:rPr>
        <w:t xml:space="preserve"> </w:t>
      </w:r>
      <w:r w:rsidRPr="004B4F9B">
        <w:rPr>
          <w:rFonts w:ascii="Verdana" w:hAnsi="Verdana" w:cs="Verdana"/>
          <w:b/>
          <w:bCs/>
          <w:sz w:val="22"/>
          <w:szCs w:val="22"/>
          <w:lang w:val="es-ES" w:eastAsia="es-ES"/>
        </w:rPr>
        <w:t xml:space="preserve">Artículo 7.48.8 de la Sesión Ordinaria N. 86-2013 </w:t>
      </w:r>
      <w:r w:rsidRPr="004B4F9B">
        <w:rPr>
          <w:rFonts w:ascii="Verdana" w:hAnsi="Verdana" w:cs="Verdana"/>
          <w:sz w:val="22"/>
          <w:szCs w:val="22"/>
          <w:lang w:val="es-ES" w:eastAsia="es-ES"/>
        </w:rPr>
        <w:t>de 21 de noviembre de 2013, dictado por la JUNTA DIRECTIVA DEL CONSEJO DE TRANSPORTE PÚBLICO.</w:t>
      </w:r>
    </w:p>
    <w:p w:rsidR="004B4F9B" w:rsidRPr="004B4F9B" w:rsidRDefault="0054127F" w:rsidP="004B4F9B">
      <w:pPr>
        <w:numPr>
          <w:ilvl w:val="0"/>
          <w:numId w:val="6"/>
        </w:numPr>
        <w:kinsoku w:val="0"/>
        <w:overflowPunct w:val="0"/>
        <w:autoSpaceDE/>
        <w:autoSpaceDN/>
        <w:adjustRightInd/>
        <w:spacing w:before="288" w:after="916" w:line="275" w:lineRule="exact"/>
        <w:jc w:val="both"/>
        <w:textAlignment w:val="baseline"/>
        <w:rPr>
          <w:sz w:val="24"/>
          <w:szCs w:val="24"/>
          <w:lang w:val="en-US"/>
        </w:rPr>
      </w:pP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NOTIFIQUESE.</w:t>
      </w:r>
    </w:p>
    <w:p w:rsidR="004B4F9B" w:rsidRPr="00CF40A0" w:rsidRDefault="004B4F9B" w:rsidP="004B4F9B">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4B4F9B" w:rsidRDefault="004B4F9B" w:rsidP="004B4F9B">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4B4F9B" w:rsidRDefault="004B4F9B" w:rsidP="004B4F9B">
      <w:pPr>
        <w:kinsoku w:val="0"/>
        <w:overflowPunct w:val="0"/>
        <w:autoSpaceDE/>
        <w:autoSpaceDN/>
        <w:adjustRightInd/>
        <w:spacing w:before="329" w:after="374" w:line="320" w:lineRule="exact"/>
        <w:ind w:left="72" w:right="72"/>
        <w:jc w:val="center"/>
        <w:textAlignment w:val="baseline"/>
        <w:rPr>
          <w:b/>
          <w:bCs/>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98637D" w:rsidRDefault="004B4F9B" w:rsidP="004B4F9B">
      <w:pPr>
        <w:kinsoku w:val="0"/>
        <w:overflowPunct w:val="0"/>
        <w:autoSpaceDE/>
        <w:autoSpaceDN/>
        <w:adjustRightInd/>
        <w:spacing w:before="288" w:after="916" w:line="275" w:lineRule="exact"/>
        <w:ind w:left="72"/>
        <w:jc w:val="both"/>
        <w:textAlignment w:val="baseline"/>
        <w:rPr>
          <w:sz w:val="24"/>
          <w:szCs w:val="24"/>
        </w:rPr>
        <w:sectPr w:rsidR="0098637D">
          <w:type w:val="continuous"/>
          <w:pgSz w:w="12240" w:h="15840"/>
          <w:pgMar w:top="1380" w:right="2077" w:bottom="230" w:left="2083" w:header="720" w:footer="720" w:gutter="0"/>
          <w:cols w:space="720"/>
          <w:noEndnote/>
        </w:sectPr>
      </w:pPr>
      <w:r>
        <w:rPr>
          <w:sz w:val="24"/>
          <w:szCs w:val="24"/>
        </w:rPr>
        <w:t xml:space="preserve"> </w:t>
      </w:r>
    </w:p>
    <w:p w:rsidR="0054127F" w:rsidRDefault="0054127F" w:rsidP="004B4F9B">
      <w:pPr>
        <w:tabs>
          <w:tab w:val="right" w:pos="2736"/>
        </w:tabs>
        <w:kinsoku w:val="0"/>
        <w:overflowPunct w:val="0"/>
        <w:autoSpaceDE/>
        <w:autoSpaceDN/>
        <w:adjustRightInd/>
        <w:spacing w:line="262" w:lineRule="exact"/>
        <w:textAlignment w:val="baseline"/>
        <w:rPr>
          <w:rFonts w:ascii="Verdana" w:hAnsi="Verdana" w:cs="Verdana"/>
          <w:spacing w:val="-6"/>
          <w:sz w:val="22"/>
          <w:szCs w:val="22"/>
          <w:lang w:val="es-ES" w:eastAsia="es-ES"/>
        </w:rPr>
      </w:pPr>
    </w:p>
    <w:sectPr w:rsidR="0054127F" w:rsidSect="0098637D">
      <w:type w:val="continuous"/>
      <w:pgSz w:w="12240" w:h="15840"/>
      <w:pgMar w:top="1380" w:right="2170" w:bottom="230" w:left="734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C872"/>
    <w:multiLevelType w:val="singleLevel"/>
    <w:tmpl w:val="2270AAA1"/>
    <w:lvl w:ilvl="0">
      <w:start w:val="1"/>
      <w:numFmt w:val="decimal"/>
      <w:lvlText w:val="%1."/>
      <w:lvlJc w:val="left"/>
      <w:pPr>
        <w:tabs>
          <w:tab w:val="num" w:pos="936"/>
        </w:tabs>
        <w:ind w:left="576"/>
      </w:pPr>
      <w:rPr>
        <w:rFonts w:ascii="Verdana" w:hAnsi="Verdana" w:cs="Verdana"/>
        <w:i/>
        <w:iCs/>
        <w:snapToGrid/>
        <w:sz w:val="22"/>
        <w:szCs w:val="22"/>
      </w:rPr>
    </w:lvl>
  </w:abstractNum>
  <w:abstractNum w:abstractNumId="1">
    <w:nsid w:val="0344B1C5"/>
    <w:multiLevelType w:val="singleLevel"/>
    <w:tmpl w:val="3B1677CC"/>
    <w:lvl w:ilvl="0">
      <w:start w:val="1"/>
      <w:numFmt w:val="lowerLetter"/>
      <w:lvlText w:val="%1)"/>
      <w:lvlJc w:val="left"/>
      <w:pPr>
        <w:tabs>
          <w:tab w:val="num" w:pos="936"/>
        </w:tabs>
        <w:ind w:left="432"/>
      </w:pPr>
      <w:rPr>
        <w:rFonts w:ascii="Verdana" w:hAnsi="Verdana" w:cs="Verdana"/>
        <w:b/>
        <w:bCs/>
        <w:i/>
        <w:iCs/>
        <w:snapToGrid/>
        <w:sz w:val="22"/>
        <w:szCs w:val="22"/>
      </w:rPr>
    </w:lvl>
  </w:abstractNum>
  <w:abstractNum w:abstractNumId="2">
    <w:nsid w:val="07DE3946"/>
    <w:multiLevelType w:val="singleLevel"/>
    <w:tmpl w:val="6E3CFD30"/>
    <w:lvl w:ilvl="0">
      <w:start w:val="1"/>
      <w:numFmt w:val="upperRoman"/>
      <w:lvlText w:val="%1.-"/>
      <w:lvlJc w:val="left"/>
      <w:pPr>
        <w:tabs>
          <w:tab w:val="num" w:pos="576"/>
        </w:tabs>
        <w:ind w:left="72"/>
      </w:pPr>
      <w:rPr>
        <w:rFonts w:ascii="Verdana" w:hAnsi="Verdana" w:cs="Verdana"/>
        <w:snapToGrid/>
        <w:spacing w:val="3"/>
        <w:sz w:val="22"/>
        <w:szCs w:val="22"/>
      </w:rPr>
    </w:lvl>
  </w:abstractNum>
  <w:num w:numId="1">
    <w:abstractNumId w:val="1"/>
  </w:num>
  <w:num w:numId="2">
    <w:abstractNumId w:val="1"/>
    <w:lvlOverride w:ilvl="0">
      <w:lvl w:ilvl="0">
        <w:numFmt w:val="lowerLetter"/>
        <w:lvlText w:val="%1)"/>
        <w:lvlJc w:val="left"/>
        <w:pPr>
          <w:tabs>
            <w:tab w:val="num" w:pos="720"/>
          </w:tabs>
          <w:ind w:left="432"/>
        </w:pPr>
        <w:rPr>
          <w:rFonts w:ascii="Verdana" w:hAnsi="Verdana" w:cs="Verdana"/>
          <w:i/>
          <w:iCs/>
          <w:snapToGrid/>
          <w:sz w:val="22"/>
          <w:szCs w:val="22"/>
        </w:rPr>
      </w:lvl>
    </w:lvlOverride>
  </w:num>
  <w:num w:numId="3">
    <w:abstractNumId w:val="0"/>
  </w:num>
  <w:num w:numId="4">
    <w:abstractNumId w:val="0"/>
    <w:lvlOverride w:ilvl="0">
      <w:lvl w:ilvl="0">
        <w:numFmt w:val="decimal"/>
        <w:lvlText w:val="%1."/>
        <w:lvlJc w:val="left"/>
        <w:pPr>
          <w:tabs>
            <w:tab w:val="num" w:pos="936"/>
          </w:tabs>
          <w:ind w:left="576"/>
        </w:pPr>
        <w:rPr>
          <w:rFonts w:ascii="Verdana" w:hAnsi="Verdana" w:cs="Verdana"/>
          <w:b/>
          <w:bCs/>
          <w:i/>
          <w:iCs/>
          <w:snapToGrid/>
          <w:spacing w:val="1"/>
          <w:sz w:val="22"/>
          <w:szCs w:val="22"/>
        </w:rPr>
      </w:lvl>
    </w:lvlOverride>
  </w:num>
  <w:num w:numId="5">
    <w:abstractNumId w:val="2"/>
  </w:num>
  <w:num w:numId="6">
    <w:abstractNumId w:val="2"/>
    <w:lvlOverride w:ilvl="0">
      <w:lvl w:ilvl="0">
        <w:numFmt w:val="upperRoman"/>
        <w:lvlText w:val="%1.-"/>
        <w:lvlJc w:val="left"/>
        <w:pPr>
          <w:tabs>
            <w:tab w:val="num" w:pos="720"/>
          </w:tabs>
          <w:ind w:left="72"/>
        </w:pPr>
        <w:rPr>
          <w:rFonts w:ascii="Verdana" w:hAnsi="Verdana" w:cs="Verdana"/>
          <w:snapToGrid/>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4B4F9B"/>
    <w:rsid w:val="001B2FE9"/>
    <w:rsid w:val="004B4F9B"/>
    <w:rsid w:val="00532D92"/>
    <w:rsid w:val="0054127F"/>
    <w:rsid w:val="0098637D"/>
    <w:rsid w:val="00C7421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8637D"/>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B4F9B"/>
  </w:style>
  <w:style w:type="character" w:customStyle="1" w:styleId="CharacterStyle1">
    <w:name w:val="Character Style 1"/>
    <w:uiPriority w:val="99"/>
    <w:rsid w:val="004B4F9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5527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2016-01-04T20:25:00Z</dcterms:created>
  <dcterms:modified xsi:type="dcterms:W3CDTF">2016-01-04T20:25:00Z</dcterms:modified>
</cp:coreProperties>
</file>