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5D81">
      <w:pPr>
        <w:kinsoku w:val="0"/>
        <w:overflowPunct w:val="0"/>
        <w:autoSpaceDE/>
        <w:autoSpaceDN/>
        <w:adjustRightInd/>
        <w:spacing w:line="241"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No. TAT-2441-2015</w:t>
      </w:r>
    </w:p>
    <w:p w:rsidR="00000000" w:rsidRDefault="00635D81">
      <w:pPr>
        <w:kinsoku w:val="0"/>
        <w:overflowPunct w:val="0"/>
        <w:autoSpaceDE/>
        <w:autoSpaceDN/>
        <w:adjustRightInd/>
        <w:spacing w:before="513" w:line="256" w:lineRule="exact"/>
        <w:ind w:right="576"/>
        <w:jc w:val="both"/>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w:t>
      </w:r>
      <w:r>
        <w:rPr>
          <w:rFonts w:ascii="Verdana" w:hAnsi="Verdana" w:cs="Verdana"/>
          <w:lang w:val="es-ES" w:eastAsia="es-ES"/>
        </w:rPr>
        <w:t>, a las diez horas cuarenta y siete minutos del veintinueve de enero de dos mil quince.</w:t>
      </w:r>
    </w:p>
    <w:p w:rsidR="00000000" w:rsidRDefault="00635D81" w:rsidP="00903FD5">
      <w:pPr>
        <w:kinsoku w:val="0"/>
        <w:overflowPunct w:val="0"/>
        <w:autoSpaceDE/>
        <w:autoSpaceDN/>
        <w:adjustRightInd/>
        <w:spacing w:before="281" w:line="248" w:lineRule="exact"/>
        <w:ind w:right="576"/>
        <w:jc w:val="both"/>
        <w:textAlignment w:val="baseline"/>
        <w:rPr>
          <w:rFonts w:ascii="Verdana" w:hAnsi="Verdana" w:cs="Verdana"/>
          <w:b/>
          <w:bCs/>
          <w:lang w:val="es-ES" w:eastAsia="es-ES"/>
        </w:rPr>
      </w:pPr>
      <w:r>
        <w:rPr>
          <w:rFonts w:ascii="Verdana" w:hAnsi="Verdana" w:cs="Verdana"/>
          <w:b/>
          <w:bCs/>
          <w:lang w:val="es-ES" w:eastAsia="es-ES"/>
        </w:rPr>
        <w:t xml:space="preserve">Recurso de Revocatoria con Apelación en Subsidio, </w:t>
      </w:r>
      <w:r>
        <w:rPr>
          <w:rFonts w:ascii="Verdana" w:hAnsi="Verdana" w:cs="Verdana"/>
          <w:lang w:val="es-ES" w:eastAsia="es-ES"/>
        </w:rPr>
        <w:t xml:space="preserve">interpuesto por la empresa </w:t>
      </w:r>
      <w:r>
        <w:rPr>
          <w:rFonts w:ascii="Verdana" w:hAnsi="Verdana" w:cs="Verdana"/>
          <w:b/>
          <w:bCs/>
          <w:lang w:val="es-ES" w:eastAsia="es-ES"/>
        </w:rPr>
        <w:t>P</w:t>
      </w:r>
      <w:r w:rsidR="00903FD5">
        <w:rPr>
          <w:rFonts w:ascii="Verdana" w:hAnsi="Verdana" w:cs="Verdana"/>
          <w:b/>
          <w:bCs/>
          <w:lang w:val="es-ES" w:eastAsia="es-ES"/>
        </w:rPr>
        <w:t>.D.G.P.S.A.</w:t>
      </w:r>
      <w:r>
        <w:rPr>
          <w:rFonts w:ascii="Verdana" w:hAnsi="Verdana" w:cs="Verdana"/>
          <w:b/>
          <w:bCs/>
          <w:lang w:val="es-ES" w:eastAsia="es-ES"/>
        </w:rPr>
        <w:t xml:space="preserve">, CÉDULA JURÍDICA </w:t>
      </w:r>
      <w:proofErr w:type="gramStart"/>
      <w:r>
        <w:rPr>
          <w:rFonts w:ascii="Verdana" w:hAnsi="Verdana" w:cs="Verdana"/>
          <w:b/>
          <w:bCs/>
          <w:lang w:val="es-ES" w:eastAsia="es-ES"/>
        </w:rPr>
        <w:t xml:space="preserve">NÚMERO </w:t>
      </w:r>
      <w:r w:rsidR="00903FD5">
        <w:rPr>
          <w:rFonts w:ascii="Verdana" w:hAnsi="Verdana" w:cs="Verdana"/>
          <w:b/>
          <w:bCs/>
          <w:lang w:val="es-ES" w:eastAsia="es-ES"/>
        </w:rPr>
        <w:t>…</w:t>
      </w:r>
      <w:proofErr w:type="gramEnd"/>
      <w:r>
        <w:rPr>
          <w:rFonts w:ascii="Verdana" w:hAnsi="Verdana" w:cs="Verdana"/>
          <w:b/>
          <w:bCs/>
          <w:lang w:val="es-ES" w:eastAsia="es-ES"/>
        </w:rPr>
        <w:t xml:space="preserve">, </w:t>
      </w:r>
      <w:r>
        <w:rPr>
          <w:rFonts w:ascii="Verdana" w:hAnsi="Verdana" w:cs="Verdana"/>
          <w:lang w:val="es-ES" w:eastAsia="es-ES"/>
        </w:rPr>
        <w:t xml:space="preserve">por medio de </w:t>
      </w:r>
      <w:r>
        <w:rPr>
          <w:rFonts w:ascii="Verdana" w:hAnsi="Verdana" w:cs="Verdana"/>
          <w:lang w:val="es-ES" w:eastAsia="es-ES"/>
        </w:rPr>
        <w:t xml:space="preserve">su Apoderada Generalísima sin Límite de suma la señora </w:t>
      </w:r>
      <w:r>
        <w:rPr>
          <w:rFonts w:ascii="Verdana" w:hAnsi="Verdana" w:cs="Verdana"/>
          <w:b/>
          <w:bCs/>
          <w:lang w:val="es-ES" w:eastAsia="es-ES"/>
        </w:rPr>
        <w:t>M</w:t>
      </w:r>
      <w:r w:rsidR="00903FD5">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903FD5">
        <w:rPr>
          <w:rFonts w:ascii="Verdana" w:hAnsi="Verdana" w:cs="Verdana"/>
          <w:lang w:val="es-ES" w:eastAsia="es-ES"/>
        </w:rPr>
        <w:t>…</w:t>
      </w:r>
      <w:r>
        <w:rPr>
          <w:rFonts w:ascii="Verdana" w:hAnsi="Verdana" w:cs="Verdana"/>
          <w:lang w:val="es-ES" w:eastAsia="es-ES"/>
        </w:rPr>
        <w:t xml:space="preserve">, contra el </w:t>
      </w:r>
      <w:r>
        <w:rPr>
          <w:rFonts w:ascii="Verdana" w:hAnsi="Verdana" w:cs="Verdana"/>
          <w:b/>
          <w:bCs/>
          <w:lang w:val="es-ES" w:eastAsia="es-ES"/>
        </w:rPr>
        <w:t xml:space="preserve">Artículo 2.2.54 de la Sesión Extraordinaria N. 02-2012 </w:t>
      </w:r>
      <w:r>
        <w:rPr>
          <w:rFonts w:ascii="Verdana" w:hAnsi="Verdana" w:cs="Verdana"/>
          <w:lang w:val="es-ES" w:eastAsia="es-ES"/>
        </w:rPr>
        <w:t>de 16 de abril de 2012, dictado por la JUNTA DIRECTIVA DEL CONSEJO DE T</w:t>
      </w:r>
      <w:r>
        <w:rPr>
          <w:rFonts w:ascii="Verdana" w:hAnsi="Verdana" w:cs="Verdana"/>
          <w:lang w:val="es-ES" w:eastAsia="es-ES"/>
        </w:rPr>
        <w:t xml:space="preserve">RANSPORTE PÚBLICO. </w:t>
      </w:r>
      <w:r>
        <w:rPr>
          <w:rFonts w:ascii="Verdana" w:hAnsi="Verdana" w:cs="Verdana"/>
          <w:b/>
          <w:bCs/>
          <w:lang w:val="es-ES" w:eastAsia="es-ES"/>
        </w:rPr>
        <w:t>El caso se tramita en Expediente Administrativo N. TAT-203-14.</w:t>
      </w:r>
    </w:p>
    <w:p w:rsidR="00000000" w:rsidRDefault="00903FD5">
      <w:pPr>
        <w:kinsoku w:val="0"/>
        <w:overflowPunct w:val="0"/>
        <w:autoSpaceDE/>
        <w:autoSpaceDN/>
        <w:adjustRightInd/>
        <w:spacing w:before="263" w:line="242"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RESULTAN</w:t>
      </w:r>
      <w:r w:rsidR="00635D81">
        <w:rPr>
          <w:rFonts w:ascii="Verdana" w:hAnsi="Verdana" w:cs="Verdana"/>
          <w:b/>
          <w:bCs/>
          <w:spacing w:val="-3"/>
          <w:lang w:val="es-ES" w:eastAsia="es-ES"/>
        </w:rPr>
        <w:t>DO</w:t>
      </w:r>
    </w:p>
    <w:p w:rsidR="00000000" w:rsidRDefault="00635D81">
      <w:pPr>
        <w:kinsoku w:val="0"/>
        <w:overflowPunct w:val="0"/>
        <w:autoSpaceDE/>
        <w:autoSpaceDN/>
        <w:adjustRightInd/>
        <w:spacing w:before="547" w:line="248" w:lineRule="exact"/>
        <w:ind w:right="576"/>
        <w:jc w:val="both"/>
        <w:textAlignment w:val="baseline"/>
        <w:rPr>
          <w:rFonts w:ascii="Verdana" w:hAnsi="Verdana" w:cs="Verdana"/>
          <w:i/>
          <w:iCs/>
          <w:lang w:val="es-ES" w:eastAsia="es-ES"/>
        </w:rPr>
      </w:pPr>
      <w:r>
        <w:rPr>
          <w:rFonts w:ascii="Verdana" w:hAnsi="Verdana" w:cs="Verdana"/>
          <w:b/>
          <w:bCs/>
          <w:lang w:val="es-ES" w:eastAsia="es-ES"/>
        </w:rPr>
        <w:t xml:space="preserve">PRIMERO: </w:t>
      </w: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2.2.54 de la Sesión Extraordinaria N. 02-2012 </w:t>
      </w:r>
      <w:r>
        <w:rPr>
          <w:rFonts w:ascii="Verdana" w:hAnsi="Verdana" w:cs="Verdana"/>
          <w:lang w:val="es-ES" w:eastAsia="es-ES"/>
        </w:rPr>
        <w:t>de 16 de abril de 2012, en su parte</w:t>
      </w:r>
      <w:r>
        <w:rPr>
          <w:rFonts w:ascii="Verdana" w:hAnsi="Verdana" w:cs="Verdana"/>
          <w:lang w:val="es-ES" w:eastAsia="es-ES"/>
        </w:rPr>
        <w:t xml:space="preserve"> dispositiva determina que la empresa Recurrente no cumplió en el proceso de acreditación para permisos Especiales Estables de Taxi, según los requisitos establecidos en los transitorios de la Ley 8955. </w:t>
      </w:r>
      <w:r>
        <w:rPr>
          <w:rFonts w:ascii="Verdana" w:hAnsi="Verdana" w:cs="Verdana"/>
          <w:i/>
          <w:iCs/>
          <w:lang w:val="es-ES" w:eastAsia="es-ES"/>
        </w:rPr>
        <w:t>(Léanse folios del 17 vuelto al 18 del expediente adm</w:t>
      </w:r>
      <w:r>
        <w:rPr>
          <w:rFonts w:ascii="Verdana" w:hAnsi="Verdana" w:cs="Verdana"/>
          <w:i/>
          <w:iCs/>
          <w:lang w:val="es-ES" w:eastAsia="es-ES"/>
        </w:rPr>
        <w:t>inistrativo)</w:t>
      </w:r>
    </w:p>
    <w:p w:rsidR="00000000" w:rsidRDefault="00635D81">
      <w:pPr>
        <w:kinsoku w:val="0"/>
        <w:overflowPunct w:val="0"/>
        <w:autoSpaceDE/>
        <w:autoSpaceDN/>
        <w:adjustRightInd/>
        <w:spacing w:before="371" w:line="248" w:lineRule="exact"/>
        <w:ind w:right="576"/>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 xml:space="preserve">La señora </w:t>
      </w:r>
      <w:r>
        <w:rPr>
          <w:rFonts w:ascii="Verdana" w:hAnsi="Verdana" w:cs="Verdana"/>
          <w:b/>
          <w:bCs/>
          <w:lang w:val="es-ES" w:eastAsia="es-ES"/>
        </w:rPr>
        <w:t>M</w:t>
      </w:r>
      <w:r w:rsidR="00903FD5">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presenta ante el Consejo de Transporte Público, Recurso de Revocatoria en contra de lo dispuesto en el </w:t>
      </w:r>
      <w:r>
        <w:rPr>
          <w:rFonts w:ascii="Verdana" w:hAnsi="Verdana" w:cs="Verdana"/>
          <w:b/>
          <w:bCs/>
          <w:lang w:val="es-ES" w:eastAsia="es-ES"/>
        </w:rPr>
        <w:t>Artículo 2.2.54 de la Sesión Extraordinaria N. 02</w:t>
      </w:r>
      <w:r w:rsidR="00903FD5">
        <w:rPr>
          <w:rFonts w:ascii="Verdana" w:hAnsi="Verdana" w:cs="Verdana"/>
          <w:b/>
          <w:bCs/>
          <w:lang w:val="es-ES" w:eastAsia="es-ES"/>
        </w:rPr>
        <w:t>-</w:t>
      </w:r>
      <w:r>
        <w:rPr>
          <w:rFonts w:ascii="Verdana" w:hAnsi="Verdana" w:cs="Verdana"/>
          <w:b/>
          <w:bCs/>
          <w:lang w:val="es-ES" w:eastAsia="es-ES"/>
        </w:rPr>
        <w:softHyphen/>
        <w:t xml:space="preserve">2012 </w:t>
      </w:r>
      <w:r>
        <w:rPr>
          <w:rFonts w:ascii="Verdana" w:hAnsi="Verdana" w:cs="Verdana"/>
          <w:lang w:val="es-ES" w:eastAsia="es-ES"/>
        </w:rPr>
        <w:t>de 16 de abril de 2012, dictado por la J</w:t>
      </w:r>
      <w:r>
        <w:rPr>
          <w:rFonts w:ascii="Verdana" w:hAnsi="Verdana" w:cs="Verdana"/>
          <w:lang w:val="es-ES" w:eastAsia="es-ES"/>
        </w:rPr>
        <w:t>UNTA DIRECTIVA DEL CONSEJO DE TRANSPORTE PÚBLICO, Y QUE LE FUE NOTIFICADO EL DÍA 2 DE JULIO DE 2012, al considerar que cumplió con todos los requisitos. (Léanse folios 16 y 17 del expediente administrativo).</w:t>
      </w:r>
    </w:p>
    <w:p w:rsidR="00000000" w:rsidRDefault="00635D81">
      <w:pPr>
        <w:kinsoku w:val="0"/>
        <w:overflowPunct w:val="0"/>
        <w:autoSpaceDE/>
        <w:autoSpaceDN/>
        <w:adjustRightInd/>
        <w:spacing w:before="292" w:line="248" w:lineRule="exact"/>
        <w:ind w:right="576"/>
        <w:jc w:val="both"/>
        <w:textAlignment w:val="baseline"/>
        <w:rPr>
          <w:rFonts w:ascii="Verdana" w:hAnsi="Verdana" w:cs="Verdana"/>
          <w:spacing w:val="4"/>
          <w:lang w:val="es-ES" w:eastAsia="es-ES"/>
        </w:rPr>
      </w:pPr>
      <w:r>
        <w:rPr>
          <w:rFonts w:ascii="Verdana" w:hAnsi="Verdana" w:cs="Verdana"/>
          <w:b/>
          <w:bCs/>
          <w:spacing w:val="4"/>
          <w:lang w:val="es-ES" w:eastAsia="es-ES"/>
        </w:rPr>
        <w:t xml:space="preserve">TERCERO: </w:t>
      </w:r>
      <w:r>
        <w:rPr>
          <w:rFonts w:ascii="Verdana" w:hAnsi="Verdana" w:cs="Verdana"/>
          <w:spacing w:val="4"/>
          <w:lang w:val="es-ES" w:eastAsia="es-ES"/>
        </w:rPr>
        <w:t>La Junta Directiva del Consejo de Trans</w:t>
      </w:r>
      <w:r>
        <w:rPr>
          <w:rFonts w:ascii="Verdana" w:hAnsi="Verdana" w:cs="Verdana"/>
          <w:spacing w:val="4"/>
          <w:lang w:val="es-ES" w:eastAsia="es-ES"/>
        </w:rPr>
        <w:t xml:space="preserve">porte Público, mediante </w:t>
      </w:r>
      <w:r>
        <w:rPr>
          <w:rFonts w:ascii="Verdana" w:hAnsi="Verdana" w:cs="Verdana"/>
          <w:b/>
          <w:bCs/>
          <w:spacing w:val="4"/>
          <w:lang w:val="es-ES" w:eastAsia="es-ES"/>
        </w:rPr>
        <w:t xml:space="preserve">acuerdo 7.10 de la Sesión Ordinaria N. 62-2014 </w:t>
      </w:r>
      <w:r>
        <w:rPr>
          <w:rFonts w:ascii="Verdana" w:hAnsi="Verdana" w:cs="Verdana"/>
          <w:spacing w:val="4"/>
          <w:lang w:val="es-ES" w:eastAsia="es-ES"/>
        </w:rPr>
        <w:t>de 23 de octubre de 2014, conoce y aprueba el informe jurídico de la Dirección de Asuntos Jurídicos DAJ-2014-001931 de fecha 14 de mayo de 2014 y acoge parcialmente el recurso de Revoca</w:t>
      </w:r>
      <w:r>
        <w:rPr>
          <w:rFonts w:ascii="Verdana" w:hAnsi="Verdana" w:cs="Verdana"/>
          <w:spacing w:val="4"/>
          <w:lang w:val="es-ES" w:eastAsia="es-ES"/>
        </w:rPr>
        <w:t>toria respecto de varias placas a las cuales se solicita autorizar el Permiso de Servicio Especial Estable de Taxi y lo rechaza en cuanto a otro número de vehículos. (Léanse folios del 1 al 8 del expediente administrativo).</w:t>
      </w:r>
    </w:p>
    <w:p w:rsidR="00000000" w:rsidRDefault="00635D81">
      <w:pPr>
        <w:kinsoku w:val="0"/>
        <w:overflowPunct w:val="0"/>
        <w:autoSpaceDE/>
        <w:autoSpaceDN/>
        <w:adjustRightInd/>
        <w:spacing w:before="289" w:after="432" w:line="255" w:lineRule="exact"/>
        <w:ind w:right="576"/>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acuerdo 5.4.1 de la Sesión Ordinaria N. 34-2012 del 7 de junio de 2012, </w:t>
      </w:r>
      <w:r>
        <w:rPr>
          <w:rFonts w:ascii="Verdana" w:hAnsi="Verdana" w:cs="Verdana"/>
          <w:lang w:val="es-ES" w:eastAsia="es-ES"/>
        </w:rPr>
        <w:t>corrige error material en cuanto a la calificación de las solicitudes de varios de los vehículos presentados por la Recur</w:t>
      </w:r>
      <w:r>
        <w:rPr>
          <w:rFonts w:ascii="Verdana" w:hAnsi="Verdana" w:cs="Verdana"/>
          <w:lang w:val="es-ES" w:eastAsia="es-ES"/>
        </w:rPr>
        <w:t>rente para que se les autorizara Permiso de Servicio Especial Estable de Taxi y procede a</w:t>
      </w:r>
    </w:p>
    <w:p w:rsidR="00000000" w:rsidRDefault="00635D81">
      <w:pPr>
        <w:widowControl/>
        <w:rPr>
          <w:sz w:val="24"/>
          <w:szCs w:val="24"/>
        </w:rPr>
        <w:sectPr w:rsidR="00000000">
          <w:pgSz w:w="12240" w:h="15840"/>
          <w:pgMar w:top="860" w:right="1541" w:bottom="200" w:left="2059" w:header="720" w:footer="720" w:gutter="0"/>
          <w:cols w:space="720"/>
          <w:noEndnote/>
        </w:sectPr>
      </w:pPr>
    </w:p>
    <w:p w:rsidR="00000000" w:rsidRDefault="00635D81">
      <w:pPr>
        <w:tabs>
          <w:tab w:val="left" w:pos="2592"/>
        </w:tabs>
        <w:kinsoku w:val="0"/>
        <w:overflowPunct w:val="0"/>
        <w:autoSpaceDE/>
        <w:autoSpaceDN/>
        <w:adjustRightInd/>
        <w:spacing w:before="9" w:line="248" w:lineRule="exact"/>
        <w:textAlignment w:val="baseline"/>
        <w:rPr>
          <w:sz w:val="19"/>
          <w:szCs w:val="19"/>
          <w:lang w:val="es-ES" w:eastAsia="es-ES"/>
        </w:rPr>
      </w:pPr>
    </w:p>
    <w:p w:rsidR="00000000" w:rsidRDefault="00635D81">
      <w:pPr>
        <w:widowControl/>
        <w:rPr>
          <w:sz w:val="24"/>
          <w:szCs w:val="24"/>
        </w:rPr>
        <w:sectPr w:rsidR="00000000">
          <w:type w:val="continuous"/>
          <w:pgSz w:w="12240" w:h="15840"/>
          <w:pgMar w:top="860" w:right="1997" w:bottom="200" w:left="7363" w:header="720" w:footer="720" w:gutter="0"/>
          <w:cols w:space="720"/>
          <w:noEndnote/>
        </w:sectPr>
      </w:pPr>
    </w:p>
    <w:p w:rsidR="00000000" w:rsidRDefault="00635D81">
      <w:pPr>
        <w:kinsoku w:val="0"/>
        <w:overflowPunct w:val="0"/>
        <w:autoSpaceDE/>
        <w:autoSpaceDN/>
        <w:adjustRightInd/>
        <w:spacing w:before="13" w:line="251" w:lineRule="exact"/>
        <w:ind w:right="72"/>
        <w:jc w:val="both"/>
        <w:textAlignment w:val="baseline"/>
        <w:rPr>
          <w:rFonts w:ascii="Verdana" w:hAnsi="Verdana" w:cs="Verdana"/>
          <w:lang w:val="es-ES" w:eastAsia="es-ES"/>
        </w:rPr>
      </w:pPr>
      <w:proofErr w:type="gramStart"/>
      <w:r>
        <w:rPr>
          <w:rFonts w:ascii="Verdana" w:hAnsi="Verdana" w:cs="Verdana"/>
          <w:lang w:val="es-ES" w:eastAsia="es-ES"/>
        </w:rPr>
        <w:lastRenderedPageBreak/>
        <w:t>autorizar</w:t>
      </w:r>
      <w:proofErr w:type="gramEnd"/>
      <w:r>
        <w:rPr>
          <w:rFonts w:ascii="Verdana" w:hAnsi="Verdana" w:cs="Verdana"/>
          <w:lang w:val="es-ES" w:eastAsia="es-ES"/>
        </w:rPr>
        <w:t xml:space="preserve"> las unidades para el cantó</w:t>
      </w:r>
      <w:r>
        <w:rPr>
          <w:rFonts w:ascii="Verdana" w:hAnsi="Verdana" w:cs="Verdana"/>
          <w:lang w:val="es-ES" w:eastAsia="es-ES"/>
        </w:rPr>
        <w:t>n de Goicoechea y de Moravia. Dicho acuerdo le es notificado a la recurrente el 30 de julio de 2012. (Léanse folios del 9 al 10 del expediente administrativo).</w:t>
      </w:r>
    </w:p>
    <w:p w:rsidR="00000000" w:rsidRDefault="00635D81" w:rsidP="00903FD5">
      <w:pPr>
        <w:kinsoku w:val="0"/>
        <w:overflowPunct w:val="0"/>
        <w:autoSpaceDE/>
        <w:autoSpaceDN/>
        <w:adjustRightInd/>
        <w:spacing w:before="263" w:line="251" w:lineRule="exact"/>
        <w:ind w:right="72"/>
        <w:jc w:val="both"/>
        <w:textAlignment w:val="baseline"/>
        <w:rPr>
          <w:rFonts w:ascii="Verdana" w:hAnsi="Verdana" w:cs="Verdana"/>
          <w:spacing w:val="4"/>
          <w:lang w:val="es-ES" w:eastAsia="es-ES"/>
        </w:rPr>
      </w:pPr>
      <w:r>
        <w:rPr>
          <w:rFonts w:ascii="Verdana" w:hAnsi="Verdana" w:cs="Verdana"/>
          <w:b/>
          <w:bCs/>
          <w:spacing w:val="4"/>
          <w:lang w:val="es-ES" w:eastAsia="es-ES"/>
        </w:rPr>
        <w:t xml:space="preserve">QUINTO: </w:t>
      </w:r>
      <w:r>
        <w:rPr>
          <w:rFonts w:ascii="Verdana" w:hAnsi="Verdana" w:cs="Verdana"/>
          <w:spacing w:val="4"/>
          <w:lang w:val="es-ES" w:eastAsia="es-ES"/>
        </w:rPr>
        <w:t>La señora M</w:t>
      </w:r>
      <w:r w:rsidR="00903FD5">
        <w:rPr>
          <w:rFonts w:ascii="Verdana" w:hAnsi="Verdana" w:cs="Verdana"/>
          <w:spacing w:val="4"/>
          <w:lang w:val="es-ES" w:eastAsia="es-ES"/>
        </w:rPr>
        <w:t>.R.C.</w:t>
      </w:r>
      <w:r>
        <w:rPr>
          <w:rFonts w:ascii="Verdana" w:hAnsi="Verdana" w:cs="Verdana"/>
          <w:spacing w:val="4"/>
          <w:lang w:val="es-ES" w:eastAsia="es-ES"/>
        </w:rPr>
        <w:t xml:space="preserve"> en representación de la aquí recurrente, presenta ant</w:t>
      </w:r>
      <w:r>
        <w:rPr>
          <w:rFonts w:ascii="Verdana" w:hAnsi="Verdana" w:cs="Verdana"/>
          <w:spacing w:val="4"/>
          <w:lang w:val="es-ES" w:eastAsia="es-ES"/>
        </w:rPr>
        <w:t>e el Consejo de Transporte Público el día 2 de octubre de 2013, escrito en el cual indica que si bien fueron aprobadas por la Junta Directiva la</w:t>
      </w:r>
      <w:r w:rsidR="00903FD5">
        <w:rPr>
          <w:rFonts w:ascii="Verdana" w:hAnsi="Verdana" w:cs="Verdana"/>
          <w:spacing w:val="4"/>
          <w:lang w:val="es-ES" w:eastAsia="es-ES"/>
        </w:rPr>
        <w:t>s placas correspondientes a Moravia y Goicoeche</w:t>
      </w:r>
      <w:r>
        <w:rPr>
          <w:rFonts w:ascii="Verdana" w:hAnsi="Verdana" w:cs="Verdana"/>
          <w:spacing w:val="4"/>
          <w:lang w:val="es-ES" w:eastAsia="es-ES"/>
        </w:rPr>
        <w:t>a, no fue así respecto de las de Jacó, por lo que en aplicación</w:t>
      </w:r>
      <w:r>
        <w:rPr>
          <w:rFonts w:ascii="Verdana" w:hAnsi="Verdana" w:cs="Verdana"/>
          <w:spacing w:val="4"/>
          <w:lang w:val="es-ES" w:eastAsia="es-ES"/>
        </w:rPr>
        <w:t xml:space="preserve"> </w:t>
      </w:r>
      <w:r>
        <w:rPr>
          <w:rFonts w:ascii="Verdana" w:hAnsi="Verdana" w:cs="Verdana"/>
          <w:spacing w:val="4"/>
          <w:lang w:val="es-ES" w:eastAsia="es-ES"/>
        </w:rPr>
        <w:t>del principio de informalismo solicita que los escritos que ha venido presentando meses atrás sobre el tema sean tenidos como Recurso de Revocatoria con Apelación en Subsidio. (Léase folio 6 del expediente administrativo)</w:t>
      </w:r>
    </w:p>
    <w:p w:rsidR="00000000" w:rsidRDefault="00635D81">
      <w:pPr>
        <w:kinsoku w:val="0"/>
        <w:overflowPunct w:val="0"/>
        <w:autoSpaceDE/>
        <w:autoSpaceDN/>
        <w:adjustRightInd/>
        <w:spacing w:before="242" w:line="251" w:lineRule="exact"/>
        <w:ind w:right="72"/>
        <w:jc w:val="both"/>
        <w:textAlignment w:val="baseline"/>
        <w:rPr>
          <w:rFonts w:ascii="Verdana" w:hAnsi="Verdana" w:cs="Verdana"/>
          <w:lang w:val="es-ES" w:eastAsia="es-ES"/>
        </w:rPr>
      </w:pPr>
      <w:r>
        <w:rPr>
          <w:rFonts w:ascii="Verdana" w:hAnsi="Verdana" w:cs="Verdana"/>
          <w:b/>
          <w:bCs/>
          <w:lang w:val="es-ES" w:eastAsia="es-ES"/>
        </w:rPr>
        <w:t xml:space="preserve">SEXTO: </w:t>
      </w:r>
      <w:r>
        <w:rPr>
          <w:rFonts w:ascii="Verdana" w:hAnsi="Verdana" w:cs="Verdana"/>
          <w:lang w:val="es-ES" w:eastAsia="es-ES"/>
        </w:rPr>
        <w:t>En los procedimientos segui</w:t>
      </w:r>
      <w:r>
        <w:rPr>
          <w:rFonts w:ascii="Verdana" w:hAnsi="Verdana" w:cs="Verdana"/>
          <w:lang w:val="es-ES" w:eastAsia="es-ES"/>
        </w:rPr>
        <w:t>dos se han observado las prescripciones legales.</w:t>
      </w:r>
    </w:p>
    <w:p w:rsidR="00000000" w:rsidRDefault="00635D81">
      <w:pPr>
        <w:kinsoku w:val="0"/>
        <w:overflowPunct w:val="0"/>
        <w:autoSpaceDE/>
        <w:autoSpaceDN/>
        <w:adjustRightInd/>
        <w:spacing w:before="253" w:line="251" w:lineRule="exact"/>
        <w:ind w:right="72"/>
        <w:textAlignment w:val="baseline"/>
        <w:rPr>
          <w:rFonts w:ascii="Verdana" w:hAnsi="Verdana" w:cs="Verdana"/>
          <w:spacing w:val="4"/>
          <w:lang w:val="es-ES" w:eastAsia="es-ES"/>
        </w:rPr>
      </w:pPr>
      <w:r>
        <w:rPr>
          <w:rFonts w:ascii="Verdana" w:hAnsi="Verdana" w:cs="Verdana"/>
          <w:spacing w:val="4"/>
          <w:lang w:val="es-ES" w:eastAsia="es-ES"/>
        </w:rPr>
        <w:t>Redacta la Jueza Pérez Peláez.</w:t>
      </w:r>
    </w:p>
    <w:p w:rsidR="00000000" w:rsidRDefault="00635D81">
      <w:pPr>
        <w:kinsoku w:val="0"/>
        <w:overflowPunct w:val="0"/>
        <w:autoSpaceDE/>
        <w:autoSpaceDN/>
        <w:adjustRightInd/>
        <w:spacing w:before="518" w:line="512" w:lineRule="exact"/>
        <w:ind w:right="72" w:firstLine="2664"/>
        <w:textAlignment w:val="baseline"/>
        <w:rPr>
          <w:rFonts w:ascii="Verdana" w:hAnsi="Verdana" w:cs="Verdana"/>
          <w:b/>
          <w:bCs/>
          <w:lang w:val="es-ES" w:eastAsia="es-ES"/>
        </w:rPr>
      </w:pPr>
      <w:r>
        <w:rPr>
          <w:rFonts w:ascii="Verdana" w:hAnsi="Verdana" w:cs="Verdana"/>
          <w:b/>
          <w:bCs/>
          <w:lang w:val="es-ES" w:eastAsia="es-ES"/>
        </w:rPr>
        <w:t>CONSIDERANDO UNICO</w:t>
      </w:r>
      <w:r>
        <w:rPr>
          <w:rFonts w:ascii="Verdana" w:hAnsi="Verdana" w:cs="Verdana"/>
          <w:b/>
          <w:bCs/>
          <w:lang w:val="es-ES" w:eastAsia="es-ES"/>
        </w:rPr>
        <w:br/>
        <w:t>SE RECHAZA POR EXTEMPORANEO</w:t>
      </w:r>
    </w:p>
    <w:p w:rsidR="00000000" w:rsidRDefault="00635D81">
      <w:pPr>
        <w:kinsoku w:val="0"/>
        <w:overflowPunct w:val="0"/>
        <w:autoSpaceDE/>
        <w:autoSpaceDN/>
        <w:adjustRightInd/>
        <w:spacing w:before="526" w:line="251" w:lineRule="exact"/>
        <w:ind w:right="72"/>
        <w:jc w:val="both"/>
        <w:textAlignment w:val="baseline"/>
        <w:rPr>
          <w:rFonts w:ascii="Verdana" w:hAnsi="Verdana" w:cs="Verdana"/>
          <w:lang w:val="es-ES" w:eastAsia="es-ES"/>
        </w:rPr>
      </w:pPr>
      <w:r>
        <w:rPr>
          <w:rFonts w:ascii="Verdana" w:hAnsi="Verdana" w:cs="Verdana"/>
          <w:lang w:val="es-ES" w:eastAsia="es-ES"/>
        </w:rPr>
        <w:t xml:space="preserve">La señora </w:t>
      </w:r>
      <w:r>
        <w:rPr>
          <w:rFonts w:ascii="Verdana" w:hAnsi="Verdana" w:cs="Verdana"/>
          <w:b/>
          <w:bCs/>
          <w:lang w:val="es-ES" w:eastAsia="es-ES"/>
        </w:rPr>
        <w:t>M</w:t>
      </w:r>
      <w:r w:rsidR="00903FD5">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presenta ante el Consejo de Transporte Pú</w:t>
      </w:r>
      <w:r>
        <w:rPr>
          <w:rFonts w:ascii="Verdana" w:hAnsi="Verdana" w:cs="Verdana"/>
          <w:lang w:val="es-ES" w:eastAsia="es-ES"/>
        </w:rPr>
        <w:t xml:space="preserve">blico, el 3 de julio de 2012, Recurso de Revocatoria contra lo dispuesto en el </w:t>
      </w:r>
      <w:r>
        <w:rPr>
          <w:rFonts w:ascii="Verdana" w:hAnsi="Verdana" w:cs="Verdana"/>
          <w:b/>
          <w:bCs/>
          <w:lang w:val="es-ES" w:eastAsia="es-ES"/>
        </w:rPr>
        <w:t>Artículo 2.2.54 de la Sesión Extraordinaria N. 02</w:t>
      </w:r>
      <w:r>
        <w:rPr>
          <w:rFonts w:ascii="Verdana" w:hAnsi="Verdana" w:cs="Verdana"/>
          <w:b/>
          <w:bCs/>
          <w:lang w:val="es-ES" w:eastAsia="es-ES"/>
        </w:rPr>
        <w:softHyphen/>
        <w:t xml:space="preserve">2012 </w:t>
      </w:r>
      <w:r>
        <w:rPr>
          <w:rFonts w:ascii="Verdana" w:hAnsi="Verdana" w:cs="Verdana"/>
          <w:lang w:val="es-ES" w:eastAsia="es-ES"/>
        </w:rPr>
        <w:t>de 16 de abril de 2012, dictado por la JUNTA DIRECTIVA DEL CONSEJO DE TRANSPORTE PÚBLICO, y que le fue notificado el día 2</w:t>
      </w:r>
      <w:r>
        <w:rPr>
          <w:rFonts w:ascii="Verdana" w:hAnsi="Verdana" w:cs="Verdana"/>
          <w:lang w:val="es-ES" w:eastAsia="es-ES"/>
        </w:rPr>
        <w:t xml:space="preserve"> de julio de 2012, al considerar que cumplió con todos los requisitos, para el otorgamiento de los Permisos de Servicio Especial Estable de Taxi que solicitó.</w:t>
      </w:r>
    </w:p>
    <w:p w:rsidR="00000000" w:rsidRDefault="00635D81">
      <w:pPr>
        <w:kinsoku w:val="0"/>
        <w:overflowPunct w:val="0"/>
        <w:autoSpaceDE/>
        <w:autoSpaceDN/>
        <w:adjustRightInd/>
        <w:spacing w:before="222" w:line="251"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Ahora bien la señora R</w:t>
      </w:r>
      <w:r w:rsidR="00903FD5">
        <w:rPr>
          <w:rFonts w:ascii="Verdana" w:hAnsi="Verdana" w:cs="Verdana"/>
          <w:spacing w:val="4"/>
          <w:lang w:val="es-ES" w:eastAsia="es-ES"/>
        </w:rPr>
        <w:t>.C.</w:t>
      </w:r>
      <w:r>
        <w:rPr>
          <w:rFonts w:ascii="Verdana" w:hAnsi="Verdana" w:cs="Verdana"/>
          <w:spacing w:val="4"/>
          <w:lang w:val="es-ES" w:eastAsia="es-ES"/>
        </w:rPr>
        <w:t xml:space="preserve"> en representación de la aquí recurrente, presenta ante el </w:t>
      </w:r>
      <w:r>
        <w:rPr>
          <w:rFonts w:ascii="Verdana" w:hAnsi="Verdana" w:cs="Verdana"/>
          <w:spacing w:val="4"/>
          <w:lang w:val="es-ES" w:eastAsia="es-ES"/>
        </w:rPr>
        <w:t xml:space="preserve">Consejo de Transporte Público el día 2 de octubre de 2013, escrito en el cual indica que si bien fueron aprobadas por la Junta Directiva las placas correspondientes a Moravia y Goicoechea, (esto en acuerdo </w:t>
      </w:r>
      <w:r>
        <w:rPr>
          <w:rFonts w:ascii="Verdana" w:hAnsi="Verdana" w:cs="Verdana"/>
          <w:b/>
          <w:bCs/>
          <w:spacing w:val="4"/>
          <w:lang w:val="es-ES" w:eastAsia="es-ES"/>
        </w:rPr>
        <w:t>5.4.1 de la Sesión Ordinaria N. 34-2012 del 7 de j</w:t>
      </w:r>
      <w:r>
        <w:rPr>
          <w:rFonts w:ascii="Verdana" w:hAnsi="Verdana" w:cs="Verdana"/>
          <w:b/>
          <w:bCs/>
          <w:spacing w:val="4"/>
          <w:lang w:val="es-ES" w:eastAsia="es-ES"/>
        </w:rPr>
        <w:t xml:space="preserve">unio de 2012), </w:t>
      </w:r>
      <w:r>
        <w:rPr>
          <w:rFonts w:ascii="Verdana" w:hAnsi="Verdana" w:cs="Verdana"/>
          <w:spacing w:val="4"/>
          <w:lang w:val="es-ES" w:eastAsia="es-ES"/>
        </w:rPr>
        <w:t>no fue así respecto de las placas de Jacó, por lo que en aplicación del principio de informalismo solicita que los escritos que ha venido presentando meses atrás sobre el tema sean tenidos como Recurso de Revocatoria con Apelación en Subsidi</w:t>
      </w:r>
      <w:r>
        <w:rPr>
          <w:rFonts w:ascii="Verdana" w:hAnsi="Verdana" w:cs="Verdana"/>
          <w:spacing w:val="4"/>
          <w:lang w:val="es-ES" w:eastAsia="es-ES"/>
        </w:rPr>
        <w:t>o. (Léase folio 6 del expediente administrativo)</w:t>
      </w:r>
    </w:p>
    <w:p w:rsidR="00000000" w:rsidRDefault="00635D81">
      <w:pPr>
        <w:kinsoku w:val="0"/>
        <w:overflowPunct w:val="0"/>
        <w:autoSpaceDE/>
        <w:autoSpaceDN/>
        <w:adjustRightInd/>
        <w:spacing w:before="296" w:line="255"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Así las cosas, no puede tenerse presentado en tiempo el Recurso de Apelación, pues como se dijo en un primer momento lo que presenta es únicamente el recurso de Revocatoria y varios meses después, solicita q</w:t>
      </w:r>
      <w:r>
        <w:rPr>
          <w:rFonts w:ascii="Verdana" w:hAnsi="Verdana" w:cs="Verdana"/>
          <w:spacing w:val="4"/>
          <w:lang w:val="es-ES" w:eastAsia="es-ES"/>
        </w:rPr>
        <w:t>ue por el principio de informalismo se tenga como recurso de Apelación, por lo</w:t>
      </w:r>
    </w:p>
    <w:p w:rsidR="00000000" w:rsidRDefault="00635D81" w:rsidP="00903FD5">
      <w:pPr>
        <w:tabs>
          <w:tab w:val="right" w:pos="7992"/>
        </w:tabs>
        <w:kinsoku w:val="0"/>
        <w:overflowPunct w:val="0"/>
        <w:autoSpaceDE/>
        <w:autoSpaceDN/>
        <w:adjustRightInd/>
        <w:spacing w:after="536" w:line="251" w:lineRule="exact"/>
        <w:ind w:right="72"/>
        <w:jc w:val="both"/>
        <w:textAlignment w:val="baseline"/>
        <w:rPr>
          <w:rFonts w:ascii="Verdana" w:hAnsi="Verdana" w:cs="Verdana"/>
          <w:i/>
          <w:iCs/>
          <w:spacing w:val="1"/>
          <w:lang w:val="es-ES" w:eastAsia="es-ES"/>
        </w:rPr>
      </w:pPr>
      <w:r>
        <w:rPr>
          <w:rFonts w:ascii="Verdana" w:hAnsi="Verdana" w:cs="Verdana"/>
          <w:spacing w:val="1"/>
          <w:lang w:val="es-ES" w:eastAsia="es-ES"/>
        </w:rPr>
        <w:t>que tal recurso es extemporáneo y así tiene que declararse;</w:t>
      </w:r>
      <w:r w:rsidR="00903FD5">
        <w:rPr>
          <w:rFonts w:ascii="Verdana" w:hAnsi="Verdana" w:cs="Verdana"/>
          <w:spacing w:val="1"/>
          <w:lang w:val="es-ES" w:eastAsia="es-ES"/>
        </w:rPr>
        <w:t xml:space="preserve"> </w:t>
      </w:r>
      <w:r>
        <w:rPr>
          <w:rFonts w:ascii="Verdana" w:hAnsi="Verdana" w:cs="Verdana"/>
          <w:spacing w:val="1"/>
          <w:lang w:val="es-ES" w:eastAsia="es-ES"/>
        </w:rPr>
        <w:t>de</w:t>
      </w:r>
      <w:r w:rsidR="00903FD5">
        <w:rPr>
          <w:rFonts w:ascii="Verdana" w:hAnsi="Verdana" w:cs="Verdana"/>
          <w:spacing w:val="1"/>
          <w:lang w:val="es-ES" w:eastAsia="es-ES"/>
        </w:rPr>
        <w:t xml:space="preserve"> </w:t>
      </w:r>
      <w:r>
        <w:rPr>
          <w:rFonts w:ascii="Verdana" w:hAnsi="Verdana" w:cs="Verdana"/>
          <w:spacing w:val="1"/>
          <w:lang w:val="es-ES" w:eastAsia="es-ES"/>
        </w:rPr>
        <w:t>conformidad con el numeral 11 de la Ley Reguladora del Servicio Público de Transporte Remunerado de Personas en ve</w:t>
      </w:r>
      <w:r>
        <w:rPr>
          <w:rFonts w:ascii="Verdana" w:hAnsi="Verdana" w:cs="Verdana"/>
          <w:spacing w:val="1"/>
          <w:lang w:val="es-ES" w:eastAsia="es-ES"/>
        </w:rPr>
        <w:t xml:space="preserve">hículos en la modalidad de taxi, Ley N°7969, del 28 de enero del 2000, </w:t>
      </w:r>
      <w:r>
        <w:rPr>
          <w:rFonts w:ascii="Verdana" w:hAnsi="Verdana" w:cs="Verdana"/>
          <w:i/>
          <w:iCs/>
          <w:spacing w:val="1"/>
          <w:lang w:val="es-ES" w:eastAsia="es-ES"/>
        </w:rPr>
        <w:t>"Contra las resoluciones del</w:t>
      </w:r>
    </w:p>
    <w:p w:rsidR="00000000" w:rsidRDefault="00635D81">
      <w:pPr>
        <w:widowControl/>
        <w:rPr>
          <w:sz w:val="24"/>
          <w:szCs w:val="24"/>
        </w:rPr>
        <w:sectPr w:rsidR="00000000">
          <w:pgSz w:w="12240" w:h="15840"/>
          <w:pgMar w:top="1360" w:right="2042" w:bottom="220" w:left="2078" w:header="720" w:footer="720" w:gutter="0"/>
          <w:cols w:space="720"/>
          <w:noEndnote/>
        </w:sectPr>
      </w:pPr>
    </w:p>
    <w:p w:rsidR="00000000" w:rsidRDefault="00635D81">
      <w:pPr>
        <w:tabs>
          <w:tab w:val="right" w:pos="2808"/>
        </w:tabs>
        <w:kinsoku w:val="0"/>
        <w:overflowPunct w:val="0"/>
        <w:autoSpaceDE/>
        <w:autoSpaceDN/>
        <w:adjustRightInd/>
        <w:spacing w:line="231" w:lineRule="exact"/>
        <w:ind w:left="72"/>
        <w:textAlignment w:val="baseline"/>
        <w:rPr>
          <w:rFonts w:ascii="Verdana" w:hAnsi="Verdana" w:cs="Verdana"/>
          <w:lang w:val="es-ES" w:eastAsia="es-ES"/>
        </w:rPr>
      </w:pPr>
      <w:r>
        <w:rPr>
          <w:sz w:val="19"/>
          <w:szCs w:val="19"/>
          <w:lang w:val="es-ES" w:eastAsia="es-ES"/>
        </w:rPr>
        <w:tab/>
      </w:r>
    </w:p>
    <w:p w:rsidR="00000000" w:rsidRDefault="00635D81">
      <w:pPr>
        <w:widowControl/>
        <w:rPr>
          <w:sz w:val="24"/>
          <w:szCs w:val="24"/>
        </w:rPr>
        <w:sectPr w:rsidR="00000000">
          <w:type w:val="continuous"/>
          <w:pgSz w:w="12240" w:h="15840"/>
          <w:pgMar w:top="1360" w:right="2071" w:bottom="220" w:left="7289" w:header="720" w:footer="720" w:gutter="0"/>
          <w:cols w:space="720"/>
          <w:noEndnote/>
        </w:sectPr>
      </w:pPr>
    </w:p>
    <w:p w:rsidR="00000000" w:rsidRDefault="00635D81">
      <w:pPr>
        <w:kinsoku w:val="0"/>
        <w:overflowPunct w:val="0"/>
        <w:autoSpaceDE/>
        <w:autoSpaceDN/>
        <w:adjustRightInd/>
        <w:spacing w:before="10" w:line="250" w:lineRule="exact"/>
        <w:ind w:left="72" w:right="72"/>
        <w:jc w:val="both"/>
        <w:textAlignment w:val="baseline"/>
        <w:rPr>
          <w:rFonts w:ascii="Verdana" w:hAnsi="Verdana" w:cs="Verdana"/>
          <w:spacing w:val="4"/>
          <w:lang w:val="es-ES" w:eastAsia="es-ES"/>
        </w:rPr>
      </w:pPr>
      <w:r>
        <w:rPr>
          <w:rFonts w:ascii="Verdana" w:hAnsi="Verdana" w:cs="Verdana"/>
          <w:i/>
          <w:iCs/>
          <w:spacing w:val="4"/>
          <w:lang w:val="es-ES" w:eastAsia="es-ES"/>
        </w:rPr>
        <w:t>Consejo cabrá recurso de revocatoria ante el órgano que dictó el acto, con apelación en subsidio p</w:t>
      </w:r>
      <w:r>
        <w:rPr>
          <w:rFonts w:ascii="Verdana" w:hAnsi="Verdana" w:cs="Verdana"/>
          <w:i/>
          <w:iCs/>
          <w:spacing w:val="4"/>
          <w:lang w:val="es-ES" w:eastAsia="es-ES"/>
        </w:rPr>
        <w:t xml:space="preserve">ara ante el Tribunal. Ambos recursos </w:t>
      </w:r>
      <w:r>
        <w:rPr>
          <w:rFonts w:ascii="Verdana" w:hAnsi="Verdana" w:cs="Verdana"/>
          <w:b/>
          <w:bCs/>
          <w:i/>
          <w:iCs/>
          <w:spacing w:val="4"/>
          <w:u w:val="single"/>
          <w:lang w:val="es-ES" w:eastAsia="es-ES"/>
        </w:rPr>
        <w:t>deberán  interponerse dentro del plazo de cinco días hábiles,</w:t>
      </w:r>
      <w:r>
        <w:rPr>
          <w:rFonts w:ascii="Verdana" w:hAnsi="Verdana" w:cs="Verdana"/>
          <w:i/>
          <w:iCs/>
          <w:spacing w:val="4"/>
          <w:lang w:val="es-ES" w:eastAsia="es-ES"/>
        </w:rPr>
        <w:t xml:space="preserve"> contados</w:t>
      </w:r>
      <w:r>
        <w:rPr>
          <w:rFonts w:ascii="Verdana" w:hAnsi="Verdana" w:cs="Verdana"/>
          <w:i/>
          <w:iCs/>
          <w:spacing w:val="4"/>
          <w:lang w:val="es-ES" w:eastAsia="es-ES"/>
        </w:rPr>
        <w:t xml:space="preserve"> a partir de la notificación."(E</w:t>
      </w:r>
      <w:r w:rsidR="00903FD5">
        <w:rPr>
          <w:rFonts w:ascii="Verdana" w:hAnsi="Verdana" w:cs="Verdana"/>
          <w:i/>
          <w:iCs/>
          <w:spacing w:val="4"/>
          <w:lang w:val="es-ES" w:eastAsia="es-ES"/>
        </w:rPr>
        <w:t>l</w:t>
      </w:r>
      <w:r>
        <w:rPr>
          <w:rFonts w:ascii="Verdana" w:hAnsi="Verdana" w:cs="Verdana"/>
          <w:i/>
          <w:iCs/>
          <w:spacing w:val="4"/>
          <w:lang w:val="es-ES" w:eastAsia="es-ES"/>
        </w:rPr>
        <w:t xml:space="preserve"> </w:t>
      </w:r>
      <w:r>
        <w:rPr>
          <w:rFonts w:ascii="Verdana" w:hAnsi="Verdana" w:cs="Verdana"/>
          <w:spacing w:val="4"/>
          <w:lang w:val="es-ES" w:eastAsia="es-ES"/>
        </w:rPr>
        <w:t>resaltado es nuestro), así las cosas no puede venir la recurrente a hacer uso de un Principio como el de informalis</w:t>
      </w:r>
      <w:r>
        <w:rPr>
          <w:rFonts w:ascii="Verdana" w:hAnsi="Verdana" w:cs="Verdana"/>
          <w:spacing w:val="4"/>
          <w:lang w:val="es-ES" w:eastAsia="es-ES"/>
        </w:rPr>
        <w:t xml:space="preserve">mo, arrogándose prerrogativa que </w:t>
      </w:r>
      <w:r w:rsidR="00903FD5">
        <w:rPr>
          <w:rFonts w:ascii="Verdana" w:hAnsi="Verdana" w:cs="Verdana"/>
          <w:spacing w:val="4"/>
          <w:lang w:val="es-ES" w:eastAsia="es-ES"/>
        </w:rPr>
        <w:t xml:space="preserve">dicho instituto jurídico no le </w:t>
      </w:r>
      <w:proofErr w:type="spellStart"/>
      <w:r w:rsidR="00903FD5">
        <w:rPr>
          <w:rFonts w:ascii="Verdana" w:hAnsi="Verdana" w:cs="Verdana"/>
          <w:spacing w:val="4"/>
          <w:lang w:val="es-ES" w:eastAsia="es-ES"/>
        </w:rPr>
        <w:t>dá</w:t>
      </w:r>
      <w:proofErr w:type="spellEnd"/>
      <w:r>
        <w:rPr>
          <w:rFonts w:ascii="Verdana" w:hAnsi="Verdana" w:cs="Verdana"/>
          <w:spacing w:val="4"/>
          <w:lang w:val="es-ES" w:eastAsia="es-ES"/>
        </w:rPr>
        <w:t xml:space="preserve"> y tratando de violentar lo que por norma expresa esta determinado.</w:t>
      </w:r>
    </w:p>
    <w:p w:rsidR="00000000" w:rsidRDefault="00635D81">
      <w:pPr>
        <w:kinsoku w:val="0"/>
        <w:overflowPunct w:val="0"/>
        <w:autoSpaceDE/>
        <w:autoSpaceDN/>
        <w:adjustRightInd/>
        <w:spacing w:before="519" w:line="251" w:lineRule="exact"/>
        <w:ind w:left="72" w:right="72"/>
        <w:jc w:val="both"/>
        <w:textAlignment w:val="baseline"/>
        <w:rPr>
          <w:rFonts w:ascii="Verdana" w:hAnsi="Verdana" w:cs="Verdana"/>
          <w:lang w:val="es-ES" w:eastAsia="es-ES"/>
        </w:rPr>
      </w:pPr>
      <w:r>
        <w:rPr>
          <w:rFonts w:ascii="Verdana" w:hAnsi="Verdana" w:cs="Verdana"/>
          <w:lang w:val="es-ES" w:eastAsia="es-ES"/>
        </w:rPr>
        <w:t>De conformidad con el numeral 22 de La Ley de Transporte Remunerado de Personas en Vehículos en la Modalidad de Taxi, N. 7</w:t>
      </w:r>
      <w:r>
        <w:rPr>
          <w:rFonts w:ascii="Verdana" w:hAnsi="Verdana" w:cs="Verdana"/>
          <w:lang w:val="es-ES" w:eastAsia="es-ES"/>
        </w:rPr>
        <w:t>969 del 22 de diciembre de 1999, el Tribunal es competente:</w:t>
      </w:r>
    </w:p>
    <w:p w:rsidR="00000000" w:rsidRDefault="00635D81">
      <w:pPr>
        <w:kinsoku w:val="0"/>
        <w:overflowPunct w:val="0"/>
        <w:autoSpaceDE/>
        <w:autoSpaceDN/>
        <w:adjustRightInd/>
        <w:spacing w:before="269" w:line="203" w:lineRule="exact"/>
        <w:ind w:left="432"/>
        <w:textAlignment w:val="baseline"/>
        <w:rPr>
          <w:rFonts w:ascii="Verdana" w:hAnsi="Verdana" w:cs="Verdana"/>
          <w:i/>
          <w:iCs/>
          <w:sz w:val="17"/>
          <w:szCs w:val="17"/>
          <w:lang w:val="es-ES" w:eastAsia="es-ES"/>
        </w:rPr>
      </w:pPr>
      <w:r>
        <w:rPr>
          <w:rFonts w:ascii="Verdana" w:hAnsi="Verdana" w:cs="Verdana"/>
          <w:i/>
          <w:iCs/>
          <w:sz w:val="17"/>
          <w:szCs w:val="17"/>
          <w:lang w:val="es-ES" w:eastAsia="es-ES"/>
        </w:rPr>
        <w:t>"ARTÍCULO 22.- Competencia del Tribunal</w:t>
      </w:r>
    </w:p>
    <w:p w:rsidR="00000000" w:rsidRDefault="00635D81">
      <w:pPr>
        <w:kinsoku w:val="0"/>
        <w:overflowPunct w:val="0"/>
        <w:autoSpaceDE/>
        <w:autoSpaceDN/>
        <w:adjustRightInd/>
        <w:spacing w:before="7" w:line="203" w:lineRule="exact"/>
        <w:ind w:left="432"/>
        <w:textAlignment w:val="baseline"/>
        <w:rPr>
          <w:rFonts w:ascii="Verdana" w:hAnsi="Verdana" w:cs="Verdana"/>
          <w:i/>
          <w:iCs/>
          <w:sz w:val="17"/>
          <w:szCs w:val="17"/>
          <w:lang w:val="es-ES" w:eastAsia="es-ES"/>
        </w:rPr>
      </w:pPr>
      <w:r>
        <w:rPr>
          <w:rFonts w:ascii="Verdana" w:hAnsi="Verdana" w:cs="Verdana"/>
          <w:i/>
          <w:iCs/>
          <w:sz w:val="17"/>
          <w:szCs w:val="17"/>
          <w:lang w:val="es-ES" w:eastAsia="es-ES"/>
        </w:rPr>
        <w:t>El Tribunal será competente para lo siguiente:</w:t>
      </w:r>
    </w:p>
    <w:p w:rsidR="00000000" w:rsidRDefault="00635D81">
      <w:pPr>
        <w:numPr>
          <w:ilvl w:val="0"/>
          <w:numId w:val="1"/>
        </w:numPr>
        <w:kinsoku w:val="0"/>
        <w:overflowPunct w:val="0"/>
        <w:autoSpaceDE/>
        <w:autoSpaceDN/>
        <w:adjustRightInd/>
        <w:spacing w:before="218" w:line="204" w:lineRule="exact"/>
        <w:ind w:right="432"/>
        <w:jc w:val="both"/>
        <w:textAlignment w:val="baseline"/>
        <w:rPr>
          <w:rFonts w:ascii="Verdana" w:hAnsi="Verdana" w:cs="Verdana"/>
          <w:b/>
          <w:bCs/>
          <w:i/>
          <w:iCs/>
          <w:sz w:val="17"/>
          <w:szCs w:val="17"/>
          <w:lang w:val="es-ES" w:eastAsia="es-ES"/>
        </w:rPr>
      </w:pPr>
      <w:r>
        <w:rPr>
          <w:rFonts w:ascii="Verdana" w:hAnsi="Verdana" w:cs="Verdana"/>
          <w:b/>
          <w:bCs/>
          <w:i/>
          <w:iCs/>
          <w:sz w:val="17"/>
          <w:szCs w:val="17"/>
          <w:lang w:val="es-ES" w:eastAsia="es-ES"/>
        </w:rPr>
        <w:t>Conocer y resolver, en sede administrativa, los recursos de apelació</w:t>
      </w:r>
      <w:r>
        <w:rPr>
          <w:rFonts w:ascii="Verdana" w:hAnsi="Verdana" w:cs="Verdana"/>
          <w:b/>
          <w:bCs/>
          <w:i/>
          <w:iCs/>
          <w:sz w:val="17"/>
          <w:szCs w:val="17"/>
          <w:lang w:val="es-ES" w:eastAsia="es-ES"/>
        </w:rPr>
        <w:t>n que se interpongan contra cualquier acto o resolución del Consejo.</w:t>
      </w:r>
    </w:p>
    <w:p w:rsidR="00000000" w:rsidRDefault="00635D81">
      <w:pPr>
        <w:numPr>
          <w:ilvl w:val="0"/>
          <w:numId w:val="2"/>
        </w:numPr>
        <w:kinsoku w:val="0"/>
        <w:overflowPunct w:val="0"/>
        <w:autoSpaceDE/>
        <w:autoSpaceDN/>
        <w:adjustRightInd/>
        <w:spacing w:line="202" w:lineRule="exact"/>
        <w:ind w:right="432"/>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Establecer, en vía administrativa, las indemnizaciones que puedan originarse en relación con los daños producidos por violaciones de la legislación del transporte público.</w:t>
      </w:r>
    </w:p>
    <w:p w:rsidR="00000000" w:rsidRDefault="00635D81">
      <w:pPr>
        <w:numPr>
          <w:ilvl w:val="0"/>
          <w:numId w:val="2"/>
        </w:numPr>
        <w:kinsoku w:val="0"/>
        <w:overflowPunct w:val="0"/>
        <w:autoSpaceDE/>
        <w:autoSpaceDN/>
        <w:adjustRightInd/>
        <w:spacing w:before="21" w:line="203" w:lineRule="exact"/>
        <w:ind w:right="432"/>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Las resoluc</w:t>
      </w:r>
      <w:r>
        <w:rPr>
          <w:rFonts w:ascii="Verdana" w:hAnsi="Verdana" w:cs="Verdana"/>
          <w:i/>
          <w:iCs/>
          <w:sz w:val="17"/>
          <w:szCs w:val="17"/>
          <w:lang w:val="es-ES" w:eastAsia="es-ES"/>
        </w:rPr>
        <w:t xml:space="preserve">iones del </w:t>
      </w:r>
      <w:r>
        <w:rPr>
          <w:rFonts w:ascii="Verdana" w:hAnsi="Verdana" w:cs="Verdana"/>
          <w:b/>
          <w:bCs/>
          <w:i/>
          <w:iCs/>
          <w:sz w:val="17"/>
          <w:szCs w:val="17"/>
          <w:lang w:val="es-ES" w:eastAsia="es-ES"/>
        </w:rPr>
        <w:t xml:space="preserve">Tribunal </w:t>
      </w:r>
      <w:r>
        <w:rPr>
          <w:rFonts w:ascii="Verdana" w:hAnsi="Verdana" w:cs="Verdana"/>
          <w:i/>
          <w:iCs/>
          <w:sz w:val="17"/>
          <w:szCs w:val="17"/>
          <w:lang w:val="es-ES" w:eastAsia="es-ES"/>
        </w:rPr>
        <w:t>no tendrán más recursos y darán por agotada la vía administrativa."( el resaltado es nuestro)</w:t>
      </w:r>
    </w:p>
    <w:p w:rsidR="00000000" w:rsidRDefault="00635D81">
      <w:pPr>
        <w:kinsoku w:val="0"/>
        <w:overflowPunct w:val="0"/>
        <w:autoSpaceDE/>
        <w:autoSpaceDN/>
        <w:adjustRightInd/>
        <w:spacing w:before="241" w:line="251" w:lineRule="exact"/>
        <w:ind w:left="72" w:right="72"/>
        <w:jc w:val="both"/>
        <w:textAlignment w:val="baseline"/>
        <w:rPr>
          <w:rFonts w:ascii="Verdana" w:hAnsi="Verdana" w:cs="Verdana"/>
          <w:spacing w:val="4"/>
          <w:lang w:val="es-ES" w:eastAsia="es-ES"/>
        </w:rPr>
      </w:pPr>
      <w:r>
        <w:rPr>
          <w:rFonts w:ascii="Verdana" w:hAnsi="Verdana" w:cs="Verdana"/>
          <w:spacing w:val="4"/>
          <w:lang w:val="es-ES" w:eastAsia="es-ES"/>
        </w:rPr>
        <w:t>Como se puede verificar de lo dicho, el órgano de alzada tiene la competencia para conocer de los recursos de apelación que se le presenten con</w:t>
      </w:r>
      <w:r>
        <w:rPr>
          <w:rFonts w:ascii="Verdana" w:hAnsi="Verdana" w:cs="Verdana"/>
          <w:spacing w:val="4"/>
          <w:lang w:val="es-ES" w:eastAsia="es-ES"/>
        </w:rPr>
        <w:t>tra los actos del Consejo de Transporte Público, sin embargo, al revisar el recurso, en ningún momento la recurrente presenta un recurso de Apelación en subsidio, sino que meses después pretende que aquel documento que presento, se tenga como recurso de Ap</w:t>
      </w:r>
      <w:r>
        <w:rPr>
          <w:rFonts w:ascii="Verdana" w:hAnsi="Verdana" w:cs="Verdana"/>
          <w:spacing w:val="4"/>
          <w:lang w:val="es-ES" w:eastAsia="es-ES"/>
        </w:rPr>
        <w:t>elación, lo cual a todas luces riñe con la normativa.</w:t>
      </w:r>
    </w:p>
    <w:p w:rsidR="00000000" w:rsidRDefault="00635D81">
      <w:pPr>
        <w:kinsoku w:val="0"/>
        <w:overflowPunct w:val="0"/>
        <w:autoSpaceDE/>
        <w:autoSpaceDN/>
        <w:adjustRightInd/>
        <w:spacing w:before="512" w:line="183" w:lineRule="exact"/>
        <w:ind w:left="576"/>
        <w:textAlignment w:val="baseline"/>
        <w:rPr>
          <w:rFonts w:ascii="Verdana" w:hAnsi="Verdana" w:cs="Verdana"/>
          <w:sz w:val="24"/>
          <w:szCs w:val="24"/>
          <w:lang w:eastAsia="en-US"/>
        </w:rPr>
      </w:pPr>
      <w:r>
        <w:rPr>
          <w:rFonts w:ascii="Verdana" w:hAnsi="Verdana" w:cs="Verdana"/>
          <w:i/>
          <w:iCs/>
          <w:sz w:val="15"/>
          <w:szCs w:val="15"/>
          <w:lang w:val="es-ES" w:eastAsia="es-ES"/>
        </w:rPr>
        <w:t>"Artículo 347.</w:t>
      </w:r>
      <w:r>
        <w:rPr>
          <w:rFonts w:ascii="Verdana" w:hAnsi="Verdana" w:cs="Verdana"/>
          <w:i/>
          <w:iCs/>
          <w:sz w:val="15"/>
          <w:szCs w:val="15"/>
          <w:lang w:val="es-ES" w:eastAsia="es-ES"/>
        </w:rPr>
        <w:noBreakHyphen/>
      </w:r>
    </w:p>
    <w:p w:rsidR="00000000" w:rsidRDefault="00635D81">
      <w:pPr>
        <w:numPr>
          <w:ilvl w:val="0"/>
          <w:numId w:val="3"/>
        </w:numPr>
        <w:kinsoku w:val="0"/>
        <w:overflowPunct w:val="0"/>
        <w:autoSpaceDE/>
        <w:autoSpaceDN/>
        <w:adjustRightInd/>
        <w:spacing w:before="305" w:line="169" w:lineRule="exact"/>
        <w:ind w:right="648"/>
        <w:textAlignment w:val="baseline"/>
        <w:rPr>
          <w:rFonts w:ascii="Verdana" w:hAnsi="Verdana" w:cs="Verdana"/>
          <w:i/>
          <w:iCs/>
          <w:sz w:val="15"/>
          <w:szCs w:val="15"/>
          <w:lang w:val="es-ES" w:eastAsia="es-ES"/>
        </w:rPr>
      </w:pPr>
      <w:r>
        <w:rPr>
          <w:rFonts w:ascii="Verdana" w:hAnsi="Verdana" w:cs="Verdana"/>
          <w:i/>
          <w:iCs/>
          <w:sz w:val="15"/>
          <w:szCs w:val="15"/>
          <w:lang w:val="es-ES" w:eastAsia="es-ES"/>
        </w:rPr>
        <w:t>Los recursos podrán también interponerse haciéndolo constar en el acta de la notificación respectiva.</w:t>
      </w:r>
    </w:p>
    <w:p w:rsidR="00000000" w:rsidRDefault="00635D81">
      <w:pPr>
        <w:numPr>
          <w:ilvl w:val="0"/>
          <w:numId w:val="4"/>
        </w:numPr>
        <w:kinsoku w:val="0"/>
        <w:overflowPunct w:val="0"/>
        <w:autoSpaceDE/>
        <w:autoSpaceDN/>
        <w:adjustRightInd/>
        <w:spacing w:before="21" w:line="170" w:lineRule="exact"/>
        <w:ind w:right="648"/>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Es potestativo usar ambos recursos ordinarios o uno solo de ellos, pero será</w:t>
      </w:r>
      <w:r>
        <w:rPr>
          <w:rFonts w:ascii="Verdana" w:hAnsi="Verdana" w:cs="Verdana"/>
          <w:b/>
          <w:bCs/>
          <w:i/>
          <w:iCs/>
          <w:sz w:val="15"/>
          <w:szCs w:val="15"/>
          <w:lang w:val="es-ES" w:eastAsia="es-ES"/>
        </w:rPr>
        <w:t xml:space="preserve"> inadmisible el que se interponga pasados los términos fijados en el artículo anterior.</w:t>
      </w:r>
    </w:p>
    <w:p w:rsidR="00000000" w:rsidRDefault="00635D81">
      <w:pPr>
        <w:numPr>
          <w:ilvl w:val="0"/>
          <w:numId w:val="4"/>
        </w:numPr>
        <w:kinsoku w:val="0"/>
        <w:overflowPunct w:val="0"/>
        <w:autoSpaceDE/>
        <w:autoSpaceDN/>
        <w:adjustRightInd/>
        <w:spacing w:before="41" w:line="175" w:lineRule="exact"/>
        <w:ind w:right="648"/>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Si se interponen ambos recursos a la vez, se tramitará la apelación una vez declarada sin lugar la revocatoria."(EI </w:t>
      </w:r>
      <w:r>
        <w:rPr>
          <w:rFonts w:ascii="Verdana" w:hAnsi="Verdana" w:cs="Verdana"/>
          <w:i/>
          <w:iCs/>
          <w:sz w:val="15"/>
          <w:szCs w:val="15"/>
          <w:lang w:val="es-ES" w:eastAsia="es-ES"/>
        </w:rPr>
        <w:t>Resaltado es nuestro)</w:t>
      </w:r>
    </w:p>
    <w:p w:rsidR="00000000" w:rsidRDefault="00635D81">
      <w:pPr>
        <w:kinsoku w:val="0"/>
        <w:overflowPunct w:val="0"/>
        <w:autoSpaceDE/>
        <w:autoSpaceDN/>
        <w:adjustRightInd/>
        <w:spacing w:before="509" w:after="1804" w:line="251" w:lineRule="exact"/>
        <w:ind w:left="72" w:right="144"/>
        <w:jc w:val="both"/>
        <w:textAlignment w:val="baseline"/>
        <w:rPr>
          <w:rFonts w:ascii="Verdana" w:hAnsi="Verdana" w:cs="Verdana"/>
          <w:spacing w:val="3"/>
          <w:lang w:val="es-ES" w:eastAsia="es-ES"/>
        </w:rPr>
      </w:pPr>
      <w:r>
        <w:rPr>
          <w:rFonts w:ascii="Verdana" w:hAnsi="Verdana" w:cs="Verdana"/>
          <w:spacing w:val="3"/>
          <w:lang w:val="es-ES" w:eastAsia="es-ES"/>
        </w:rPr>
        <w:t>El acuerdo impugnado lo fue po</w:t>
      </w:r>
      <w:r>
        <w:rPr>
          <w:rFonts w:ascii="Verdana" w:hAnsi="Verdana" w:cs="Verdana"/>
          <w:spacing w:val="3"/>
          <w:lang w:val="es-ES" w:eastAsia="es-ES"/>
        </w:rPr>
        <w:t>r la recurrente en el tiempo debido en los términos del numeral 11 de la Ley 7969, pero lo fue únicamente en una vía a través del Recurso de Revocatoria el 3 de julio de 2012, pero en ningún momento, accionó el recurso de Apelación, por lo que es totalment</w:t>
      </w:r>
      <w:r>
        <w:rPr>
          <w:rFonts w:ascii="Verdana" w:hAnsi="Verdana" w:cs="Verdana"/>
          <w:spacing w:val="3"/>
          <w:lang w:val="es-ES" w:eastAsia="es-ES"/>
        </w:rPr>
        <w:t>e inadmisible que pretenda interponer la Apelación en subsidio el dos de octubre del 2013 toda vez que esta fuera de todo plazo y no fue hecho conjuntamente cuando presento la Revocatoria.</w:t>
      </w:r>
    </w:p>
    <w:p w:rsidR="00000000" w:rsidRDefault="00635D81">
      <w:pPr>
        <w:widowControl/>
        <w:rPr>
          <w:sz w:val="24"/>
          <w:szCs w:val="24"/>
        </w:rPr>
        <w:sectPr w:rsidR="00000000">
          <w:pgSz w:w="12240" w:h="15840"/>
          <w:pgMar w:top="1360" w:right="2002" w:bottom="220" w:left="2060" w:header="720" w:footer="720" w:gutter="0"/>
          <w:cols w:space="720"/>
          <w:noEndnote/>
        </w:sectPr>
      </w:pPr>
    </w:p>
    <w:p w:rsidR="00000000" w:rsidRDefault="00635D81">
      <w:pPr>
        <w:tabs>
          <w:tab w:val="left" w:pos="2592"/>
        </w:tabs>
        <w:kinsoku w:val="0"/>
        <w:overflowPunct w:val="0"/>
        <w:autoSpaceDE/>
        <w:autoSpaceDN/>
        <w:adjustRightInd/>
        <w:spacing w:line="226" w:lineRule="exact"/>
        <w:textAlignment w:val="baseline"/>
        <w:rPr>
          <w:rFonts w:ascii="Verdana" w:hAnsi="Verdana" w:cs="Verdana"/>
          <w:spacing w:val="-1"/>
          <w:lang w:val="es-ES" w:eastAsia="es-ES"/>
        </w:rPr>
      </w:pPr>
      <w:r>
        <w:rPr>
          <w:spacing w:val="-1"/>
          <w:sz w:val="19"/>
          <w:szCs w:val="19"/>
          <w:lang w:val="es-ES" w:eastAsia="es-ES"/>
        </w:rPr>
        <w:tab/>
      </w:r>
    </w:p>
    <w:p w:rsidR="00000000" w:rsidRDefault="00635D81">
      <w:pPr>
        <w:widowControl/>
        <w:rPr>
          <w:sz w:val="24"/>
          <w:szCs w:val="24"/>
        </w:rPr>
        <w:sectPr w:rsidR="00000000">
          <w:type w:val="continuous"/>
          <w:pgSz w:w="12240" w:h="15840"/>
          <w:pgMar w:top="1360" w:right="2002" w:bottom="220" w:left="7358" w:header="720" w:footer="720" w:gutter="0"/>
          <w:cols w:space="720"/>
          <w:noEndnote/>
        </w:sectPr>
      </w:pPr>
    </w:p>
    <w:p w:rsidR="00000000" w:rsidRDefault="00635D81">
      <w:pPr>
        <w:kinsoku w:val="0"/>
        <w:overflowPunct w:val="0"/>
        <w:autoSpaceDE/>
        <w:autoSpaceDN/>
        <w:adjustRightInd/>
        <w:spacing w:line="241" w:lineRule="exact"/>
        <w:ind w:left="72" w:right="72"/>
        <w:jc w:val="center"/>
        <w:textAlignment w:val="baseline"/>
        <w:rPr>
          <w:rFonts w:ascii="Verdana" w:hAnsi="Verdana" w:cs="Verdana"/>
          <w:b/>
          <w:bCs/>
          <w:spacing w:val="2"/>
          <w:lang w:val="es-ES" w:eastAsia="es-ES"/>
        </w:rPr>
      </w:pPr>
      <w:r>
        <w:rPr>
          <w:rFonts w:ascii="Verdana" w:hAnsi="Verdana" w:cs="Verdana"/>
          <w:b/>
          <w:bCs/>
          <w:spacing w:val="2"/>
          <w:lang w:val="es-ES" w:eastAsia="es-ES"/>
        </w:rPr>
        <w:t>POR TANTO</w:t>
      </w:r>
    </w:p>
    <w:p w:rsidR="00000000" w:rsidRDefault="00635D81">
      <w:pPr>
        <w:numPr>
          <w:ilvl w:val="0"/>
          <w:numId w:val="5"/>
        </w:numPr>
        <w:kinsoku w:val="0"/>
        <w:overflowPunct w:val="0"/>
        <w:autoSpaceDE/>
        <w:autoSpaceDN/>
        <w:adjustRightInd/>
        <w:spacing w:before="262" w:line="184" w:lineRule="exact"/>
        <w:ind w:right="72"/>
        <w:jc w:val="both"/>
        <w:textAlignment w:val="baseline"/>
        <w:rPr>
          <w:rFonts w:ascii="Verdana" w:hAnsi="Verdana" w:cs="Verdana"/>
          <w:b/>
          <w:bCs/>
          <w:spacing w:val="4"/>
          <w:lang w:val="es-ES" w:eastAsia="es-ES"/>
        </w:rPr>
      </w:pPr>
      <w:r>
        <w:rPr>
          <w:rFonts w:ascii="Verdana" w:hAnsi="Verdana" w:cs="Verdana"/>
          <w:spacing w:val="4"/>
          <w:lang w:val="es-ES" w:eastAsia="es-ES"/>
        </w:rPr>
        <w:t xml:space="preserve">Se rechaza por extemporáneo el Recurso de, Apelación interpuesto por </w:t>
      </w:r>
    </w:p>
    <w:p w:rsidR="00000000" w:rsidRDefault="00635D81">
      <w:pPr>
        <w:kinsoku w:val="0"/>
        <w:overflowPunct w:val="0"/>
        <w:autoSpaceDE/>
        <w:autoSpaceDN/>
        <w:adjustRightInd/>
        <w:spacing w:line="231" w:lineRule="exact"/>
        <w:ind w:left="72" w:right="72"/>
        <w:jc w:val="both"/>
        <w:textAlignment w:val="baseline"/>
        <w:rPr>
          <w:rFonts w:ascii="Verdana" w:hAnsi="Verdana" w:cs="Verdana"/>
          <w:lang w:val="es-ES" w:eastAsia="es-ES"/>
        </w:rPr>
      </w:pPr>
      <w:proofErr w:type="gramStart"/>
      <w:r>
        <w:rPr>
          <w:rFonts w:ascii="Verdana" w:hAnsi="Verdana" w:cs="Verdana"/>
          <w:lang w:val="es-ES" w:eastAsia="es-ES"/>
        </w:rPr>
        <w:t>la</w:t>
      </w:r>
      <w:proofErr w:type="gramEnd"/>
      <w:r>
        <w:rPr>
          <w:rFonts w:ascii="Verdana" w:hAnsi="Verdana" w:cs="Verdana"/>
          <w:lang w:val="es-ES" w:eastAsia="es-ES"/>
        </w:rPr>
        <w:t xml:space="preserve"> empresa </w:t>
      </w:r>
      <w:r>
        <w:rPr>
          <w:rFonts w:ascii="Verdana" w:hAnsi="Verdana" w:cs="Verdana"/>
          <w:b/>
          <w:bCs/>
          <w:lang w:val="es-ES" w:eastAsia="es-ES"/>
        </w:rPr>
        <w:t>P</w:t>
      </w:r>
      <w:r w:rsidR="00903FD5">
        <w:rPr>
          <w:rFonts w:ascii="Verdana" w:hAnsi="Verdana" w:cs="Verdana"/>
          <w:b/>
          <w:bCs/>
          <w:lang w:val="es-ES" w:eastAsia="es-ES"/>
        </w:rPr>
        <w:t>.D.G.P.S.A.</w:t>
      </w:r>
      <w:r>
        <w:rPr>
          <w:rFonts w:ascii="Verdana" w:hAnsi="Verdana" w:cs="Verdana"/>
          <w:b/>
          <w:bCs/>
          <w:lang w:val="es-ES" w:eastAsia="es-ES"/>
        </w:rPr>
        <w:t xml:space="preserve">, CÉDULA JURÍDICA NÚMERO </w:t>
      </w:r>
      <w:r w:rsidR="00903FD5">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por medio de su Apoderada Generalísima sin Límite de suma la señora </w:t>
      </w:r>
      <w:r>
        <w:rPr>
          <w:rFonts w:ascii="Verdana" w:hAnsi="Verdana" w:cs="Verdana"/>
          <w:b/>
          <w:bCs/>
          <w:lang w:val="es-ES" w:eastAsia="es-ES"/>
        </w:rPr>
        <w:t>M</w:t>
      </w:r>
      <w:r w:rsidR="00903FD5">
        <w:rPr>
          <w:rFonts w:ascii="Verdana" w:hAnsi="Verdana" w:cs="Verdana"/>
          <w:b/>
          <w:bCs/>
          <w:lang w:val="es-ES" w:eastAsia="es-ES"/>
        </w:rPr>
        <w:t>.R.C.</w:t>
      </w:r>
      <w:r>
        <w:rPr>
          <w:rFonts w:ascii="Verdana" w:hAnsi="Verdana" w:cs="Verdana"/>
          <w:b/>
          <w:bCs/>
          <w:lang w:val="es-ES" w:eastAsia="es-ES"/>
        </w:rPr>
        <w:t xml:space="preserve">, </w:t>
      </w:r>
      <w:r>
        <w:rPr>
          <w:rFonts w:ascii="Verdana" w:hAnsi="Verdana" w:cs="Verdana"/>
          <w:lang w:val="es-ES" w:eastAsia="es-ES"/>
        </w:rPr>
        <w:t xml:space="preserve">cédula de identidad número </w:t>
      </w:r>
      <w:r w:rsidR="00903FD5">
        <w:rPr>
          <w:rFonts w:ascii="Verdana" w:hAnsi="Verdana" w:cs="Verdana"/>
          <w:lang w:val="es-ES" w:eastAsia="es-ES"/>
        </w:rPr>
        <w:t>…</w:t>
      </w:r>
      <w:r>
        <w:rPr>
          <w:rFonts w:ascii="Verdana" w:hAnsi="Verdana" w:cs="Verdana"/>
          <w:lang w:val="es-ES" w:eastAsia="es-ES"/>
        </w:rPr>
        <w:t xml:space="preserve">, contra el </w:t>
      </w:r>
      <w:r>
        <w:rPr>
          <w:rFonts w:ascii="Verdana" w:hAnsi="Verdana" w:cs="Verdana"/>
          <w:b/>
          <w:bCs/>
          <w:lang w:val="es-ES" w:eastAsia="es-ES"/>
        </w:rPr>
        <w:t xml:space="preserve">Artículo 2.2.54 de la Sesión Extraordinaria N. 02-2012 </w:t>
      </w:r>
      <w:r>
        <w:rPr>
          <w:rFonts w:ascii="Verdana" w:hAnsi="Verdana" w:cs="Verdana"/>
          <w:lang w:val="es-ES" w:eastAsia="es-ES"/>
        </w:rPr>
        <w:t>de 16 de abril de 2012, dictado por la JUNTA DIRECTIVA DEL CONSEJO DE TRANSPORTE PÚBLICO.</w:t>
      </w:r>
    </w:p>
    <w:p w:rsidR="00000000" w:rsidRDefault="00635D81">
      <w:pPr>
        <w:numPr>
          <w:ilvl w:val="0"/>
          <w:numId w:val="6"/>
        </w:numPr>
        <w:kinsoku w:val="0"/>
        <w:overflowPunct w:val="0"/>
        <w:autoSpaceDE/>
        <w:autoSpaceDN/>
        <w:adjustRightInd/>
        <w:spacing w:before="260" w:after="551" w:line="254" w:lineRule="exact"/>
        <w:ind w:right="72"/>
        <w:jc w:val="both"/>
        <w:textAlignment w:val="baseline"/>
        <w:rPr>
          <w:rFonts w:ascii="Verdana" w:hAnsi="Verdana" w:cs="Verdana"/>
          <w:b/>
          <w:bCs/>
          <w:lang w:val="es-ES" w:eastAsia="es-ES"/>
        </w:rPr>
      </w:pPr>
      <w:r>
        <w:rPr>
          <w:rFonts w:ascii="Verdana" w:hAnsi="Verdana" w:cs="Verdana"/>
          <w:lang w:val="es-ES" w:eastAsia="es-ES"/>
        </w:rPr>
        <w:t>De conformidad con el artícul</w:t>
      </w:r>
      <w:r>
        <w:rPr>
          <w:rFonts w:ascii="Verdana" w:hAnsi="Verdana" w:cs="Verdana"/>
          <w:lang w:val="es-ES" w:eastAsia="es-ES"/>
        </w:rPr>
        <w:t xml:space="preserve">o 22, inciso c), de la citada Ley 7969, la presente resolución no tiene ulterior recurso por lo que, se </w:t>
      </w:r>
      <w:r>
        <w:rPr>
          <w:rFonts w:ascii="Verdana" w:hAnsi="Verdana" w:cs="Verdana"/>
          <w:i/>
          <w:iCs/>
          <w:lang w:val="es-ES" w:eastAsia="es-ES"/>
        </w:rPr>
        <w:t xml:space="preserve">tiene por agotada la vía administrativa. </w:t>
      </w:r>
      <w:r>
        <w:rPr>
          <w:rFonts w:ascii="Verdana" w:hAnsi="Verdana" w:cs="Verdana"/>
          <w:b/>
          <w:bCs/>
          <w:lang w:val="es-ES" w:eastAsia="es-ES"/>
        </w:rPr>
        <w:t>NOTIFIQUESE.</w:t>
      </w:r>
    </w:p>
    <w:p w:rsidR="00903FD5" w:rsidRPr="00CF40A0" w:rsidRDefault="00903FD5" w:rsidP="00903FD5">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03FD5" w:rsidRDefault="00903FD5" w:rsidP="00903FD5">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903FD5" w:rsidRDefault="00903FD5" w:rsidP="00903FD5">
      <w:pPr>
        <w:kinsoku w:val="0"/>
        <w:overflowPunct w:val="0"/>
        <w:autoSpaceDE/>
        <w:autoSpaceDN/>
        <w:adjustRightInd/>
        <w:spacing w:before="329" w:after="374" w:line="320" w:lineRule="exact"/>
        <w:ind w:left="72" w:right="72"/>
        <w:jc w:val="center"/>
        <w:textAlignment w:val="baseline"/>
        <w:rPr>
          <w:b/>
          <w:bCs/>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03FD5" w:rsidRDefault="00903FD5" w:rsidP="00903FD5">
      <w:pPr>
        <w:kinsoku w:val="0"/>
        <w:overflowPunct w:val="0"/>
        <w:autoSpaceDE/>
        <w:autoSpaceDN/>
        <w:adjustRightInd/>
        <w:spacing w:before="260" w:after="551" w:line="254" w:lineRule="exact"/>
        <w:ind w:left="72" w:right="72"/>
        <w:jc w:val="both"/>
        <w:textAlignment w:val="baseline"/>
        <w:rPr>
          <w:rFonts w:ascii="Verdana" w:hAnsi="Verdana" w:cs="Verdana"/>
          <w:b/>
          <w:bCs/>
          <w:lang w:val="es-ES" w:eastAsia="es-ES"/>
        </w:rPr>
      </w:pPr>
    </w:p>
    <w:sectPr w:rsidR="00903FD5">
      <w:pgSz w:w="12240" w:h="15840"/>
      <w:pgMar w:top="1380" w:right="2026" w:bottom="200" w:left="20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ADB8"/>
    <w:multiLevelType w:val="singleLevel"/>
    <w:tmpl w:val="75D964BD"/>
    <w:lvl w:ilvl="0">
      <w:start w:val="1"/>
      <w:numFmt w:val="decimal"/>
      <w:lvlText w:val="%1."/>
      <w:lvlJc w:val="left"/>
      <w:pPr>
        <w:tabs>
          <w:tab w:val="num" w:pos="792"/>
        </w:tabs>
        <w:ind w:left="648"/>
      </w:pPr>
      <w:rPr>
        <w:rFonts w:ascii="Verdana" w:hAnsi="Verdana" w:cs="Verdana"/>
        <w:i/>
        <w:iCs/>
        <w:snapToGrid/>
        <w:sz w:val="15"/>
        <w:szCs w:val="15"/>
      </w:rPr>
    </w:lvl>
  </w:abstractNum>
  <w:abstractNum w:abstractNumId="1">
    <w:nsid w:val="042C60C9"/>
    <w:multiLevelType w:val="singleLevel"/>
    <w:tmpl w:val="71A98E54"/>
    <w:lvl w:ilvl="0">
      <w:start w:val="1"/>
      <w:numFmt w:val="upperRoman"/>
      <w:lvlText w:val="%1.-"/>
      <w:lvlJc w:val="left"/>
      <w:pPr>
        <w:tabs>
          <w:tab w:val="num" w:pos="504"/>
        </w:tabs>
        <w:ind w:left="5184" w:hanging="5112"/>
      </w:pPr>
      <w:rPr>
        <w:rFonts w:ascii="Verdana" w:hAnsi="Verdana" w:cs="Verdana"/>
        <w:snapToGrid/>
        <w:spacing w:val="4"/>
        <w:sz w:val="20"/>
        <w:szCs w:val="20"/>
      </w:rPr>
    </w:lvl>
  </w:abstractNum>
  <w:abstractNum w:abstractNumId="2">
    <w:nsid w:val="07799783"/>
    <w:multiLevelType w:val="singleLevel"/>
    <w:tmpl w:val="3CA4272F"/>
    <w:lvl w:ilvl="0">
      <w:start w:val="1"/>
      <w:numFmt w:val="lowerLetter"/>
      <w:lvlText w:val="%1)"/>
      <w:lvlJc w:val="left"/>
      <w:pPr>
        <w:tabs>
          <w:tab w:val="num" w:pos="648"/>
        </w:tabs>
        <w:ind w:left="432"/>
      </w:pPr>
      <w:rPr>
        <w:rFonts w:ascii="Verdana" w:hAnsi="Verdana" w:cs="Verdana"/>
        <w:b/>
        <w:bCs/>
        <w:i/>
        <w:iCs/>
        <w:snapToGrid/>
        <w:sz w:val="17"/>
        <w:szCs w:val="17"/>
      </w:rPr>
    </w:lvl>
  </w:abstractNum>
  <w:num w:numId="1">
    <w:abstractNumId w:val="2"/>
  </w:num>
  <w:num w:numId="2">
    <w:abstractNumId w:val="2"/>
    <w:lvlOverride w:ilvl="0">
      <w:lvl w:ilvl="0">
        <w:numFmt w:val="lowerLetter"/>
        <w:lvlText w:val="%1)"/>
        <w:lvlJc w:val="left"/>
        <w:pPr>
          <w:tabs>
            <w:tab w:val="num" w:pos="648"/>
          </w:tabs>
          <w:ind w:left="432"/>
        </w:pPr>
        <w:rPr>
          <w:rFonts w:ascii="Verdana" w:hAnsi="Verdana" w:cs="Verdana"/>
          <w:i/>
          <w:iCs/>
          <w:snapToGrid/>
          <w:sz w:val="17"/>
          <w:szCs w:val="17"/>
        </w:rPr>
      </w:lvl>
    </w:lvlOverride>
  </w:num>
  <w:num w:numId="3">
    <w:abstractNumId w:val="0"/>
  </w:num>
  <w:num w:numId="4">
    <w:abstractNumId w:val="0"/>
    <w:lvlOverride w:ilvl="0">
      <w:lvl w:ilvl="0">
        <w:numFmt w:val="decimal"/>
        <w:lvlText w:val="%1."/>
        <w:lvlJc w:val="left"/>
        <w:pPr>
          <w:tabs>
            <w:tab w:val="num" w:pos="792"/>
          </w:tabs>
          <w:ind w:left="648"/>
        </w:pPr>
        <w:rPr>
          <w:rFonts w:ascii="Verdana" w:hAnsi="Verdana" w:cs="Verdana"/>
          <w:b/>
          <w:bCs/>
          <w:i/>
          <w:iCs/>
          <w:snapToGrid/>
          <w:sz w:val="15"/>
          <w:szCs w:val="15"/>
        </w:rPr>
      </w:lvl>
    </w:lvlOverride>
  </w:num>
  <w:num w:numId="5">
    <w:abstractNumId w:val="1"/>
  </w:num>
  <w:num w:numId="6">
    <w:abstractNumId w:val="1"/>
    <w:lvlOverride w:ilvl="0">
      <w:lvl w:ilvl="0">
        <w:numFmt w:val="upperRoman"/>
        <w:lvlText w:val="%1.-"/>
        <w:lvlJc w:val="left"/>
        <w:pPr>
          <w:tabs>
            <w:tab w:val="num" w:pos="648"/>
          </w:tabs>
          <w:ind w:left="72"/>
        </w:pPr>
        <w:rPr>
          <w:rFonts w:ascii="Verdana" w:hAnsi="Verdana" w:cs="Verdana"/>
          <w:snapToGrid/>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D5748"/>
    <w:rsid w:val="00635D81"/>
    <w:rsid w:val="00903FD5"/>
    <w:rsid w:val="00CD574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03FD5"/>
  </w:style>
  <w:style w:type="character" w:customStyle="1" w:styleId="CharacterStyle1">
    <w:name w:val="Character Style 1"/>
    <w:uiPriority w:val="99"/>
    <w:rsid w:val="00903FD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6975</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2016-01-04T21:53:00Z</dcterms:created>
  <dcterms:modified xsi:type="dcterms:W3CDTF">2016-01-04T21:53:00Z</dcterms:modified>
</cp:coreProperties>
</file>