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F4" w:rsidRDefault="0000560B">
      <w:pPr>
        <w:kinsoku w:val="0"/>
        <w:overflowPunct w:val="0"/>
        <w:autoSpaceDE/>
        <w:autoSpaceDN/>
        <w:adjustRightInd/>
        <w:spacing w:line="284" w:lineRule="exact"/>
        <w:jc w:val="center"/>
        <w:textAlignment w:val="baseline"/>
        <w:rPr>
          <w:b/>
          <w:bCs/>
          <w:sz w:val="26"/>
          <w:szCs w:val="26"/>
          <w:lang w:val="es-ES" w:eastAsia="es-ES"/>
        </w:rPr>
      </w:pPr>
      <w:r>
        <w:rPr>
          <w:b/>
          <w:bCs/>
          <w:sz w:val="26"/>
          <w:szCs w:val="26"/>
          <w:lang w:val="es-ES" w:eastAsia="es-ES"/>
        </w:rPr>
        <w:t>Resolución No. TAT-2456-2015</w:t>
      </w:r>
    </w:p>
    <w:p w:rsidR="00BB0BF4" w:rsidRDefault="0000560B">
      <w:pPr>
        <w:kinsoku w:val="0"/>
        <w:overflowPunct w:val="0"/>
        <w:autoSpaceDE/>
        <w:autoSpaceDN/>
        <w:adjustRightInd/>
        <w:spacing w:before="496" w:line="297" w:lineRule="exact"/>
        <w:textAlignment w:val="baseline"/>
        <w:rPr>
          <w:spacing w:val="9"/>
          <w:sz w:val="26"/>
          <w:szCs w:val="26"/>
          <w:lang w:val="es-ES" w:eastAsia="es-ES"/>
        </w:rPr>
      </w:pPr>
      <w:r>
        <w:rPr>
          <w:b/>
          <w:bCs/>
          <w:spacing w:val="9"/>
          <w:sz w:val="26"/>
          <w:szCs w:val="26"/>
          <w:lang w:val="es-ES" w:eastAsia="es-ES"/>
        </w:rPr>
        <w:t xml:space="preserve">TRIBUNAL ADMINISTRATIVO DE TRANSPORTE. </w:t>
      </w:r>
      <w:r>
        <w:rPr>
          <w:spacing w:val="9"/>
          <w:sz w:val="26"/>
          <w:szCs w:val="26"/>
          <w:lang w:val="es-ES" w:eastAsia="es-ES"/>
        </w:rPr>
        <w:t>San José, a las Once</w:t>
      </w:r>
    </w:p>
    <w:p w:rsidR="00BB0BF4" w:rsidRDefault="0000560B">
      <w:pPr>
        <w:tabs>
          <w:tab w:val="right" w:leader="hyphen" w:pos="8928"/>
        </w:tabs>
        <w:kinsoku w:val="0"/>
        <w:overflowPunct w:val="0"/>
        <w:autoSpaceDE/>
        <w:autoSpaceDN/>
        <w:adjustRightInd/>
        <w:spacing w:line="296" w:lineRule="exact"/>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con Veintiséis minutos del día Veintinueve de Enero del Dos Mil Quince.</w:t>
      </w:r>
      <w:r>
        <w:rPr>
          <w:sz w:val="26"/>
          <w:szCs w:val="26"/>
          <w:lang w:val="es-ES" w:eastAsia="es-ES"/>
        </w:rPr>
        <w:tab/>
      </w:r>
    </w:p>
    <w:p w:rsidR="00BB0BF4" w:rsidRDefault="0000560B">
      <w:pPr>
        <w:kinsoku w:val="0"/>
        <w:overflowPunct w:val="0"/>
        <w:autoSpaceDE/>
        <w:autoSpaceDN/>
        <w:adjustRightInd/>
        <w:spacing w:before="332" w:line="297" w:lineRule="exact"/>
        <w:ind w:right="144"/>
        <w:jc w:val="both"/>
        <w:textAlignment w:val="baseline"/>
        <w:rPr>
          <w:sz w:val="24"/>
          <w:szCs w:val="24"/>
          <w:lang w:eastAsia="en-US"/>
        </w:rPr>
      </w:pPr>
      <w:r>
        <w:rPr>
          <w:sz w:val="26"/>
          <w:szCs w:val="26"/>
          <w:lang w:val="es-ES" w:eastAsia="es-ES"/>
        </w:rPr>
        <w:t xml:space="preserve">Se conoce por este medio de Recurso de Apelación y de Acción o Incidencia de Nulidad Absoluta interpuestos por el señor </w:t>
      </w:r>
      <w:r>
        <w:rPr>
          <w:b/>
          <w:bCs/>
          <w:sz w:val="26"/>
          <w:szCs w:val="26"/>
          <w:lang w:val="es-ES" w:eastAsia="es-ES"/>
        </w:rPr>
        <w:t>R</w:t>
      </w:r>
      <w:r w:rsidR="0090361A">
        <w:rPr>
          <w:b/>
          <w:bCs/>
          <w:sz w:val="26"/>
          <w:szCs w:val="26"/>
          <w:lang w:val="es-ES" w:eastAsia="es-ES"/>
        </w:rPr>
        <w:t>.A.C.</w:t>
      </w:r>
      <w:r>
        <w:rPr>
          <w:b/>
          <w:bCs/>
          <w:sz w:val="26"/>
          <w:szCs w:val="26"/>
          <w:lang w:val="es-ES" w:eastAsia="es-ES"/>
        </w:rPr>
        <w:t xml:space="preserve">, </w:t>
      </w:r>
      <w:r w:rsidR="0090361A">
        <w:rPr>
          <w:sz w:val="26"/>
          <w:szCs w:val="26"/>
          <w:lang w:val="es-ES" w:eastAsia="es-ES"/>
        </w:rPr>
        <w:t xml:space="preserve">cédula de identidad </w:t>
      </w:r>
      <w:proofErr w:type="gramStart"/>
      <w:r w:rsidR="0090361A">
        <w:rPr>
          <w:sz w:val="26"/>
          <w:szCs w:val="26"/>
          <w:lang w:val="es-ES" w:eastAsia="es-ES"/>
        </w:rPr>
        <w:t>número …</w:t>
      </w:r>
      <w:proofErr w:type="gramEnd"/>
      <w:r>
        <w:rPr>
          <w:sz w:val="26"/>
          <w:szCs w:val="26"/>
          <w:lang w:val="es-ES" w:eastAsia="es-ES"/>
        </w:rPr>
        <w:t xml:space="preserve">, en su condición de Concesionario del Servicio Público de Transporte Remunerado de Personas, modalidad Taxi, con la Concesión Placa No. </w:t>
      </w:r>
      <w:r>
        <w:rPr>
          <w:b/>
          <w:bCs/>
          <w:sz w:val="26"/>
          <w:szCs w:val="26"/>
          <w:lang w:val="es-ES" w:eastAsia="es-ES"/>
        </w:rPr>
        <w:t>TSJ-</w:t>
      </w:r>
      <w:r w:rsidR="0090361A">
        <w:rPr>
          <w:b/>
          <w:bCs/>
          <w:sz w:val="26"/>
          <w:szCs w:val="26"/>
          <w:lang w:val="es-ES" w:eastAsia="es-ES"/>
        </w:rPr>
        <w:t>XXX</w:t>
      </w:r>
      <w:r>
        <w:rPr>
          <w:b/>
          <w:bCs/>
          <w:sz w:val="26"/>
          <w:szCs w:val="26"/>
          <w:lang w:val="es-ES" w:eastAsia="es-ES"/>
        </w:rPr>
        <w:t xml:space="preserve">, </w:t>
      </w:r>
      <w:r>
        <w:rPr>
          <w:sz w:val="26"/>
          <w:szCs w:val="26"/>
          <w:lang w:val="es-ES" w:eastAsia="es-ES"/>
        </w:rPr>
        <w:t>contra el Artículo No. 6.2.66 de la Sesión Ordinaria No. 53</w:t>
      </w:r>
      <w:r>
        <w:rPr>
          <w:sz w:val="26"/>
          <w:szCs w:val="26"/>
          <w:lang w:val="es-ES" w:eastAsia="es-ES"/>
        </w:rPr>
        <w:softHyphen/>
        <w:t xml:space="preserve">2009, de fecha 18 de Agosto del 2009, de la Junta Directiva del Consejo de Transporte Público.- </w:t>
      </w:r>
      <w:r>
        <w:rPr>
          <w:b/>
          <w:bCs/>
          <w:sz w:val="26"/>
          <w:szCs w:val="26"/>
          <w:lang w:val="es-ES" w:eastAsia="es-ES"/>
        </w:rPr>
        <w:t>EXPEDIENTE ADMINISTRATIVO No. TAT-292-14.</w:t>
      </w:r>
      <w:r>
        <w:rPr>
          <w:b/>
          <w:bCs/>
          <w:sz w:val="26"/>
          <w:szCs w:val="26"/>
          <w:lang w:val="es-ES" w:eastAsia="es-ES"/>
        </w:rPr>
        <w:noBreakHyphen/>
      </w:r>
    </w:p>
    <w:p w:rsidR="00BB0BF4" w:rsidRDefault="0000560B">
      <w:pPr>
        <w:kinsoku w:val="0"/>
        <w:overflowPunct w:val="0"/>
        <w:autoSpaceDE/>
        <w:autoSpaceDN/>
        <w:adjustRightInd/>
        <w:spacing w:before="311" w:line="301" w:lineRule="exact"/>
        <w:jc w:val="center"/>
        <w:textAlignment w:val="baseline"/>
        <w:rPr>
          <w:b/>
          <w:bCs/>
          <w:i/>
          <w:iCs/>
          <w:sz w:val="26"/>
          <w:szCs w:val="26"/>
          <w:lang w:val="es-ES" w:eastAsia="es-ES"/>
        </w:rPr>
      </w:pPr>
      <w:r>
        <w:rPr>
          <w:b/>
          <w:bCs/>
          <w:i/>
          <w:iCs/>
          <w:sz w:val="26"/>
          <w:szCs w:val="26"/>
          <w:lang w:val="es-ES" w:eastAsia="es-ES"/>
        </w:rPr>
        <w:t>Resultando:</w:t>
      </w:r>
    </w:p>
    <w:p w:rsidR="00BB0BF4" w:rsidRDefault="0000560B">
      <w:pPr>
        <w:kinsoku w:val="0"/>
        <w:overflowPunct w:val="0"/>
        <w:autoSpaceDE/>
        <w:autoSpaceDN/>
        <w:adjustRightInd/>
        <w:spacing w:before="284" w:line="297" w:lineRule="exact"/>
        <w:ind w:right="144"/>
        <w:jc w:val="both"/>
        <w:textAlignment w:val="baseline"/>
        <w:rPr>
          <w:spacing w:val="2"/>
          <w:sz w:val="26"/>
          <w:szCs w:val="26"/>
          <w:lang w:val="es-ES" w:eastAsia="es-ES"/>
        </w:rPr>
      </w:pPr>
      <w:r>
        <w:rPr>
          <w:b/>
          <w:bCs/>
          <w:spacing w:val="2"/>
          <w:sz w:val="26"/>
          <w:szCs w:val="26"/>
          <w:lang w:val="es-ES" w:eastAsia="es-ES"/>
        </w:rPr>
        <w:t xml:space="preserve">PRIMERO: </w:t>
      </w:r>
      <w:r>
        <w:rPr>
          <w:spacing w:val="2"/>
          <w:sz w:val="26"/>
          <w:szCs w:val="26"/>
          <w:lang w:val="es-ES" w:eastAsia="es-ES"/>
        </w:rPr>
        <w:t>El Consejo de Transporte Público mediante el Artículo No. 6.2.66 de su Sesión Ordinaria No. 53-2009 de fecha 18 de Agosto del 2009, acordó lo siguiente:</w:t>
      </w:r>
    </w:p>
    <w:p w:rsidR="00BB0BF4" w:rsidRDefault="0000560B">
      <w:pPr>
        <w:kinsoku w:val="0"/>
        <w:overflowPunct w:val="0"/>
        <w:autoSpaceDE/>
        <w:autoSpaceDN/>
        <w:adjustRightInd/>
        <w:spacing w:before="204" w:line="286" w:lineRule="exact"/>
        <w:ind w:left="648"/>
        <w:textAlignment w:val="baseline"/>
        <w:rPr>
          <w:b/>
          <w:bCs/>
          <w:sz w:val="26"/>
          <w:szCs w:val="26"/>
          <w:lang w:val="es-ES" w:eastAsia="es-ES"/>
        </w:rPr>
      </w:pPr>
      <w:r>
        <w:rPr>
          <w:b/>
          <w:bCs/>
          <w:sz w:val="26"/>
          <w:szCs w:val="26"/>
          <w:lang w:val="es-ES" w:eastAsia="es-ES"/>
        </w:rPr>
        <w:t>..."POR TANTO ACUERDAN EN FIRME</w:t>
      </w:r>
    </w:p>
    <w:p w:rsidR="00BB0BF4" w:rsidRDefault="0000560B">
      <w:pPr>
        <w:kinsoku w:val="0"/>
        <w:overflowPunct w:val="0"/>
        <w:autoSpaceDE/>
        <w:autoSpaceDN/>
        <w:adjustRightInd/>
        <w:spacing w:before="24" w:line="297" w:lineRule="exact"/>
        <w:jc w:val="center"/>
        <w:textAlignment w:val="baseline"/>
        <w:rPr>
          <w:spacing w:val="8"/>
          <w:sz w:val="26"/>
          <w:szCs w:val="26"/>
          <w:lang w:val="es-ES" w:eastAsia="es-ES"/>
        </w:rPr>
      </w:pPr>
      <w:r>
        <w:rPr>
          <w:spacing w:val="8"/>
          <w:sz w:val="26"/>
          <w:szCs w:val="26"/>
          <w:lang w:val="es-ES" w:eastAsia="es-ES"/>
        </w:rPr>
        <w:t>Acoger las recomendaciones de la comisión de Análisis previo y por</w:t>
      </w:r>
    </w:p>
    <w:p w:rsidR="00BB0BF4" w:rsidRDefault="0000560B">
      <w:pPr>
        <w:kinsoku w:val="0"/>
        <w:overflowPunct w:val="0"/>
        <w:autoSpaceDE/>
        <w:autoSpaceDN/>
        <w:adjustRightInd/>
        <w:spacing w:line="274" w:lineRule="exact"/>
        <w:ind w:left="648"/>
        <w:textAlignment w:val="baseline"/>
        <w:rPr>
          <w:spacing w:val="-10"/>
          <w:sz w:val="26"/>
          <w:szCs w:val="26"/>
          <w:lang w:val="es-ES" w:eastAsia="es-ES"/>
        </w:rPr>
      </w:pPr>
      <w:proofErr w:type="gramStart"/>
      <w:r>
        <w:rPr>
          <w:spacing w:val="-10"/>
          <w:sz w:val="26"/>
          <w:szCs w:val="26"/>
          <w:lang w:val="es-ES" w:eastAsia="es-ES"/>
        </w:rPr>
        <w:t>ello</w:t>
      </w:r>
      <w:proofErr w:type="gramEnd"/>
      <w:r>
        <w:rPr>
          <w:spacing w:val="-10"/>
          <w:sz w:val="26"/>
          <w:szCs w:val="26"/>
          <w:lang w:val="es-ES" w:eastAsia="es-ES"/>
        </w:rPr>
        <w:t>:</w:t>
      </w:r>
    </w:p>
    <w:p w:rsidR="00BB0BF4" w:rsidRDefault="0000560B">
      <w:pPr>
        <w:numPr>
          <w:ilvl w:val="0"/>
          <w:numId w:val="1"/>
        </w:numPr>
        <w:kinsoku w:val="0"/>
        <w:overflowPunct w:val="0"/>
        <w:autoSpaceDE/>
        <w:autoSpaceDN/>
        <w:adjustRightInd/>
        <w:spacing w:before="193" w:line="297" w:lineRule="exact"/>
        <w:ind w:right="432"/>
        <w:jc w:val="both"/>
        <w:textAlignment w:val="baseline"/>
        <w:rPr>
          <w:sz w:val="26"/>
          <w:szCs w:val="26"/>
          <w:lang w:val="es-ES" w:eastAsia="es-ES"/>
        </w:rPr>
      </w:pPr>
      <w:r>
        <w:rPr>
          <w:sz w:val="26"/>
          <w:szCs w:val="26"/>
          <w:lang w:val="es-ES" w:eastAsia="es-ES"/>
        </w:rPr>
        <w:t xml:space="preserve">Iniciar el Procedimiento Administrativo Ordinario para averiguar la verdad real de los hechos respecto de la Concesión Administrativa de Taxi del concesionario </w:t>
      </w:r>
      <w:proofErr w:type="gramStart"/>
      <w:r>
        <w:rPr>
          <w:sz w:val="26"/>
          <w:szCs w:val="26"/>
          <w:lang w:val="es-ES" w:eastAsia="es-ES"/>
        </w:rPr>
        <w:t>R</w:t>
      </w:r>
      <w:r w:rsidR="0090361A">
        <w:rPr>
          <w:sz w:val="26"/>
          <w:szCs w:val="26"/>
          <w:lang w:val="es-ES" w:eastAsia="es-ES"/>
        </w:rPr>
        <w:t>.A.C.</w:t>
      </w:r>
      <w:r>
        <w:rPr>
          <w:sz w:val="26"/>
          <w:szCs w:val="26"/>
          <w:lang w:val="es-ES" w:eastAsia="es-ES"/>
        </w:rPr>
        <w:t>.</w:t>
      </w:r>
      <w:proofErr w:type="gramEnd"/>
    </w:p>
    <w:p w:rsidR="00BB0BF4" w:rsidRDefault="0000560B">
      <w:pPr>
        <w:numPr>
          <w:ilvl w:val="0"/>
          <w:numId w:val="1"/>
        </w:numPr>
        <w:kinsoku w:val="0"/>
        <w:overflowPunct w:val="0"/>
        <w:autoSpaceDE/>
        <w:autoSpaceDN/>
        <w:adjustRightInd/>
        <w:spacing w:before="128" w:after="1631" w:line="304" w:lineRule="exact"/>
        <w:ind w:right="792"/>
        <w:jc w:val="both"/>
        <w:textAlignment w:val="baseline"/>
        <w:rPr>
          <w:spacing w:val="-1"/>
          <w:sz w:val="26"/>
          <w:szCs w:val="26"/>
          <w:lang w:val="es-ES" w:eastAsia="es-ES"/>
        </w:rPr>
      </w:pPr>
      <w:r>
        <w:rPr>
          <w:spacing w:val="-1"/>
          <w:sz w:val="26"/>
          <w:szCs w:val="26"/>
          <w:lang w:val="es-ES" w:eastAsia="es-ES"/>
        </w:rPr>
        <w:t>Suspender la tramitación de la solicitud de autorización previa para ceder la concesión administrativa de conformidad con el artículo 42 de la Ley No. 7969 presentada por el señor R</w:t>
      </w:r>
      <w:r w:rsidR="0090361A">
        <w:rPr>
          <w:spacing w:val="-1"/>
          <w:sz w:val="26"/>
          <w:szCs w:val="26"/>
          <w:lang w:val="es-ES" w:eastAsia="es-ES"/>
        </w:rPr>
        <w:t>.A.C.</w:t>
      </w:r>
      <w:r>
        <w:rPr>
          <w:spacing w:val="-1"/>
          <w:sz w:val="26"/>
          <w:szCs w:val="26"/>
          <w:lang w:val="es-ES" w:eastAsia="es-ES"/>
        </w:rPr>
        <w:t xml:space="preserve">, cédula de identidad </w:t>
      </w:r>
      <w:proofErr w:type="gramStart"/>
      <w:r>
        <w:rPr>
          <w:spacing w:val="-1"/>
          <w:sz w:val="26"/>
          <w:szCs w:val="26"/>
          <w:lang w:val="es-ES" w:eastAsia="es-ES"/>
        </w:rPr>
        <w:t xml:space="preserve">número </w:t>
      </w:r>
      <w:r w:rsidR="0090361A">
        <w:rPr>
          <w:spacing w:val="-1"/>
          <w:sz w:val="26"/>
          <w:szCs w:val="26"/>
          <w:lang w:val="es-ES" w:eastAsia="es-ES"/>
        </w:rPr>
        <w:t>…</w:t>
      </w:r>
      <w:proofErr w:type="gramEnd"/>
      <w:r>
        <w:rPr>
          <w:spacing w:val="-1"/>
          <w:sz w:val="26"/>
          <w:szCs w:val="26"/>
          <w:lang w:val="es-ES" w:eastAsia="es-ES"/>
        </w:rPr>
        <w:t>, quedando la misma supeditada a las resultas de dicho procedimiento ordinario administrativo."...</w:t>
      </w:r>
    </w:p>
    <w:p w:rsidR="00BB0BF4" w:rsidRDefault="00BB0BF4">
      <w:pPr>
        <w:widowControl/>
        <w:rPr>
          <w:sz w:val="24"/>
          <w:szCs w:val="24"/>
        </w:rPr>
        <w:sectPr w:rsidR="00BB0BF4">
          <w:pgSz w:w="12240" w:h="15840"/>
          <w:pgMar w:top="1700" w:right="1553" w:bottom="384" w:left="1627" w:header="720" w:footer="720" w:gutter="0"/>
          <w:cols w:space="720"/>
          <w:noEndnote/>
        </w:sectPr>
      </w:pPr>
    </w:p>
    <w:p w:rsidR="00BB0BF4" w:rsidRDefault="00BB0BF4">
      <w:pPr>
        <w:widowControl/>
        <w:rPr>
          <w:sz w:val="24"/>
          <w:szCs w:val="24"/>
        </w:rPr>
        <w:sectPr w:rsidR="00BB0BF4">
          <w:type w:val="continuous"/>
          <w:pgSz w:w="12240" w:h="15840"/>
          <w:pgMar w:top="1700" w:right="2354" w:bottom="384" w:left="8006" w:header="720" w:footer="720" w:gutter="0"/>
          <w:cols w:space="720"/>
          <w:noEndnote/>
        </w:sectPr>
      </w:pPr>
    </w:p>
    <w:p w:rsidR="00BB0BF4" w:rsidRDefault="0000560B">
      <w:pPr>
        <w:kinsoku w:val="0"/>
        <w:overflowPunct w:val="0"/>
        <w:autoSpaceDE/>
        <w:autoSpaceDN/>
        <w:adjustRightInd/>
        <w:spacing w:before="8" w:line="295" w:lineRule="exact"/>
        <w:ind w:right="576"/>
        <w:jc w:val="both"/>
        <w:textAlignment w:val="baseline"/>
        <w:rPr>
          <w:sz w:val="25"/>
          <w:szCs w:val="25"/>
          <w:lang w:val="es-ES" w:eastAsia="es-ES"/>
        </w:rPr>
      </w:pPr>
      <w:r w:rsidRPr="0090361A">
        <w:rPr>
          <w:b/>
          <w:sz w:val="25"/>
          <w:szCs w:val="25"/>
          <w:lang w:val="es-ES" w:eastAsia="es-ES"/>
        </w:rPr>
        <w:lastRenderedPageBreak/>
        <w:t>SEGUNDO:</w:t>
      </w:r>
      <w:r>
        <w:rPr>
          <w:sz w:val="25"/>
          <w:szCs w:val="25"/>
          <w:lang w:val="es-ES" w:eastAsia="es-ES"/>
        </w:rPr>
        <w:t xml:space="preserve"> Inconforme con lo determinado mediante el Acuerdo antes trascrito, el señor Arias Casasola interpone Recurso de Apelación e Incidencia Nulidad Absoluta contra el mismo.</w:t>
      </w:r>
    </w:p>
    <w:p w:rsidR="00BB0BF4" w:rsidRDefault="0000560B">
      <w:pPr>
        <w:kinsoku w:val="0"/>
        <w:overflowPunct w:val="0"/>
        <w:autoSpaceDE/>
        <w:autoSpaceDN/>
        <w:adjustRightInd/>
        <w:spacing w:before="339" w:line="295" w:lineRule="exact"/>
        <w:ind w:right="576"/>
        <w:jc w:val="both"/>
        <w:textAlignment w:val="baseline"/>
        <w:rPr>
          <w:spacing w:val="6"/>
          <w:sz w:val="25"/>
          <w:szCs w:val="25"/>
          <w:lang w:val="es-ES" w:eastAsia="es-ES"/>
        </w:rPr>
      </w:pPr>
      <w:r>
        <w:rPr>
          <w:b/>
          <w:bCs/>
          <w:spacing w:val="6"/>
          <w:sz w:val="25"/>
          <w:szCs w:val="25"/>
          <w:lang w:val="es-ES" w:eastAsia="es-ES"/>
        </w:rPr>
        <w:t xml:space="preserve">TERCERO: </w:t>
      </w:r>
      <w:r>
        <w:rPr>
          <w:spacing w:val="6"/>
          <w:sz w:val="25"/>
          <w:szCs w:val="25"/>
          <w:lang w:val="es-ES" w:eastAsia="es-ES"/>
        </w:rPr>
        <w:t xml:space="preserve">La Junta Directiva del Consejo de Transporte Público, en conocimiento del oficio DAJ 201003718 de su Dirección de Asuntos Jurídicos de fecha 09 de Diciembre del 2010, mediante el Artículo No. 7.3.10 de su Sesión Ordinaria No. 56-2014 de fecha 02 de Octubre del 2014, dispone Elevar ante este Tribunal, por ser de su Exclusiva Competencia, el Recurso de Apelación presentado por el Recurrente antes dicho y rechazar </w:t>
      </w:r>
      <w:r>
        <w:rPr>
          <w:i/>
          <w:iCs/>
          <w:spacing w:val="6"/>
          <w:sz w:val="25"/>
          <w:szCs w:val="25"/>
          <w:lang w:val="es-ES" w:eastAsia="es-ES"/>
        </w:rPr>
        <w:t xml:space="preserve">—por sí- </w:t>
      </w:r>
      <w:r>
        <w:rPr>
          <w:spacing w:val="6"/>
          <w:sz w:val="25"/>
          <w:szCs w:val="25"/>
          <w:lang w:val="es-ES" w:eastAsia="es-ES"/>
        </w:rPr>
        <w:t>la Incidencia de Nulidad concomitante.</w:t>
      </w:r>
    </w:p>
    <w:p w:rsidR="00BB0BF4" w:rsidRDefault="0000560B">
      <w:pPr>
        <w:kinsoku w:val="0"/>
        <w:overflowPunct w:val="0"/>
        <w:autoSpaceDE/>
        <w:autoSpaceDN/>
        <w:adjustRightInd/>
        <w:spacing w:before="317" w:line="295" w:lineRule="exact"/>
        <w:ind w:right="576"/>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Conforme todo lo anterior y en rigor de los Términos y Prescripciones de Ley, procede a conocer y resolver este Tribunal.</w:t>
      </w:r>
    </w:p>
    <w:p w:rsidR="00BB0BF4" w:rsidRDefault="0000560B">
      <w:pPr>
        <w:kinsoku w:val="0"/>
        <w:overflowPunct w:val="0"/>
        <w:autoSpaceDE/>
        <w:autoSpaceDN/>
        <w:adjustRightInd/>
        <w:spacing w:before="415" w:line="310" w:lineRule="exact"/>
        <w:textAlignment w:val="baseline"/>
        <w:rPr>
          <w:i/>
          <w:iCs/>
          <w:spacing w:val="6"/>
          <w:sz w:val="21"/>
          <w:szCs w:val="21"/>
          <w:lang w:val="es-ES" w:eastAsia="es-ES"/>
        </w:rPr>
      </w:pPr>
      <w:r>
        <w:rPr>
          <w:b/>
          <w:bCs/>
          <w:i/>
          <w:iCs/>
          <w:spacing w:val="6"/>
          <w:sz w:val="21"/>
          <w:szCs w:val="21"/>
          <w:lang w:val="es-ES" w:eastAsia="es-ES"/>
        </w:rPr>
        <w:t xml:space="preserve">REDACTA EL JUEZ QUESADA </w:t>
      </w:r>
      <w:r>
        <w:rPr>
          <w:i/>
          <w:iCs/>
          <w:spacing w:val="6"/>
          <w:sz w:val="21"/>
          <w:szCs w:val="21"/>
          <w:lang w:val="es-ES" w:eastAsia="es-ES"/>
        </w:rPr>
        <w:t>AGUIRRE</w:t>
      </w:r>
    </w:p>
    <w:p w:rsidR="00BB0BF4" w:rsidRDefault="0000560B">
      <w:pPr>
        <w:kinsoku w:val="0"/>
        <w:overflowPunct w:val="0"/>
        <w:autoSpaceDE/>
        <w:autoSpaceDN/>
        <w:adjustRightInd/>
        <w:spacing w:before="129" w:line="302" w:lineRule="exact"/>
        <w:jc w:val="center"/>
        <w:textAlignment w:val="baseline"/>
        <w:rPr>
          <w:b/>
          <w:bCs/>
          <w:i/>
          <w:iCs/>
          <w:spacing w:val="3"/>
          <w:sz w:val="25"/>
          <w:szCs w:val="25"/>
          <w:lang w:val="es-ES" w:eastAsia="es-ES"/>
        </w:rPr>
      </w:pPr>
      <w:r>
        <w:rPr>
          <w:b/>
          <w:bCs/>
          <w:i/>
          <w:iCs/>
          <w:spacing w:val="3"/>
          <w:sz w:val="25"/>
          <w:szCs w:val="25"/>
          <w:lang w:val="es-ES" w:eastAsia="es-ES"/>
        </w:rPr>
        <w:t>Considerando Único:</w:t>
      </w:r>
    </w:p>
    <w:p w:rsidR="00BB0BF4" w:rsidRDefault="0000560B">
      <w:pPr>
        <w:kinsoku w:val="0"/>
        <w:overflowPunct w:val="0"/>
        <w:autoSpaceDE/>
        <w:autoSpaceDN/>
        <w:adjustRightInd/>
        <w:spacing w:before="321" w:after="295" w:line="295" w:lineRule="exact"/>
        <w:ind w:right="576"/>
        <w:jc w:val="both"/>
        <w:textAlignment w:val="baseline"/>
        <w:rPr>
          <w:sz w:val="25"/>
          <w:szCs w:val="25"/>
          <w:lang w:val="es-ES" w:eastAsia="es-ES"/>
        </w:rPr>
      </w:pPr>
      <w:r>
        <w:rPr>
          <w:sz w:val="25"/>
          <w:szCs w:val="25"/>
          <w:lang w:val="es-ES" w:eastAsia="es-ES"/>
        </w:rPr>
        <w:t xml:space="preserve">Conforme se determina de nuestro estudio meritorio del presente Caso, se tiene que las Impugnaciones que nos ocupan son contra un Acuerdo que por su Naturaleza y Contenidos presenta la condición de Acto de Mero Trámite, pues lo que hace es </w:t>
      </w:r>
      <w:r>
        <w:rPr>
          <w:b/>
          <w:bCs/>
          <w:sz w:val="25"/>
          <w:szCs w:val="25"/>
          <w:lang w:val="es-ES" w:eastAsia="es-ES"/>
        </w:rPr>
        <w:t xml:space="preserve">Ordenar el Debido Inicio de un Procedimiento Administrativo Ordinario </w:t>
      </w:r>
      <w:r>
        <w:rPr>
          <w:sz w:val="25"/>
          <w:szCs w:val="25"/>
          <w:lang w:val="es-ES" w:eastAsia="es-ES"/>
        </w:rPr>
        <w:t>para la verificación de la Verdad Real en cuanto al caso del Concesionario Accionante y de la Concesión Placa TSJ-</w:t>
      </w:r>
      <w:r w:rsidR="00AC3982">
        <w:rPr>
          <w:sz w:val="25"/>
          <w:szCs w:val="25"/>
          <w:lang w:val="es-ES" w:eastAsia="es-ES"/>
        </w:rPr>
        <w:t>XXX</w:t>
      </w:r>
      <w:r>
        <w:rPr>
          <w:sz w:val="25"/>
          <w:szCs w:val="25"/>
          <w:lang w:val="es-ES" w:eastAsia="es-ES"/>
        </w:rPr>
        <w:t xml:space="preserve">. Así las cosas, </w:t>
      </w:r>
      <w:proofErr w:type="spellStart"/>
      <w:r>
        <w:rPr>
          <w:sz w:val="25"/>
          <w:szCs w:val="25"/>
          <w:lang w:val="es-ES" w:eastAsia="es-ES"/>
        </w:rPr>
        <w:t>entratándose</w:t>
      </w:r>
      <w:proofErr w:type="spellEnd"/>
      <w:r>
        <w:rPr>
          <w:sz w:val="25"/>
          <w:szCs w:val="25"/>
          <w:lang w:val="es-ES" w:eastAsia="es-ES"/>
        </w:rPr>
        <w:t xml:space="preserve"> de un Acto de Mero Trámite, el mismo no es susceptible a los Recursos en cuestión. Ya anteriormente sobre esta temática hemos dicho:</w:t>
      </w:r>
    </w:p>
    <w:tbl>
      <w:tblPr>
        <w:tblW w:w="0" w:type="auto"/>
        <w:tblLayout w:type="fixed"/>
        <w:tblCellMar>
          <w:left w:w="0" w:type="dxa"/>
          <w:right w:w="0" w:type="dxa"/>
        </w:tblCellMar>
        <w:tblLook w:val="0000"/>
      </w:tblPr>
      <w:tblGrid>
        <w:gridCol w:w="8390"/>
        <w:gridCol w:w="1090"/>
      </w:tblGrid>
      <w:tr w:rsidR="00BB0BF4">
        <w:trPr>
          <w:trHeight w:hRule="exact" w:val="5415"/>
        </w:trPr>
        <w:tc>
          <w:tcPr>
            <w:tcW w:w="8390" w:type="dxa"/>
            <w:tcBorders>
              <w:top w:val="nil"/>
              <w:left w:val="nil"/>
              <w:bottom w:val="nil"/>
              <w:right w:val="nil"/>
            </w:tcBorders>
          </w:tcPr>
          <w:p w:rsidR="00BB0BF4" w:rsidRDefault="0000560B">
            <w:pPr>
              <w:kinsoku w:val="0"/>
              <w:overflowPunct w:val="0"/>
              <w:autoSpaceDE/>
              <w:autoSpaceDN/>
              <w:adjustRightInd/>
              <w:spacing w:line="274" w:lineRule="exact"/>
              <w:ind w:left="576" w:right="144"/>
              <w:jc w:val="both"/>
              <w:textAlignment w:val="baseline"/>
              <w:rPr>
                <w:b/>
                <w:bCs/>
                <w:sz w:val="25"/>
                <w:szCs w:val="25"/>
                <w:lang w:val="es-ES" w:eastAsia="es-ES"/>
              </w:rPr>
            </w:pPr>
            <w:r>
              <w:rPr>
                <w:sz w:val="25"/>
                <w:szCs w:val="25"/>
                <w:lang w:val="es-ES" w:eastAsia="es-ES"/>
              </w:rPr>
              <w:t xml:space="preserve">..."Conforme lo anterior, este Acuerdo Impugnado puede catalogarse como UN </w:t>
            </w:r>
            <w:r>
              <w:rPr>
                <w:b/>
                <w:bCs/>
                <w:sz w:val="25"/>
                <w:szCs w:val="25"/>
                <w:lang w:val="es-ES" w:eastAsia="es-ES"/>
              </w:rPr>
              <w:t xml:space="preserve">ACTO DE MERO TRÁMITE O PREPARATORIO </w:t>
            </w:r>
            <w:r>
              <w:rPr>
                <w:sz w:val="25"/>
                <w:szCs w:val="25"/>
                <w:lang w:val="es-ES" w:eastAsia="es-ES"/>
              </w:rPr>
              <w:t xml:space="preserve">contra el cual </w:t>
            </w:r>
            <w:r>
              <w:rPr>
                <w:b/>
                <w:bCs/>
                <w:sz w:val="25"/>
                <w:szCs w:val="25"/>
                <w:lang w:val="es-ES" w:eastAsia="es-ES"/>
              </w:rPr>
              <w:t xml:space="preserve">NO ES ADMISIBLE EL RECURSO DE APELACIÓN </w:t>
            </w:r>
            <w:r>
              <w:rPr>
                <w:sz w:val="25"/>
                <w:szCs w:val="25"/>
                <w:lang w:val="es-ES" w:eastAsia="es-ES"/>
              </w:rPr>
              <w:t xml:space="preserve">y/o la </w:t>
            </w:r>
            <w:r>
              <w:rPr>
                <w:b/>
                <w:bCs/>
                <w:sz w:val="25"/>
                <w:szCs w:val="25"/>
                <w:lang w:val="es-ES" w:eastAsia="es-ES"/>
              </w:rPr>
              <w:t>NULIDAD ACCESORIA AL MISMO.</w:t>
            </w:r>
          </w:p>
          <w:p w:rsidR="00BB0BF4" w:rsidRDefault="0000560B">
            <w:pPr>
              <w:kinsoku w:val="0"/>
              <w:overflowPunct w:val="0"/>
              <w:autoSpaceDE/>
              <w:autoSpaceDN/>
              <w:adjustRightInd/>
              <w:spacing w:before="242" w:line="285" w:lineRule="exact"/>
              <w:ind w:left="576" w:right="144"/>
              <w:jc w:val="both"/>
              <w:textAlignment w:val="baseline"/>
              <w:rPr>
                <w:spacing w:val="-4"/>
                <w:sz w:val="25"/>
                <w:szCs w:val="25"/>
                <w:lang w:val="es-ES" w:eastAsia="es-ES"/>
              </w:rPr>
            </w:pPr>
            <w:r>
              <w:rPr>
                <w:spacing w:val="-4"/>
                <w:sz w:val="25"/>
                <w:szCs w:val="25"/>
                <w:lang w:val="es-ES" w:eastAsia="es-ES"/>
              </w:rPr>
              <w:t xml:space="preserve">En cuanto a la naturaleza de los actos de Mero Trámite o Preparatorios, se debe tener presente que: </w:t>
            </w:r>
            <w:r>
              <w:rPr>
                <w:i/>
                <w:iCs/>
                <w:spacing w:val="-4"/>
                <w:sz w:val="25"/>
                <w:szCs w:val="25"/>
                <w:lang w:val="es-ES" w:eastAsia="es-ES"/>
              </w:rPr>
              <w:t xml:space="preserve">"son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Pr>
                <w:b/>
                <w:bCs/>
                <w:spacing w:val="-4"/>
                <w:sz w:val="25"/>
                <w:szCs w:val="25"/>
                <w:u w:val="single"/>
                <w:lang w:val="es-ES" w:eastAsia="es-ES"/>
              </w:rPr>
              <w:t xml:space="preserve">(Diccionario de Derecho Público, </w:t>
            </w:r>
            <w:r>
              <w:rPr>
                <w:spacing w:val="-4"/>
                <w:sz w:val="25"/>
                <w:szCs w:val="25"/>
                <w:lang w:val="es-ES" w:eastAsia="es-ES"/>
              </w:rPr>
              <w:t xml:space="preserve">Editorial </w:t>
            </w:r>
            <w:proofErr w:type="spellStart"/>
            <w:r>
              <w:rPr>
                <w:spacing w:val="-4"/>
                <w:sz w:val="25"/>
                <w:szCs w:val="25"/>
                <w:lang w:val="es-ES" w:eastAsia="es-ES"/>
              </w:rPr>
              <w:t>Astrea</w:t>
            </w:r>
            <w:proofErr w:type="spellEnd"/>
            <w:r>
              <w:rPr>
                <w:spacing w:val="-4"/>
                <w:sz w:val="25"/>
                <w:szCs w:val="25"/>
                <w:lang w:val="es-ES" w:eastAsia="es-ES"/>
              </w:rPr>
              <w:t xml:space="preserve"> de Alfredo y Ricardo </w:t>
            </w:r>
            <w:proofErr w:type="spellStart"/>
            <w:r>
              <w:rPr>
                <w:spacing w:val="-4"/>
                <w:sz w:val="25"/>
                <w:szCs w:val="25"/>
                <w:lang w:val="es-ES" w:eastAsia="es-ES"/>
              </w:rPr>
              <w:t>Depalma</w:t>
            </w:r>
            <w:proofErr w:type="spellEnd"/>
            <w:r>
              <w:rPr>
                <w:spacing w:val="-4"/>
                <w:sz w:val="25"/>
                <w:szCs w:val="25"/>
                <w:lang w:val="es-ES" w:eastAsia="es-ES"/>
              </w:rPr>
              <w:t>, Buenos Aires, 1981, Pág. 23).</w:t>
            </w:r>
          </w:p>
          <w:p w:rsidR="00BB0BF4" w:rsidRDefault="00BB0BF4">
            <w:pPr>
              <w:kinsoku w:val="0"/>
              <w:overflowPunct w:val="0"/>
              <w:autoSpaceDE/>
              <w:autoSpaceDN/>
              <w:adjustRightInd/>
              <w:spacing w:before="831" w:after="446" w:line="220" w:lineRule="exact"/>
              <w:ind w:right="144"/>
              <w:jc w:val="right"/>
              <w:textAlignment w:val="baseline"/>
              <w:rPr>
                <w:i/>
                <w:iCs/>
                <w:sz w:val="21"/>
                <w:szCs w:val="21"/>
                <w:lang w:val="es-ES" w:eastAsia="es-ES"/>
              </w:rPr>
            </w:pPr>
          </w:p>
        </w:tc>
        <w:tc>
          <w:tcPr>
            <w:tcW w:w="1090" w:type="dxa"/>
            <w:tcBorders>
              <w:top w:val="nil"/>
              <w:left w:val="nil"/>
              <w:bottom w:val="nil"/>
              <w:right w:val="nil"/>
            </w:tcBorders>
            <w:vAlign w:val="bottom"/>
          </w:tcPr>
          <w:p w:rsidR="00BB0BF4" w:rsidRDefault="00BB0BF4">
            <w:pPr>
              <w:kinsoku w:val="0"/>
              <w:overflowPunct w:val="0"/>
              <w:autoSpaceDE/>
              <w:autoSpaceDN/>
              <w:adjustRightInd/>
              <w:spacing w:before="4253" w:line="1161" w:lineRule="exact"/>
              <w:jc w:val="center"/>
              <w:textAlignment w:val="baseline"/>
              <w:rPr>
                <w:rFonts w:ascii="Arial" w:hAnsi="Arial" w:cs="Arial"/>
                <w:sz w:val="22"/>
                <w:szCs w:val="22"/>
                <w:lang w:val="es-ES" w:eastAsia="es-ES"/>
              </w:rPr>
            </w:pPr>
          </w:p>
        </w:tc>
      </w:tr>
    </w:tbl>
    <w:p w:rsidR="00BB0BF4" w:rsidRDefault="00BB0BF4">
      <w:pPr>
        <w:widowControl/>
        <w:rPr>
          <w:sz w:val="24"/>
          <w:szCs w:val="24"/>
        </w:rPr>
        <w:sectPr w:rsidR="00BB0BF4">
          <w:pgSz w:w="12240" w:h="15840"/>
          <w:pgMar w:top="1700" w:right="1094" w:bottom="150" w:left="1666" w:header="720" w:footer="720" w:gutter="0"/>
          <w:cols w:space="720"/>
          <w:noEndnote/>
        </w:sectPr>
      </w:pPr>
    </w:p>
    <w:p w:rsidR="00BB0BF4" w:rsidRDefault="0000560B">
      <w:pPr>
        <w:kinsoku w:val="0"/>
        <w:overflowPunct w:val="0"/>
        <w:autoSpaceDE/>
        <w:autoSpaceDN/>
        <w:adjustRightInd/>
        <w:spacing w:before="19" w:line="277" w:lineRule="exact"/>
        <w:ind w:left="576" w:right="576"/>
        <w:jc w:val="both"/>
        <w:textAlignment w:val="baseline"/>
        <w:rPr>
          <w:sz w:val="24"/>
          <w:szCs w:val="24"/>
          <w:lang w:val="es-ES" w:eastAsia="es-ES"/>
        </w:rPr>
      </w:pPr>
      <w:r>
        <w:rPr>
          <w:sz w:val="24"/>
          <w:szCs w:val="24"/>
          <w:lang w:val="es-ES" w:eastAsia="es-ES"/>
        </w:rPr>
        <w:t>El Tribunal Contencioso Administrativo, mediante Sentencia N° 00237, de las quince horas del veinticinco de agosto del dos mil, señala con relación a los actos de trámite o preparatorios, que estos se impugnan solo con el acto definitivo, en los siguientes términos:</w:t>
      </w:r>
    </w:p>
    <w:p w:rsidR="00BB0BF4" w:rsidRDefault="0000560B">
      <w:pPr>
        <w:kinsoku w:val="0"/>
        <w:overflowPunct w:val="0"/>
        <w:autoSpaceDE/>
        <w:autoSpaceDN/>
        <w:adjustRightInd/>
        <w:spacing w:before="289" w:line="277" w:lineRule="exact"/>
        <w:ind w:left="576" w:right="576"/>
        <w:jc w:val="both"/>
        <w:textAlignment w:val="baseline"/>
        <w:rPr>
          <w:b/>
          <w:bCs/>
          <w:spacing w:val="1"/>
          <w:sz w:val="24"/>
          <w:szCs w:val="24"/>
          <w:lang w:val="es-ES" w:eastAsia="es-ES"/>
        </w:rPr>
      </w:pPr>
      <w:r>
        <w:rPr>
          <w:spacing w:val="1"/>
          <w:sz w:val="24"/>
          <w:szCs w:val="24"/>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w:t>
      </w:r>
      <w:proofErr w:type="gramStart"/>
      <w:r>
        <w:rPr>
          <w:spacing w:val="1"/>
          <w:sz w:val="24"/>
          <w:szCs w:val="24"/>
          <w:lang w:val="es-ES" w:eastAsia="es-ES"/>
        </w:rPr>
        <w:t>preparatorio</w:t>
      </w:r>
      <w:proofErr w:type="gramEnd"/>
      <w:r>
        <w:rPr>
          <w:spacing w:val="1"/>
          <w:sz w:val="24"/>
          <w:szCs w:val="24"/>
          <w:lang w:val="es-ES" w:eastAsia="es-ES"/>
        </w:rPr>
        <w:t xml:space="preserve">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w:t>
      </w:r>
      <w:r>
        <w:rPr>
          <w:b/>
          <w:bCs/>
          <w:spacing w:val="1"/>
          <w:sz w:val="24"/>
          <w:szCs w:val="24"/>
          <w:lang w:val="es-ES" w:eastAsia="es-ES"/>
        </w:rPr>
        <w:t xml:space="preserve">1) </w:t>
      </w:r>
      <w:r>
        <w:rPr>
          <w:spacing w:val="1"/>
          <w:sz w:val="24"/>
          <w:szCs w:val="24"/>
          <w:lang w:val="es-ES" w:eastAsia="es-ES"/>
        </w:rPr>
        <w:t xml:space="preserve">el inciso 2 del artículo 163 Ley General de la Administración Pública, que terminantemente exige que </w:t>
      </w:r>
      <w:r>
        <w:rPr>
          <w:b/>
          <w:bCs/>
          <w:spacing w:val="1"/>
          <w:sz w:val="24"/>
          <w:szCs w:val="24"/>
          <w:u w:val="single"/>
          <w:lang w:val="es-ES" w:eastAsia="es-ES"/>
        </w:rPr>
        <w:t>los vicios propios de los actos preparatorios se han de impugnar conjuntamente con el acto final,</w:t>
      </w:r>
      <w:r>
        <w:rPr>
          <w:spacing w:val="1"/>
          <w:sz w:val="24"/>
          <w:szCs w:val="24"/>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Pr>
          <w:b/>
          <w:bCs/>
          <w:spacing w:val="1"/>
          <w:sz w:val="24"/>
          <w:szCs w:val="24"/>
          <w:lang w:val="es-ES" w:eastAsia="es-ES"/>
        </w:rPr>
        <w:t>(Lo resaltado no es del original)</w:t>
      </w:r>
    </w:p>
    <w:p w:rsidR="00BB0BF4" w:rsidRDefault="0000560B">
      <w:pPr>
        <w:kinsoku w:val="0"/>
        <w:overflowPunct w:val="0"/>
        <w:autoSpaceDE/>
        <w:autoSpaceDN/>
        <w:adjustRightInd/>
        <w:spacing w:before="274" w:line="276" w:lineRule="exact"/>
        <w:ind w:left="576" w:right="576"/>
        <w:jc w:val="both"/>
        <w:textAlignment w:val="baseline"/>
        <w:rPr>
          <w:b/>
          <w:bCs/>
          <w:i/>
          <w:iCs/>
          <w:sz w:val="24"/>
          <w:szCs w:val="24"/>
          <w:lang w:val="es-ES" w:eastAsia="es-ES"/>
        </w:rPr>
      </w:pPr>
      <w:r>
        <w:rPr>
          <w:sz w:val="24"/>
          <w:szCs w:val="24"/>
          <w:lang w:val="es-ES" w:eastAsia="es-ES"/>
        </w:rPr>
        <w:t xml:space="preserve">En fin, conforme lo acotado se confirma la determinación absoluta de este Tribunal de Rechazar el Recurso que nos ocupa."... </w:t>
      </w:r>
      <w:r>
        <w:rPr>
          <w:b/>
          <w:bCs/>
          <w:i/>
          <w:iCs/>
          <w:sz w:val="24"/>
          <w:szCs w:val="24"/>
          <w:lang w:val="es-ES" w:eastAsia="es-ES"/>
        </w:rPr>
        <w:t>(ENTRE OTRAS, VER RESOLUCIÓN No. TAT-02205-13 DE LAS 11:55 HORAS DEL 31 DE OCTUBRE DEL 2013)</w:t>
      </w:r>
    </w:p>
    <w:p w:rsidR="00BB0BF4" w:rsidRDefault="0000560B">
      <w:pPr>
        <w:kinsoku w:val="0"/>
        <w:overflowPunct w:val="0"/>
        <w:autoSpaceDE/>
        <w:autoSpaceDN/>
        <w:adjustRightInd/>
        <w:spacing w:before="190" w:line="619" w:lineRule="exact"/>
        <w:textAlignment w:val="baseline"/>
        <w:rPr>
          <w:b/>
          <w:bCs/>
          <w:sz w:val="24"/>
          <w:szCs w:val="24"/>
          <w:lang w:val="es-ES" w:eastAsia="es-ES"/>
        </w:rPr>
      </w:pPr>
      <w:r>
        <w:rPr>
          <w:sz w:val="24"/>
          <w:szCs w:val="24"/>
          <w:lang w:val="es-ES" w:eastAsia="es-ES"/>
        </w:rPr>
        <w:t>Determinándose así como Improcedente el Recurso de rito.</w:t>
      </w:r>
      <w:r>
        <w:rPr>
          <w:sz w:val="24"/>
          <w:szCs w:val="24"/>
          <w:lang w:val="es-ES" w:eastAsia="es-ES"/>
        </w:rPr>
        <w:br/>
      </w:r>
      <w:r>
        <w:rPr>
          <w:b/>
          <w:bCs/>
          <w:sz w:val="24"/>
          <w:szCs w:val="24"/>
          <w:lang w:val="es-ES" w:eastAsia="es-ES"/>
        </w:rPr>
        <w:t>NULIDAD:</w:t>
      </w:r>
    </w:p>
    <w:p w:rsidR="00BB0BF4" w:rsidRDefault="0000560B">
      <w:pPr>
        <w:kinsoku w:val="0"/>
        <w:overflowPunct w:val="0"/>
        <w:autoSpaceDE/>
        <w:autoSpaceDN/>
        <w:adjustRightInd/>
        <w:spacing w:before="206" w:line="306" w:lineRule="exact"/>
        <w:jc w:val="both"/>
        <w:textAlignment w:val="baseline"/>
        <w:rPr>
          <w:sz w:val="24"/>
          <w:szCs w:val="24"/>
          <w:lang w:val="es-ES" w:eastAsia="es-ES"/>
        </w:rPr>
      </w:pPr>
      <w:r>
        <w:rPr>
          <w:sz w:val="24"/>
          <w:szCs w:val="24"/>
          <w:lang w:val="es-ES" w:eastAsia="es-ES"/>
        </w:rPr>
        <w:t xml:space="preserve">En cuanto al aspecto de la Nulidad planteada, tanto por la </w:t>
      </w:r>
      <w:proofErr w:type="spellStart"/>
      <w:r>
        <w:rPr>
          <w:sz w:val="24"/>
          <w:szCs w:val="24"/>
          <w:lang w:val="es-ES" w:eastAsia="es-ES"/>
        </w:rPr>
        <w:t>accesoriedad</w:t>
      </w:r>
      <w:proofErr w:type="spellEnd"/>
      <w:r>
        <w:rPr>
          <w:sz w:val="24"/>
          <w:szCs w:val="24"/>
          <w:lang w:val="es-ES" w:eastAsia="es-ES"/>
        </w:rPr>
        <w:t xml:space="preserve"> de la misma, corno por el hecho de que este Tribunal no observa la existencia de algún vicio o</w:t>
      </w:r>
    </w:p>
    <w:p w:rsidR="00BB0BF4" w:rsidRDefault="00BB0BF4">
      <w:pPr>
        <w:widowControl/>
        <w:rPr>
          <w:sz w:val="24"/>
          <w:szCs w:val="24"/>
        </w:rPr>
        <w:sectPr w:rsidR="00BB0BF4">
          <w:pgSz w:w="12240" w:h="15840"/>
          <w:pgMar w:top="1980" w:right="1670" w:bottom="1154" w:left="1690" w:header="720" w:footer="720" w:gutter="0"/>
          <w:cols w:space="720"/>
          <w:noEndnote/>
        </w:sectPr>
      </w:pPr>
    </w:p>
    <w:p w:rsidR="00BB0BF4" w:rsidRDefault="0000560B">
      <w:pPr>
        <w:kinsoku w:val="0"/>
        <w:overflowPunct w:val="0"/>
        <w:autoSpaceDE/>
        <w:autoSpaceDN/>
        <w:adjustRightInd/>
        <w:spacing w:before="2" w:line="301" w:lineRule="exact"/>
        <w:ind w:left="288" w:right="288"/>
        <w:jc w:val="both"/>
        <w:textAlignment w:val="baseline"/>
        <w:rPr>
          <w:sz w:val="26"/>
          <w:szCs w:val="26"/>
          <w:lang w:val="es-ES" w:eastAsia="es-ES"/>
        </w:rPr>
      </w:pPr>
      <w:proofErr w:type="gramStart"/>
      <w:r>
        <w:rPr>
          <w:sz w:val="26"/>
          <w:szCs w:val="26"/>
          <w:lang w:val="es-ES" w:eastAsia="es-ES"/>
        </w:rPr>
        <w:t>falencia</w:t>
      </w:r>
      <w:proofErr w:type="gramEnd"/>
      <w:r>
        <w:rPr>
          <w:sz w:val="26"/>
          <w:szCs w:val="26"/>
          <w:lang w:val="es-ES" w:eastAsia="es-ES"/>
        </w:rPr>
        <w:t xml:space="preserve"> en cuanto a alguno de los elementos Objetivos, Subjetivos y/o Formales que pueda determinar un Vicio Nugatorio en cuanto a lo actuado en el caso de marras; así como tampoco se determina alguna infracción a los Derechos Fundamentales de Justicia, Debido Proceso y/o Defensa; se determina que No Resulta como Procedente la Incidencia o Acción de Nulidad que también se ha cursado y atendido por este medio.</w:t>
      </w:r>
    </w:p>
    <w:p w:rsidR="00BB0BF4" w:rsidRDefault="0000560B">
      <w:pPr>
        <w:kinsoku w:val="0"/>
        <w:overflowPunct w:val="0"/>
        <w:autoSpaceDE/>
        <w:autoSpaceDN/>
        <w:adjustRightInd/>
        <w:spacing w:before="308" w:line="293" w:lineRule="exact"/>
        <w:jc w:val="center"/>
        <w:textAlignment w:val="baseline"/>
        <w:rPr>
          <w:b/>
          <w:bCs/>
          <w:i/>
          <w:iCs/>
          <w:sz w:val="26"/>
          <w:szCs w:val="26"/>
          <w:lang w:val="es-ES" w:eastAsia="es-ES"/>
        </w:rPr>
      </w:pPr>
      <w:r>
        <w:rPr>
          <w:b/>
          <w:bCs/>
          <w:i/>
          <w:iCs/>
          <w:sz w:val="26"/>
          <w:szCs w:val="26"/>
          <w:lang w:val="es-ES" w:eastAsia="es-ES"/>
        </w:rPr>
        <w:t>Por Tanto</w:t>
      </w:r>
    </w:p>
    <w:p w:rsidR="00BB0BF4" w:rsidRDefault="0000560B">
      <w:pPr>
        <w:numPr>
          <w:ilvl w:val="0"/>
          <w:numId w:val="2"/>
        </w:numPr>
        <w:kinsoku w:val="0"/>
        <w:overflowPunct w:val="0"/>
        <w:autoSpaceDE/>
        <w:autoSpaceDN/>
        <w:adjustRightInd/>
        <w:spacing w:before="303" w:line="301" w:lineRule="exact"/>
        <w:ind w:right="288"/>
        <w:jc w:val="both"/>
        <w:textAlignment w:val="baseline"/>
        <w:rPr>
          <w:sz w:val="26"/>
          <w:szCs w:val="26"/>
          <w:lang w:val="es-ES" w:eastAsia="es-ES"/>
        </w:rPr>
      </w:pPr>
      <w:r>
        <w:rPr>
          <w:sz w:val="26"/>
          <w:szCs w:val="26"/>
          <w:lang w:val="es-ES" w:eastAsia="es-ES"/>
        </w:rPr>
        <w:t xml:space="preserve">Se RECHAZA por Improcedente el </w:t>
      </w:r>
      <w:r>
        <w:rPr>
          <w:b/>
          <w:bCs/>
          <w:sz w:val="26"/>
          <w:szCs w:val="26"/>
          <w:lang w:val="es-ES" w:eastAsia="es-ES"/>
        </w:rPr>
        <w:t xml:space="preserve">RECURSO DE APELACIÓN </w:t>
      </w:r>
      <w:r>
        <w:rPr>
          <w:sz w:val="26"/>
          <w:szCs w:val="26"/>
          <w:lang w:val="es-ES" w:eastAsia="es-ES"/>
        </w:rPr>
        <w:t xml:space="preserve">y la </w:t>
      </w:r>
      <w:r>
        <w:rPr>
          <w:b/>
          <w:bCs/>
          <w:sz w:val="26"/>
          <w:szCs w:val="26"/>
          <w:lang w:val="es-ES" w:eastAsia="es-ES"/>
        </w:rPr>
        <w:t xml:space="preserve">ACCIÓN O INCIDENCIA DE NULIDAD ABSOLUTA </w:t>
      </w:r>
      <w:r>
        <w:rPr>
          <w:sz w:val="26"/>
          <w:szCs w:val="26"/>
          <w:lang w:val="es-ES" w:eastAsia="es-ES"/>
        </w:rPr>
        <w:t xml:space="preserve">interpuestos por el señor </w:t>
      </w:r>
      <w:r>
        <w:rPr>
          <w:b/>
          <w:bCs/>
          <w:sz w:val="26"/>
          <w:szCs w:val="26"/>
          <w:lang w:val="es-ES" w:eastAsia="es-ES"/>
        </w:rPr>
        <w:t>R</w:t>
      </w:r>
      <w:r w:rsidR="0090361A">
        <w:rPr>
          <w:b/>
          <w:bCs/>
          <w:sz w:val="26"/>
          <w:szCs w:val="26"/>
          <w:lang w:val="es-ES" w:eastAsia="es-ES"/>
        </w:rPr>
        <w:t>.A.C.</w:t>
      </w:r>
      <w:r>
        <w:rPr>
          <w:b/>
          <w:bCs/>
          <w:sz w:val="26"/>
          <w:szCs w:val="26"/>
          <w:lang w:val="es-ES" w:eastAsia="es-ES"/>
        </w:rPr>
        <w:t xml:space="preserve">, </w:t>
      </w:r>
      <w:r>
        <w:rPr>
          <w:sz w:val="26"/>
          <w:szCs w:val="26"/>
          <w:lang w:val="es-ES" w:eastAsia="es-ES"/>
        </w:rPr>
        <w:t xml:space="preserve">cédula de identidad </w:t>
      </w:r>
      <w:proofErr w:type="gramStart"/>
      <w:r>
        <w:rPr>
          <w:sz w:val="26"/>
          <w:szCs w:val="26"/>
          <w:lang w:val="es-ES" w:eastAsia="es-ES"/>
        </w:rPr>
        <w:t xml:space="preserve">número </w:t>
      </w:r>
      <w:r w:rsidR="0090361A">
        <w:rPr>
          <w:sz w:val="26"/>
          <w:szCs w:val="26"/>
          <w:lang w:val="es-ES" w:eastAsia="es-ES"/>
        </w:rPr>
        <w:t>…</w:t>
      </w:r>
      <w:proofErr w:type="gramEnd"/>
      <w:r>
        <w:rPr>
          <w:sz w:val="26"/>
          <w:szCs w:val="26"/>
          <w:lang w:val="es-ES" w:eastAsia="es-ES"/>
        </w:rPr>
        <w:t>, en su condición de Concesionario del Servicio Público de Transporte Remunerado de Personas, modalidad Taxi, con la Concesión Placa No. TSJ-201, contra el Artículo No. 6.2.66 de la Sesión Ordinaria No. 53-2009, de fecha 18 de Agosto del 2009, de la Junta Directiva del Consejo de Transporte Público.</w:t>
      </w:r>
    </w:p>
    <w:p w:rsidR="00BB0BF4" w:rsidRDefault="0000560B">
      <w:pPr>
        <w:numPr>
          <w:ilvl w:val="0"/>
          <w:numId w:val="2"/>
        </w:numPr>
        <w:kinsoku w:val="0"/>
        <w:overflowPunct w:val="0"/>
        <w:autoSpaceDE/>
        <w:autoSpaceDN/>
        <w:adjustRightInd/>
        <w:spacing w:before="310" w:line="301" w:lineRule="exact"/>
        <w:ind w:right="288"/>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alguno.</w:t>
      </w:r>
    </w:p>
    <w:p w:rsidR="00BB0BF4" w:rsidRPr="0090361A" w:rsidRDefault="0000560B">
      <w:pPr>
        <w:numPr>
          <w:ilvl w:val="0"/>
          <w:numId w:val="3"/>
        </w:numPr>
        <w:kinsoku w:val="0"/>
        <w:overflowPunct w:val="0"/>
        <w:autoSpaceDE/>
        <w:autoSpaceDN/>
        <w:adjustRightInd/>
        <w:spacing w:after="291" w:line="600" w:lineRule="exact"/>
        <w:textAlignment w:val="baseline"/>
        <w:rPr>
          <w:sz w:val="24"/>
          <w:szCs w:val="24"/>
          <w:lang w:eastAsia="en-US"/>
        </w:rPr>
      </w:pPr>
      <w:r>
        <w:rPr>
          <w:sz w:val="26"/>
          <w:szCs w:val="26"/>
          <w:lang w:val="es-ES" w:eastAsia="es-ES"/>
        </w:rPr>
        <w:t>Rige a partir de su Notificación.</w:t>
      </w:r>
      <w:r>
        <w:rPr>
          <w:sz w:val="26"/>
          <w:szCs w:val="26"/>
          <w:lang w:val="es-ES" w:eastAsia="es-ES"/>
        </w:rPr>
        <w:br/>
      </w:r>
      <w:r>
        <w:rPr>
          <w:b/>
          <w:bCs/>
          <w:i/>
          <w:iCs/>
          <w:sz w:val="26"/>
          <w:szCs w:val="26"/>
          <w:lang w:val="es-ES" w:eastAsia="es-ES"/>
        </w:rPr>
        <w:t>NOTIFIQUESE.</w:t>
      </w:r>
      <w:r>
        <w:rPr>
          <w:b/>
          <w:bCs/>
          <w:i/>
          <w:iCs/>
          <w:sz w:val="26"/>
          <w:szCs w:val="26"/>
          <w:lang w:val="es-ES" w:eastAsia="es-ES"/>
        </w:rPr>
        <w:noBreakHyphen/>
      </w:r>
    </w:p>
    <w:p w:rsidR="0090361A" w:rsidRPr="00CF40A0" w:rsidRDefault="0090361A" w:rsidP="0090361A">
      <w:pPr>
        <w:kinsoku w:val="0"/>
        <w:overflowPunct w:val="0"/>
        <w:autoSpaceDE/>
        <w:autoSpaceDN/>
        <w:adjustRightInd/>
        <w:spacing w:before="329" w:after="374"/>
        <w:ind w:left="28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0361A" w:rsidRDefault="0090361A" w:rsidP="0090361A">
      <w:pPr>
        <w:pStyle w:val="Style1"/>
        <w:tabs>
          <w:tab w:val="center" w:pos="5074"/>
          <w:tab w:val="left" w:pos="6835"/>
        </w:tabs>
        <w:kinsoku w:val="0"/>
        <w:overflowPunct w:val="0"/>
        <w:autoSpaceDE/>
        <w:autoSpaceDN/>
        <w:adjustRightInd/>
        <w:spacing w:before="204" w:after="301"/>
        <w:ind w:left="288"/>
        <w:jc w:val="center"/>
        <w:textAlignment w:val="baseline"/>
        <w:rPr>
          <w:rStyle w:val="CharacterStyle1"/>
          <w:b/>
          <w:i/>
          <w:iCs/>
          <w:spacing w:val="5"/>
          <w:sz w:val="26"/>
          <w:szCs w:val="26"/>
        </w:rPr>
      </w:pPr>
      <w:r>
        <w:rPr>
          <w:rStyle w:val="CharacterStyle1"/>
          <w:b/>
          <w:i/>
          <w:iCs/>
          <w:spacing w:val="5"/>
          <w:sz w:val="26"/>
          <w:szCs w:val="26"/>
        </w:rPr>
        <w:t>Presidente</w:t>
      </w:r>
    </w:p>
    <w:p w:rsidR="0090361A" w:rsidRDefault="0090361A" w:rsidP="0090361A">
      <w:pPr>
        <w:kinsoku w:val="0"/>
        <w:overflowPunct w:val="0"/>
        <w:autoSpaceDE/>
        <w:autoSpaceDN/>
        <w:adjustRightInd/>
        <w:spacing w:after="291" w:line="600" w:lineRule="exact"/>
        <w:ind w:left="288"/>
        <w:jc w:val="center"/>
        <w:textAlignment w:val="baseline"/>
        <w:rPr>
          <w:rStyle w:val="CharacterStyle1"/>
          <w:i/>
          <w:iCs/>
          <w:spacing w:val="5"/>
          <w:sz w:val="26"/>
          <w:szCs w:val="26"/>
        </w:rPr>
      </w:pPr>
      <w:proofErr w:type="gramStart"/>
      <w:r>
        <w:rPr>
          <w:rStyle w:val="CharacterStyle1"/>
          <w:i/>
          <w:iCs/>
          <w:spacing w:val="5"/>
          <w:sz w:val="26"/>
          <w:szCs w:val="26"/>
        </w:rPr>
        <w:t>Lic. Mario Quesada Aguirre</w:t>
      </w:r>
      <w:r>
        <w:rPr>
          <w:rStyle w:val="CharacterStyle1"/>
          <w:i/>
          <w:iCs/>
          <w:spacing w:val="5"/>
          <w:sz w:val="26"/>
          <w:szCs w:val="26"/>
        </w:rPr>
        <w:tab/>
        <w:t xml:space="preserve">              Licda.</w:t>
      </w:r>
      <w:proofErr w:type="gramEnd"/>
      <w:r>
        <w:rPr>
          <w:rStyle w:val="CharacterStyle1"/>
          <w:i/>
          <w:iCs/>
          <w:spacing w:val="5"/>
          <w:sz w:val="26"/>
          <w:szCs w:val="26"/>
        </w:rPr>
        <w:t xml:space="preserve"> Marta Luz Pérez </w:t>
      </w:r>
      <w:proofErr w:type="spellStart"/>
      <w:r>
        <w:rPr>
          <w:rStyle w:val="CharacterStyle1"/>
          <w:i/>
          <w:iCs/>
          <w:spacing w:val="5"/>
          <w:sz w:val="26"/>
          <w:szCs w:val="26"/>
        </w:rPr>
        <w:t>Peláez</w:t>
      </w:r>
      <w:proofErr w:type="spellEnd"/>
      <w:r>
        <w:rPr>
          <w:rStyle w:val="CharacterStyle1"/>
          <w:i/>
          <w:iCs/>
          <w:spacing w:val="5"/>
          <w:sz w:val="26"/>
          <w:szCs w:val="26"/>
        </w:rPr>
        <w:t xml:space="preserve">              </w:t>
      </w:r>
    </w:p>
    <w:p w:rsidR="0090361A" w:rsidRDefault="0090361A" w:rsidP="0090361A">
      <w:pPr>
        <w:kinsoku w:val="0"/>
        <w:overflowPunct w:val="0"/>
        <w:autoSpaceDE/>
        <w:autoSpaceDN/>
        <w:adjustRightInd/>
        <w:spacing w:after="291" w:line="600" w:lineRule="exact"/>
        <w:ind w:left="288"/>
        <w:jc w:val="center"/>
        <w:textAlignment w:val="baseline"/>
        <w:rPr>
          <w:b/>
          <w:bCs/>
          <w:i/>
          <w:iCs/>
          <w:sz w:val="26"/>
          <w:szCs w:val="26"/>
          <w:lang w:val="es-ES" w:eastAsia="es-ES"/>
        </w:rPr>
      </w:pPr>
      <w:proofErr w:type="spellStart"/>
      <w:r>
        <w:rPr>
          <w:rStyle w:val="CharacterStyle1"/>
          <w:b/>
          <w:i/>
          <w:iCs/>
          <w:spacing w:val="5"/>
          <w:sz w:val="26"/>
          <w:szCs w:val="26"/>
        </w:rPr>
        <w:t>Juez</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Jueza</w:t>
      </w:r>
      <w:proofErr w:type="spellEnd"/>
    </w:p>
    <w:p w:rsidR="0090361A" w:rsidRDefault="0090361A" w:rsidP="0090361A">
      <w:pPr>
        <w:kinsoku w:val="0"/>
        <w:overflowPunct w:val="0"/>
        <w:autoSpaceDE/>
        <w:autoSpaceDN/>
        <w:adjustRightInd/>
        <w:spacing w:after="291" w:line="600" w:lineRule="exact"/>
        <w:textAlignment w:val="baseline"/>
        <w:rPr>
          <w:sz w:val="24"/>
          <w:szCs w:val="24"/>
          <w:lang w:eastAsia="en-US"/>
        </w:rPr>
      </w:pPr>
    </w:p>
    <w:p w:rsidR="0000560B" w:rsidRDefault="0000560B">
      <w:pPr>
        <w:kinsoku w:val="0"/>
        <w:overflowPunct w:val="0"/>
        <w:autoSpaceDE/>
        <w:autoSpaceDN/>
        <w:adjustRightInd/>
        <w:ind w:left="3820" w:right="2501"/>
        <w:textAlignment w:val="baseline"/>
        <w:rPr>
          <w:sz w:val="24"/>
          <w:szCs w:val="24"/>
        </w:rPr>
      </w:pPr>
    </w:p>
    <w:sectPr w:rsidR="0000560B" w:rsidSect="0090361A">
      <w:pgSz w:w="12240" w:h="15840"/>
      <w:pgMar w:top="1720" w:right="1377" w:bottom="1418" w:left="138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D03B"/>
    <w:multiLevelType w:val="singleLevel"/>
    <w:tmpl w:val="086E51BC"/>
    <w:lvl w:ilvl="0">
      <w:start w:val="1"/>
      <w:numFmt w:val="decimal"/>
      <w:lvlText w:val="%1.-"/>
      <w:lvlJc w:val="left"/>
      <w:pPr>
        <w:tabs>
          <w:tab w:val="num" w:pos="1440"/>
        </w:tabs>
        <w:ind w:left="648"/>
      </w:pPr>
      <w:rPr>
        <w:snapToGrid/>
        <w:sz w:val="26"/>
        <w:szCs w:val="26"/>
      </w:rPr>
    </w:lvl>
  </w:abstractNum>
  <w:abstractNum w:abstractNumId="1">
    <w:nsid w:val="06CE6D63"/>
    <w:multiLevelType w:val="singleLevel"/>
    <w:tmpl w:val="3BF33460"/>
    <w:lvl w:ilvl="0">
      <w:start w:val="1"/>
      <w:numFmt w:val="upperRoman"/>
      <w:lvlText w:val="%1.-"/>
      <w:lvlJc w:val="left"/>
      <w:pPr>
        <w:tabs>
          <w:tab w:val="num" w:pos="720"/>
        </w:tabs>
        <w:ind w:left="288"/>
      </w:pPr>
      <w:rPr>
        <w:snapToGrid/>
        <w:sz w:val="26"/>
        <w:szCs w:val="26"/>
      </w:rPr>
    </w:lvl>
  </w:abstractNum>
  <w:num w:numId="1">
    <w:abstractNumId w:val="0"/>
  </w:num>
  <w:num w:numId="2">
    <w:abstractNumId w:val="1"/>
  </w:num>
  <w:num w:numId="3">
    <w:abstractNumId w:val="1"/>
    <w:lvlOverride w:ilvl="0">
      <w:lvl w:ilvl="0">
        <w:numFmt w:val="upperRoman"/>
        <w:lvlText w:val="%1.-"/>
        <w:lvlJc w:val="left"/>
        <w:pPr>
          <w:tabs>
            <w:tab w:val="num" w:pos="1008"/>
          </w:tabs>
          <w:ind w:left="288"/>
        </w:pPr>
        <w:rPr>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B6213"/>
    <w:rsid w:val="0000560B"/>
    <w:rsid w:val="0090361A"/>
    <w:rsid w:val="00AC3982"/>
    <w:rsid w:val="00BB0BF4"/>
    <w:rsid w:val="00DB621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B0BF4"/>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0361A"/>
    <w:rPr>
      <w:lang w:val="es-CR"/>
    </w:rPr>
  </w:style>
  <w:style w:type="character" w:customStyle="1" w:styleId="CharacterStyle1">
    <w:name w:val="Character Style 1"/>
    <w:uiPriority w:val="99"/>
    <w:rsid w:val="0090361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1229</Words>
  <Characters>6446</Characters>
  <Application>Microsoft Office Word</Application>
  <DocSecurity>0</DocSecurity>
  <Lines>131</Lines>
  <Paragraphs>59</Paragraphs>
  <ScaleCrop>false</ScaleCrop>
  <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2016-01-06T21:13:00Z</dcterms:created>
  <dcterms:modified xsi:type="dcterms:W3CDTF">2016-01-06T21:16:00Z</dcterms:modified>
</cp:coreProperties>
</file>