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90BC6">
      <w:pPr>
        <w:kinsoku w:val="0"/>
        <w:overflowPunct w:val="0"/>
        <w:autoSpaceDE/>
        <w:autoSpaceDN/>
        <w:adjustRightInd/>
        <w:spacing w:line="248" w:lineRule="exact"/>
        <w:jc w:val="center"/>
        <w:textAlignment w:val="baseline"/>
        <w:rPr>
          <w:b/>
          <w:bCs/>
          <w:spacing w:val="8"/>
          <w:sz w:val="21"/>
          <w:szCs w:val="21"/>
          <w:lang w:val="es-ES" w:eastAsia="es-ES"/>
        </w:rPr>
      </w:pPr>
      <w:r>
        <w:rPr>
          <w:b/>
          <w:bCs/>
          <w:spacing w:val="8"/>
          <w:sz w:val="21"/>
          <w:szCs w:val="21"/>
          <w:lang w:val="es-ES" w:eastAsia="es-ES"/>
        </w:rPr>
        <w:t>RESOLUCIÓN No. TAT-2474-2015</w:t>
      </w:r>
    </w:p>
    <w:p w:rsidR="00000000" w:rsidRDefault="00890BC6">
      <w:pPr>
        <w:kinsoku w:val="0"/>
        <w:overflowPunct w:val="0"/>
        <w:autoSpaceDE/>
        <w:autoSpaceDN/>
        <w:adjustRightInd/>
        <w:spacing w:before="519" w:line="243" w:lineRule="exact"/>
        <w:textAlignment w:val="baseline"/>
        <w:rPr>
          <w:spacing w:val="16"/>
          <w:sz w:val="21"/>
          <w:szCs w:val="21"/>
          <w:lang w:val="es-ES" w:eastAsia="es-ES"/>
        </w:rPr>
      </w:pPr>
      <w:r>
        <w:rPr>
          <w:b/>
          <w:bCs/>
          <w:spacing w:val="16"/>
          <w:sz w:val="21"/>
          <w:szCs w:val="21"/>
          <w:lang w:val="es-ES" w:eastAsia="es-ES"/>
        </w:rPr>
        <w:t xml:space="preserve">TRIBUNAL ADMINISTRATIVO DE TRANSPORTE.- </w:t>
      </w:r>
      <w:r>
        <w:rPr>
          <w:spacing w:val="16"/>
          <w:sz w:val="21"/>
          <w:szCs w:val="21"/>
          <w:lang w:val="es-ES" w:eastAsia="es-ES"/>
        </w:rPr>
        <w:t xml:space="preserve">San José, a las 1 </w:t>
      </w:r>
      <w:proofErr w:type="spellStart"/>
      <w:proofErr w:type="gramStart"/>
      <w:r>
        <w:rPr>
          <w:spacing w:val="16"/>
          <w:sz w:val="21"/>
          <w:szCs w:val="21"/>
          <w:lang w:val="es-ES" w:eastAsia="es-ES"/>
        </w:rPr>
        <w:t>1</w:t>
      </w:r>
      <w:proofErr w:type="spellEnd"/>
      <w:r>
        <w:rPr>
          <w:spacing w:val="16"/>
          <w:sz w:val="21"/>
          <w:szCs w:val="21"/>
          <w:lang w:val="es-ES" w:eastAsia="es-ES"/>
        </w:rPr>
        <w:t xml:space="preserve"> :</w:t>
      </w:r>
      <w:proofErr w:type="gramEnd"/>
      <w:r>
        <w:rPr>
          <w:spacing w:val="16"/>
          <w:sz w:val="21"/>
          <w:szCs w:val="21"/>
          <w:lang w:val="es-ES" w:eastAsia="es-ES"/>
        </w:rPr>
        <w:t>55</w:t>
      </w:r>
    </w:p>
    <w:p w:rsidR="00000000" w:rsidRDefault="00890BC6">
      <w:pPr>
        <w:tabs>
          <w:tab w:val="left" w:leader="hyphen" w:pos="7920"/>
        </w:tabs>
        <w:kinsoku w:val="0"/>
        <w:overflowPunct w:val="0"/>
        <w:autoSpaceDE/>
        <w:autoSpaceDN/>
        <w:adjustRightInd/>
        <w:spacing w:before="56" w:line="243" w:lineRule="exact"/>
        <w:textAlignment w:val="baseline"/>
        <w:rPr>
          <w:sz w:val="21"/>
          <w:szCs w:val="21"/>
          <w:lang w:val="es-ES" w:eastAsia="es-ES"/>
        </w:rPr>
      </w:pPr>
      <w:proofErr w:type="gramStart"/>
      <w:r>
        <w:rPr>
          <w:sz w:val="21"/>
          <w:szCs w:val="21"/>
          <w:lang w:val="es-ES" w:eastAsia="es-ES"/>
        </w:rPr>
        <w:t>horas</w:t>
      </w:r>
      <w:proofErr w:type="gramEnd"/>
      <w:r>
        <w:rPr>
          <w:sz w:val="21"/>
          <w:szCs w:val="21"/>
          <w:lang w:val="es-ES" w:eastAsia="es-ES"/>
        </w:rPr>
        <w:t xml:space="preserve"> del dí</w:t>
      </w:r>
      <w:r>
        <w:rPr>
          <w:sz w:val="21"/>
          <w:szCs w:val="21"/>
          <w:lang w:val="es-ES" w:eastAsia="es-ES"/>
        </w:rPr>
        <w:t>a Veintisiete del mes de Febrero del Dos Mil Quince.</w:t>
      </w:r>
      <w:r>
        <w:rPr>
          <w:sz w:val="21"/>
          <w:szCs w:val="21"/>
          <w:lang w:val="es-ES" w:eastAsia="es-ES"/>
        </w:rPr>
        <w:tab/>
      </w:r>
    </w:p>
    <w:p w:rsidR="00000000" w:rsidRPr="00046F6F" w:rsidRDefault="00890BC6">
      <w:pPr>
        <w:kinsoku w:val="0"/>
        <w:overflowPunct w:val="0"/>
        <w:autoSpaceDE/>
        <w:autoSpaceDN/>
        <w:adjustRightInd/>
        <w:spacing w:before="491" w:line="304" w:lineRule="exact"/>
        <w:ind w:right="216"/>
        <w:jc w:val="both"/>
        <w:textAlignment w:val="baseline"/>
        <w:rPr>
          <w:b/>
          <w:sz w:val="24"/>
          <w:szCs w:val="24"/>
          <w:lang w:eastAsia="en-US"/>
        </w:rPr>
      </w:pPr>
      <w:r>
        <w:rPr>
          <w:spacing w:val="12"/>
          <w:sz w:val="21"/>
          <w:szCs w:val="21"/>
          <w:lang w:val="es-ES" w:eastAsia="es-ES"/>
        </w:rPr>
        <w:t xml:space="preserve">Se conoce por este medio de </w:t>
      </w:r>
      <w:r>
        <w:rPr>
          <w:b/>
          <w:bCs/>
          <w:spacing w:val="12"/>
          <w:sz w:val="21"/>
          <w:szCs w:val="21"/>
          <w:lang w:val="es-ES" w:eastAsia="es-ES"/>
        </w:rPr>
        <w:t xml:space="preserve">INCIDENTE DE NULIDAD </w:t>
      </w:r>
      <w:r>
        <w:rPr>
          <w:i/>
          <w:iCs/>
          <w:spacing w:val="12"/>
          <w:sz w:val="21"/>
          <w:szCs w:val="21"/>
          <w:lang w:val="es-ES" w:eastAsia="es-ES"/>
        </w:rPr>
        <w:t xml:space="preserve">(Autónomo) </w:t>
      </w:r>
      <w:r>
        <w:rPr>
          <w:spacing w:val="12"/>
          <w:sz w:val="21"/>
          <w:szCs w:val="21"/>
          <w:lang w:val="es-ES" w:eastAsia="es-ES"/>
        </w:rPr>
        <w:t xml:space="preserve">presentado por el Señor </w:t>
      </w:r>
      <w:r>
        <w:rPr>
          <w:b/>
          <w:bCs/>
          <w:spacing w:val="12"/>
          <w:sz w:val="21"/>
          <w:szCs w:val="21"/>
          <w:lang w:val="es-ES" w:eastAsia="es-ES"/>
        </w:rPr>
        <w:t>R</w:t>
      </w:r>
      <w:r w:rsidR="00046F6F">
        <w:rPr>
          <w:b/>
          <w:bCs/>
          <w:spacing w:val="12"/>
          <w:sz w:val="21"/>
          <w:szCs w:val="21"/>
          <w:lang w:val="es-ES" w:eastAsia="es-ES"/>
        </w:rPr>
        <w:t>.S.A.</w:t>
      </w:r>
      <w:r>
        <w:rPr>
          <w:b/>
          <w:bCs/>
          <w:spacing w:val="12"/>
          <w:sz w:val="21"/>
          <w:szCs w:val="21"/>
          <w:lang w:val="es-ES" w:eastAsia="es-ES"/>
        </w:rPr>
        <w:t xml:space="preserve">, </w:t>
      </w:r>
      <w:r>
        <w:rPr>
          <w:spacing w:val="12"/>
          <w:sz w:val="21"/>
          <w:szCs w:val="21"/>
          <w:lang w:val="es-ES" w:eastAsia="es-ES"/>
        </w:rPr>
        <w:t xml:space="preserve">de calidades conocidas, portador de la cédula de identidad número </w:t>
      </w:r>
      <w:r w:rsidR="00046F6F">
        <w:rPr>
          <w:spacing w:val="12"/>
          <w:sz w:val="21"/>
          <w:szCs w:val="21"/>
          <w:lang w:val="es-ES" w:eastAsia="es-ES"/>
        </w:rPr>
        <w:t>…</w:t>
      </w:r>
      <w:r>
        <w:rPr>
          <w:spacing w:val="12"/>
          <w:sz w:val="21"/>
          <w:szCs w:val="21"/>
          <w:lang w:val="es-ES" w:eastAsia="es-ES"/>
        </w:rPr>
        <w:t>, representado por su Ap</w:t>
      </w:r>
      <w:r>
        <w:rPr>
          <w:spacing w:val="12"/>
          <w:sz w:val="21"/>
          <w:szCs w:val="21"/>
          <w:lang w:val="es-ES" w:eastAsia="es-ES"/>
        </w:rPr>
        <w:t>oderado Especial Administrativo, L</w:t>
      </w:r>
      <w:r w:rsidR="00046F6F">
        <w:rPr>
          <w:spacing w:val="12"/>
          <w:sz w:val="21"/>
          <w:szCs w:val="21"/>
          <w:lang w:val="es-ES" w:eastAsia="es-ES"/>
        </w:rPr>
        <w:t>.J.F.P</w:t>
      </w:r>
      <w:r>
        <w:rPr>
          <w:spacing w:val="12"/>
          <w:sz w:val="21"/>
          <w:szCs w:val="21"/>
          <w:lang w:val="es-ES" w:eastAsia="es-ES"/>
        </w:rPr>
        <w:t xml:space="preserve">, contra la </w:t>
      </w:r>
      <w:r>
        <w:rPr>
          <w:b/>
          <w:bCs/>
          <w:spacing w:val="12"/>
          <w:sz w:val="21"/>
          <w:szCs w:val="21"/>
          <w:lang w:val="es-ES" w:eastAsia="es-ES"/>
        </w:rPr>
        <w:t>RESOLUCIÓN No. TAT-2434-2015 DE ESTE TRIBUNAL, DE LAS 10:16 HORAS DEL 29 DE ENERO DEL 2015</w:t>
      </w:r>
      <w:r w:rsidRPr="00046F6F">
        <w:rPr>
          <w:b/>
          <w:bCs/>
          <w:spacing w:val="12"/>
          <w:sz w:val="21"/>
          <w:szCs w:val="21"/>
          <w:lang w:val="es-ES" w:eastAsia="es-ES"/>
        </w:rPr>
        <w:t xml:space="preserve">.- </w:t>
      </w:r>
      <w:r w:rsidRPr="00046F6F">
        <w:rPr>
          <w:b/>
          <w:i/>
          <w:iCs/>
          <w:spacing w:val="12"/>
          <w:sz w:val="21"/>
          <w:szCs w:val="21"/>
          <w:lang w:val="es-ES" w:eastAsia="es-ES"/>
        </w:rPr>
        <w:t>Expediente Administrativo No. TAT-115-15.</w:t>
      </w:r>
      <w:r w:rsidRPr="00046F6F">
        <w:rPr>
          <w:b/>
          <w:i/>
          <w:iCs/>
          <w:spacing w:val="12"/>
          <w:sz w:val="21"/>
          <w:szCs w:val="21"/>
          <w:lang w:val="es-ES" w:eastAsia="es-ES"/>
        </w:rPr>
        <w:noBreakHyphen/>
      </w:r>
    </w:p>
    <w:p w:rsidR="00000000" w:rsidRDefault="00890BC6">
      <w:pPr>
        <w:kinsoku w:val="0"/>
        <w:overflowPunct w:val="0"/>
        <w:autoSpaceDE/>
        <w:autoSpaceDN/>
        <w:adjustRightInd/>
        <w:spacing w:before="348" w:line="250" w:lineRule="exact"/>
        <w:jc w:val="center"/>
        <w:textAlignment w:val="baseline"/>
        <w:rPr>
          <w:i/>
          <w:iCs/>
          <w:spacing w:val="12"/>
          <w:sz w:val="21"/>
          <w:szCs w:val="21"/>
          <w:lang w:val="es-ES" w:eastAsia="es-ES"/>
        </w:rPr>
      </w:pPr>
      <w:r>
        <w:rPr>
          <w:i/>
          <w:iCs/>
          <w:spacing w:val="12"/>
          <w:sz w:val="21"/>
          <w:szCs w:val="21"/>
          <w:lang w:val="es-ES" w:eastAsia="es-ES"/>
        </w:rPr>
        <w:t>Resultando:</w:t>
      </w:r>
    </w:p>
    <w:p w:rsidR="00000000" w:rsidRDefault="00890BC6">
      <w:pPr>
        <w:kinsoku w:val="0"/>
        <w:overflowPunct w:val="0"/>
        <w:autoSpaceDE/>
        <w:autoSpaceDN/>
        <w:adjustRightInd/>
        <w:spacing w:before="305" w:line="297" w:lineRule="exact"/>
        <w:ind w:right="216"/>
        <w:jc w:val="both"/>
        <w:textAlignment w:val="baseline"/>
        <w:rPr>
          <w:spacing w:val="12"/>
          <w:sz w:val="21"/>
          <w:szCs w:val="21"/>
          <w:lang w:val="es-ES" w:eastAsia="es-ES"/>
        </w:rPr>
      </w:pPr>
      <w:r>
        <w:rPr>
          <w:i/>
          <w:iCs/>
          <w:spacing w:val="12"/>
          <w:sz w:val="21"/>
          <w:szCs w:val="21"/>
          <w:lang w:val="es-ES" w:eastAsia="es-ES"/>
        </w:rPr>
        <w:t xml:space="preserve">PRIMERO: </w:t>
      </w:r>
      <w:r>
        <w:rPr>
          <w:spacing w:val="12"/>
          <w:sz w:val="21"/>
          <w:szCs w:val="21"/>
          <w:lang w:val="es-ES" w:eastAsia="es-ES"/>
        </w:rPr>
        <w:t>Mediante nuestra RESOLUCIÓN No.</w:t>
      </w:r>
      <w:r>
        <w:rPr>
          <w:spacing w:val="12"/>
          <w:sz w:val="21"/>
          <w:szCs w:val="21"/>
          <w:lang w:val="es-ES" w:eastAsia="es-ES"/>
        </w:rPr>
        <w:t xml:space="preserve"> TAT-2434-2015 DE ESTE TRIBUNAL, DE LAS 10:16 HORAS DEL 29 DE ENERO DEL 2015 se Dispuso:</w:t>
      </w:r>
    </w:p>
    <w:p w:rsidR="00000000" w:rsidRDefault="00890BC6">
      <w:pPr>
        <w:kinsoku w:val="0"/>
        <w:overflowPunct w:val="0"/>
        <w:autoSpaceDE/>
        <w:autoSpaceDN/>
        <w:adjustRightInd/>
        <w:spacing w:before="449" w:after="561" w:line="243" w:lineRule="exact"/>
        <w:jc w:val="center"/>
        <w:textAlignment w:val="baseline"/>
        <w:rPr>
          <w:spacing w:val="-9"/>
          <w:sz w:val="21"/>
          <w:szCs w:val="21"/>
          <w:lang w:val="es-ES" w:eastAsia="es-ES"/>
        </w:rPr>
      </w:pPr>
      <w:r>
        <w:rPr>
          <w:spacing w:val="-9"/>
          <w:sz w:val="21"/>
          <w:szCs w:val="21"/>
          <w:lang w:val="es-ES" w:eastAsia="es-ES"/>
        </w:rPr>
        <w:t>POR TANTO</w:t>
      </w:r>
    </w:p>
    <w:tbl>
      <w:tblPr>
        <w:tblW w:w="0" w:type="auto"/>
        <w:tblLayout w:type="fixed"/>
        <w:tblCellMar>
          <w:left w:w="0" w:type="dxa"/>
          <w:right w:w="0" w:type="dxa"/>
        </w:tblCellMar>
        <w:tblLook w:val="0000"/>
      </w:tblPr>
      <w:tblGrid>
        <w:gridCol w:w="7537"/>
        <w:gridCol w:w="743"/>
      </w:tblGrid>
      <w:tr w:rsidR="00000000">
        <w:tblPrEx>
          <w:tblCellMar>
            <w:top w:w="0" w:type="dxa"/>
            <w:left w:w="0" w:type="dxa"/>
            <w:bottom w:w="0" w:type="dxa"/>
            <w:right w:w="0" w:type="dxa"/>
          </w:tblCellMar>
        </w:tblPrEx>
        <w:trPr>
          <w:trHeight w:hRule="exact" w:val="4365"/>
        </w:trPr>
        <w:tc>
          <w:tcPr>
            <w:tcW w:w="7537" w:type="dxa"/>
            <w:tcBorders>
              <w:top w:val="nil"/>
              <w:left w:val="nil"/>
              <w:bottom w:val="nil"/>
              <w:right w:val="nil"/>
            </w:tcBorders>
          </w:tcPr>
          <w:p w:rsidR="00000000" w:rsidRDefault="00046F6F">
            <w:pPr>
              <w:kinsoku w:val="0"/>
              <w:overflowPunct w:val="0"/>
              <w:autoSpaceDE/>
              <w:autoSpaceDN/>
              <w:adjustRightInd/>
              <w:spacing w:line="269" w:lineRule="exact"/>
              <w:ind w:left="648" w:right="72"/>
              <w:jc w:val="both"/>
              <w:textAlignment w:val="baseline"/>
              <w:rPr>
                <w:spacing w:val="-11"/>
                <w:sz w:val="21"/>
                <w:szCs w:val="21"/>
                <w:lang w:val="es-ES" w:eastAsia="es-ES"/>
              </w:rPr>
            </w:pPr>
            <w:r w:rsidRPr="00046F6F">
              <w:rPr>
                <w:b/>
                <w:spacing w:val="-11"/>
                <w:sz w:val="21"/>
                <w:szCs w:val="21"/>
                <w:lang w:val="es-ES" w:eastAsia="es-ES"/>
              </w:rPr>
              <w:t>I</w:t>
            </w:r>
            <w:r w:rsidR="00890BC6" w:rsidRPr="00046F6F">
              <w:rPr>
                <w:b/>
                <w:spacing w:val="-11"/>
                <w:sz w:val="21"/>
                <w:szCs w:val="21"/>
                <w:lang w:val="es-ES" w:eastAsia="es-ES"/>
              </w:rPr>
              <w:t>.-</w:t>
            </w:r>
            <w:r w:rsidR="00890BC6">
              <w:rPr>
                <w:spacing w:val="-11"/>
                <w:sz w:val="21"/>
                <w:szCs w:val="21"/>
                <w:lang w:val="es-ES" w:eastAsia="es-ES"/>
              </w:rPr>
              <w:t xml:space="preserve"> Se declara </w:t>
            </w:r>
            <w:r w:rsidR="00890BC6">
              <w:rPr>
                <w:b/>
                <w:bCs/>
                <w:spacing w:val="-11"/>
                <w:sz w:val="21"/>
                <w:szCs w:val="21"/>
                <w:lang w:val="es-ES" w:eastAsia="es-ES"/>
              </w:rPr>
              <w:t xml:space="preserve">SIN LUGAR </w:t>
            </w:r>
            <w:r w:rsidR="00890BC6">
              <w:rPr>
                <w:spacing w:val="-11"/>
                <w:sz w:val="21"/>
                <w:szCs w:val="21"/>
                <w:lang w:val="es-ES" w:eastAsia="es-ES"/>
              </w:rPr>
              <w:t xml:space="preserve">el Recurso de Apelación en Subsidio y Nulidad Absoluta concomitante, interpuesto por </w:t>
            </w:r>
            <w:r w:rsidR="00890BC6">
              <w:rPr>
                <w:b/>
                <w:bCs/>
                <w:spacing w:val="-11"/>
                <w:sz w:val="21"/>
                <w:szCs w:val="21"/>
                <w:lang w:val="es-ES" w:eastAsia="es-ES"/>
              </w:rPr>
              <w:t>R</w:t>
            </w:r>
            <w:r>
              <w:rPr>
                <w:b/>
                <w:bCs/>
                <w:spacing w:val="-11"/>
                <w:sz w:val="21"/>
                <w:szCs w:val="21"/>
                <w:lang w:val="es-ES" w:eastAsia="es-ES"/>
              </w:rPr>
              <w:t>.S.A.</w:t>
            </w:r>
            <w:r w:rsidR="00890BC6">
              <w:rPr>
                <w:b/>
                <w:bCs/>
                <w:spacing w:val="-11"/>
                <w:sz w:val="21"/>
                <w:szCs w:val="21"/>
                <w:lang w:val="es-ES" w:eastAsia="es-ES"/>
              </w:rPr>
              <w:t xml:space="preserve"> </w:t>
            </w:r>
            <w:r w:rsidR="00890BC6">
              <w:rPr>
                <w:spacing w:val="-11"/>
                <w:sz w:val="21"/>
                <w:szCs w:val="21"/>
                <w:lang w:val="es-ES" w:eastAsia="es-ES"/>
              </w:rPr>
              <w:t>cé</w:t>
            </w:r>
            <w:r w:rsidR="00890BC6">
              <w:rPr>
                <w:spacing w:val="-11"/>
                <w:sz w:val="21"/>
                <w:szCs w:val="21"/>
                <w:lang w:val="es-ES" w:eastAsia="es-ES"/>
              </w:rPr>
              <w:t xml:space="preserve">dula de </w:t>
            </w:r>
            <w:proofErr w:type="gramStart"/>
            <w:r w:rsidR="00890BC6">
              <w:rPr>
                <w:spacing w:val="-11"/>
                <w:sz w:val="21"/>
                <w:szCs w:val="21"/>
                <w:lang w:val="es-ES" w:eastAsia="es-ES"/>
              </w:rPr>
              <w:t xml:space="preserve">identidad </w:t>
            </w:r>
            <w:r>
              <w:rPr>
                <w:spacing w:val="-11"/>
                <w:sz w:val="21"/>
                <w:szCs w:val="21"/>
                <w:lang w:val="es-ES" w:eastAsia="es-ES"/>
              </w:rPr>
              <w:t>…</w:t>
            </w:r>
            <w:proofErr w:type="gramEnd"/>
            <w:r w:rsidR="00890BC6">
              <w:rPr>
                <w:spacing w:val="-11"/>
                <w:sz w:val="21"/>
                <w:szCs w:val="21"/>
                <w:lang w:val="es-ES" w:eastAsia="es-ES"/>
              </w:rPr>
              <w:t>, representado en su condición de Apoderado Especial Administrativo, por J</w:t>
            </w:r>
            <w:r>
              <w:rPr>
                <w:spacing w:val="-11"/>
                <w:sz w:val="21"/>
                <w:szCs w:val="21"/>
                <w:lang w:val="es-ES" w:eastAsia="es-ES"/>
              </w:rPr>
              <w:t>.F.P.</w:t>
            </w:r>
            <w:r w:rsidR="00890BC6">
              <w:rPr>
                <w:spacing w:val="-11"/>
                <w:sz w:val="21"/>
                <w:szCs w:val="21"/>
                <w:lang w:val="es-ES" w:eastAsia="es-ES"/>
              </w:rPr>
              <w:t xml:space="preserve">, cédula de identidad número </w:t>
            </w:r>
            <w:r>
              <w:rPr>
                <w:spacing w:val="-11"/>
                <w:sz w:val="21"/>
                <w:szCs w:val="21"/>
                <w:lang w:val="es-ES" w:eastAsia="es-ES"/>
              </w:rPr>
              <w:t>…</w:t>
            </w:r>
            <w:r w:rsidR="00890BC6">
              <w:rPr>
                <w:spacing w:val="-11"/>
                <w:sz w:val="21"/>
                <w:szCs w:val="21"/>
                <w:lang w:val="es-ES" w:eastAsia="es-ES"/>
              </w:rPr>
              <w:t xml:space="preserve">, en contra del Articulo 7.1 de la Sesión Extraordinaria </w:t>
            </w:r>
            <w:r w:rsidR="00890BC6">
              <w:rPr>
                <w:b/>
                <w:bCs/>
                <w:spacing w:val="-11"/>
                <w:sz w:val="21"/>
                <w:szCs w:val="21"/>
                <w:lang w:val="es-ES" w:eastAsia="es-ES"/>
              </w:rPr>
              <w:t xml:space="preserve">N. 02.2013 </w:t>
            </w:r>
            <w:r w:rsidR="00890BC6">
              <w:rPr>
                <w:spacing w:val="-11"/>
                <w:sz w:val="21"/>
                <w:szCs w:val="21"/>
                <w:lang w:val="es-ES" w:eastAsia="es-ES"/>
              </w:rPr>
              <w:t>de 5 de agosto de 2013, adopta</w:t>
            </w:r>
            <w:r w:rsidR="00890BC6">
              <w:rPr>
                <w:spacing w:val="-11"/>
                <w:sz w:val="21"/>
                <w:szCs w:val="21"/>
                <w:lang w:val="es-ES" w:eastAsia="es-ES"/>
              </w:rPr>
              <w:t>do por la Junta Directiva del Consejo de Transporte Público.</w:t>
            </w:r>
          </w:p>
          <w:p w:rsidR="00000000" w:rsidRDefault="00890BC6">
            <w:pPr>
              <w:kinsoku w:val="0"/>
              <w:overflowPunct w:val="0"/>
              <w:autoSpaceDE/>
              <w:autoSpaceDN/>
              <w:adjustRightInd/>
              <w:spacing w:before="279" w:line="273" w:lineRule="exact"/>
              <w:ind w:left="648" w:right="72"/>
              <w:jc w:val="both"/>
              <w:textAlignment w:val="baseline"/>
              <w:rPr>
                <w:spacing w:val="-8"/>
                <w:sz w:val="21"/>
                <w:szCs w:val="21"/>
                <w:lang w:val="es-ES" w:eastAsia="es-ES"/>
              </w:rPr>
            </w:pPr>
            <w:r w:rsidRPr="00046F6F">
              <w:rPr>
                <w:b/>
                <w:spacing w:val="-8"/>
                <w:sz w:val="21"/>
                <w:szCs w:val="21"/>
                <w:lang w:val="es-ES" w:eastAsia="es-ES"/>
              </w:rPr>
              <w:t>II.-</w:t>
            </w:r>
            <w:r>
              <w:rPr>
                <w:spacing w:val="-8"/>
                <w:sz w:val="21"/>
                <w:szCs w:val="21"/>
                <w:lang w:val="es-ES" w:eastAsia="es-ES"/>
              </w:rPr>
              <w:t xml:space="preserve"> De conformidad con el artículo 22, inciso c), de la citada Ley 7969, la presente resolución no tiene ulterior recurso por lo que, se </w:t>
            </w:r>
            <w:r>
              <w:rPr>
                <w:i/>
                <w:iCs/>
                <w:spacing w:val="-8"/>
                <w:sz w:val="21"/>
                <w:szCs w:val="21"/>
                <w:lang w:val="es-ES" w:eastAsia="es-ES"/>
              </w:rPr>
              <w:t xml:space="preserve">tiene por agotada la vía administrativa. </w:t>
            </w:r>
            <w:r>
              <w:rPr>
                <w:spacing w:val="-8"/>
                <w:sz w:val="21"/>
                <w:szCs w:val="21"/>
                <w:lang w:val="es-ES" w:eastAsia="es-ES"/>
              </w:rPr>
              <w:t>NOTIFIQUESE.</w:t>
            </w:r>
          </w:p>
          <w:p w:rsidR="00000000" w:rsidRDefault="00890BC6">
            <w:pPr>
              <w:kinsoku w:val="0"/>
              <w:overflowPunct w:val="0"/>
              <w:autoSpaceDE/>
              <w:autoSpaceDN/>
              <w:adjustRightInd/>
              <w:spacing w:before="874" w:after="578" w:line="193" w:lineRule="exact"/>
              <w:ind w:right="152"/>
              <w:jc w:val="right"/>
              <w:textAlignment w:val="baseline"/>
              <w:rPr>
                <w:i/>
                <w:iCs/>
                <w:sz w:val="18"/>
                <w:szCs w:val="18"/>
                <w:lang w:val="es-ES" w:eastAsia="es-ES"/>
              </w:rPr>
            </w:pPr>
          </w:p>
        </w:tc>
        <w:tc>
          <w:tcPr>
            <w:tcW w:w="743" w:type="dxa"/>
            <w:tcBorders>
              <w:top w:val="nil"/>
              <w:left w:val="nil"/>
              <w:bottom w:val="nil"/>
              <w:right w:val="nil"/>
            </w:tcBorders>
            <w:vAlign w:val="bottom"/>
          </w:tcPr>
          <w:p w:rsidR="00000000" w:rsidRDefault="00890BC6">
            <w:pPr>
              <w:kinsoku w:val="0"/>
              <w:overflowPunct w:val="0"/>
              <w:autoSpaceDE/>
              <w:autoSpaceDN/>
              <w:adjustRightInd/>
              <w:spacing w:before="2947" w:line="1412" w:lineRule="exact"/>
              <w:jc w:val="center"/>
              <w:textAlignment w:val="baseline"/>
              <w:rPr>
                <w:rFonts w:ascii="Verdana" w:hAnsi="Verdana" w:cs="Verdana"/>
                <w:w w:val="110"/>
                <w:sz w:val="142"/>
                <w:szCs w:val="142"/>
                <w:lang w:val="es-ES" w:eastAsia="es-ES"/>
              </w:rPr>
            </w:pPr>
          </w:p>
        </w:tc>
      </w:tr>
    </w:tbl>
    <w:p w:rsidR="00000000" w:rsidRDefault="00890BC6">
      <w:pPr>
        <w:widowControl/>
        <w:rPr>
          <w:sz w:val="24"/>
          <w:szCs w:val="24"/>
        </w:rPr>
        <w:sectPr w:rsidR="00000000">
          <w:pgSz w:w="12134" w:h="15840"/>
          <w:pgMar w:top="2260" w:right="1801" w:bottom="304" w:left="2053" w:header="720" w:footer="720" w:gutter="0"/>
          <w:cols w:space="720"/>
          <w:noEndnote/>
        </w:sectPr>
      </w:pPr>
    </w:p>
    <w:p w:rsidR="00000000" w:rsidRDefault="00890BC6">
      <w:pPr>
        <w:kinsoku w:val="0"/>
        <w:overflowPunct w:val="0"/>
        <w:autoSpaceDE/>
        <w:autoSpaceDN/>
        <w:adjustRightInd/>
        <w:spacing w:before="1" w:line="301" w:lineRule="exact"/>
        <w:ind w:left="144" w:right="144"/>
        <w:jc w:val="both"/>
        <w:textAlignment w:val="baseline"/>
        <w:rPr>
          <w:spacing w:val="6"/>
          <w:sz w:val="22"/>
          <w:szCs w:val="22"/>
          <w:lang w:val="es-ES" w:eastAsia="es-ES"/>
        </w:rPr>
      </w:pPr>
      <w:r>
        <w:rPr>
          <w:b/>
          <w:bCs/>
          <w:i/>
          <w:iCs/>
          <w:spacing w:val="6"/>
          <w:sz w:val="22"/>
          <w:szCs w:val="22"/>
          <w:lang w:val="es-ES" w:eastAsia="es-ES"/>
        </w:rPr>
        <w:lastRenderedPageBreak/>
        <w:t xml:space="preserve">SEGUNDO: </w:t>
      </w:r>
      <w:r>
        <w:rPr>
          <w:spacing w:val="6"/>
          <w:sz w:val="22"/>
          <w:szCs w:val="22"/>
          <w:lang w:val="es-ES" w:eastAsia="es-ES"/>
        </w:rPr>
        <w:t xml:space="preserve">Mediante Memorial de fecha 08 de Febrero del 2015, presentado ante este Tribunal en fecha 11 de febrero del 2015, el Señor </w:t>
      </w:r>
      <w:r>
        <w:rPr>
          <w:b/>
          <w:bCs/>
          <w:spacing w:val="6"/>
          <w:sz w:val="22"/>
          <w:szCs w:val="22"/>
          <w:lang w:val="es-ES" w:eastAsia="es-ES"/>
        </w:rPr>
        <w:t>R</w:t>
      </w:r>
      <w:r w:rsidR="00046F6F">
        <w:rPr>
          <w:b/>
          <w:bCs/>
          <w:spacing w:val="6"/>
          <w:sz w:val="22"/>
          <w:szCs w:val="22"/>
          <w:lang w:val="es-ES" w:eastAsia="es-ES"/>
        </w:rPr>
        <w:t>.S.A.</w:t>
      </w:r>
      <w:r>
        <w:rPr>
          <w:b/>
          <w:bCs/>
          <w:spacing w:val="6"/>
          <w:sz w:val="22"/>
          <w:szCs w:val="22"/>
          <w:lang w:val="es-ES" w:eastAsia="es-ES"/>
        </w:rPr>
        <w:t xml:space="preserve">, </w:t>
      </w:r>
      <w:r>
        <w:rPr>
          <w:spacing w:val="6"/>
          <w:sz w:val="22"/>
          <w:szCs w:val="22"/>
          <w:lang w:val="es-ES" w:eastAsia="es-ES"/>
        </w:rPr>
        <w:t xml:space="preserve">de calidades conocidas, portador de la cédula de identidad </w:t>
      </w:r>
      <w:proofErr w:type="gramStart"/>
      <w:r>
        <w:rPr>
          <w:spacing w:val="6"/>
          <w:sz w:val="22"/>
          <w:szCs w:val="22"/>
          <w:lang w:val="es-ES" w:eastAsia="es-ES"/>
        </w:rPr>
        <w:t>nú</w:t>
      </w:r>
      <w:r>
        <w:rPr>
          <w:spacing w:val="6"/>
          <w:sz w:val="22"/>
          <w:szCs w:val="22"/>
          <w:lang w:val="es-ES" w:eastAsia="es-ES"/>
        </w:rPr>
        <w:t xml:space="preserve">mero </w:t>
      </w:r>
      <w:r w:rsidR="00046F6F">
        <w:rPr>
          <w:spacing w:val="6"/>
          <w:sz w:val="22"/>
          <w:szCs w:val="22"/>
          <w:lang w:val="es-ES" w:eastAsia="es-ES"/>
        </w:rPr>
        <w:t>…</w:t>
      </w:r>
      <w:proofErr w:type="gramEnd"/>
      <w:r>
        <w:rPr>
          <w:spacing w:val="6"/>
          <w:sz w:val="22"/>
          <w:szCs w:val="22"/>
          <w:lang w:val="es-ES" w:eastAsia="es-ES"/>
        </w:rPr>
        <w:t>, representado por su Apoderado Especial Administrativo, L</w:t>
      </w:r>
      <w:r w:rsidR="00046F6F">
        <w:rPr>
          <w:spacing w:val="6"/>
          <w:sz w:val="22"/>
          <w:szCs w:val="22"/>
          <w:lang w:val="es-ES" w:eastAsia="es-ES"/>
        </w:rPr>
        <w:t>.J.F.P.</w:t>
      </w:r>
      <w:r>
        <w:rPr>
          <w:spacing w:val="6"/>
          <w:sz w:val="22"/>
          <w:szCs w:val="22"/>
          <w:lang w:val="es-ES" w:eastAsia="es-ES"/>
        </w:rPr>
        <w:t xml:space="preserve">, Interpone formal INCIDENTE DE NULIDAD </w:t>
      </w:r>
      <w:r>
        <w:rPr>
          <w:b/>
          <w:bCs/>
          <w:i/>
          <w:iCs/>
          <w:spacing w:val="6"/>
          <w:sz w:val="22"/>
          <w:szCs w:val="22"/>
          <w:lang w:val="es-ES" w:eastAsia="es-ES"/>
        </w:rPr>
        <w:t xml:space="preserve">(Autónomo) </w:t>
      </w:r>
      <w:r>
        <w:rPr>
          <w:spacing w:val="6"/>
          <w:sz w:val="22"/>
          <w:szCs w:val="22"/>
          <w:lang w:val="es-ES" w:eastAsia="es-ES"/>
        </w:rPr>
        <w:t>contra la RESOLUCIÓN No. TAT-2434-2015 DE ESTE TRIBUNAL, DE LAS 10:16 HORAS DEL 29 DE ENERO DEL 2015.</w:t>
      </w:r>
    </w:p>
    <w:p w:rsidR="00000000" w:rsidRDefault="00890BC6">
      <w:pPr>
        <w:kinsoku w:val="0"/>
        <w:overflowPunct w:val="0"/>
        <w:autoSpaceDE/>
        <w:autoSpaceDN/>
        <w:adjustRightInd/>
        <w:spacing w:before="288" w:line="292" w:lineRule="exact"/>
        <w:ind w:left="144" w:right="144"/>
        <w:jc w:val="both"/>
        <w:textAlignment w:val="baseline"/>
        <w:rPr>
          <w:sz w:val="22"/>
          <w:szCs w:val="22"/>
          <w:lang w:val="es-ES" w:eastAsia="es-ES"/>
        </w:rPr>
      </w:pPr>
      <w:r>
        <w:rPr>
          <w:b/>
          <w:bCs/>
          <w:i/>
          <w:iCs/>
          <w:sz w:val="22"/>
          <w:szCs w:val="22"/>
          <w:lang w:val="es-ES" w:eastAsia="es-ES"/>
        </w:rPr>
        <w:t xml:space="preserve">TERCERO: </w:t>
      </w:r>
      <w:r>
        <w:rPr>
          <w:sz w:val="22"/>
          <w:szCs w:val="22"/>
          <w:lang w:val="es-ES" w:eastAsia="es-ES"/>
        </w:rPr>
        <w:t>En mérito de lo anterior y conforme los términos y prescripciones de Ley, procede a resolver este Tribunal.</w:t>
      </w:r>
    </w:p>
    <w:p w:rsidR="00000000" w:rsidRDefault="00890BC6">
      <w:pPr>
        <w:kinsoku w:val="0"/>
        <w:overflowPunct w:val="0"/>
        <w:autoSpaceDE/>
        <w:autoSpaceDN/>
        <w:adjustRightInd/>
        <w:spacing w:before="339" w:line="241" w:lineRule="exact"/>
        <w:ind w:left="144"/>
        <w:textAlignment w:val="baseline"/>
        <w:rPr>
          <w:b/>
          <w:bCs/>
          <w:spacing w:val="-1"/>
          <w:sz w:val="22"/>
          <w:szCs w:val="22"/>
          <w:lang w:val="es-ES" w:eastAsia="es-ES"/>
        </w:rPr>
      </w:pPr>
      <w:r>
        <w:rPr>
          <w:b/>
          <w:bCs/>
          <w:spacing w:val="-1"/>
          <w:sz w:val="22"/>
          <w:szCs w:val="22"/>
          <w:lang w:val="es-ES" w:eastAsia="es-ES"/>
        </w:rPr>
        <w:t>REDACTA EL JUEZ QUESADA AGUIRRE,</w:t>
      </w:r>
    </w:p>
    <w:p w:rsidR="00000000" w:rsidRDefault="00890BC6">
      <w:pPr>
        <w:kinsoku w:val="0"/>
        <w:overflowPunct w:val="0"/>
        <w:autoSpaceDE/>
        <w:autoSpaceDN/>
        <w:adjustRightInd/>
        <w:spacing w:before="335" w:line="249" w:lineRule="exact"/>
        <w:jc w:val="center"/>
        <w:textAlignment w:val="baseline"/>
        <w:rPr>
          <w:b/>
          <w:bCs/>
          <w:i/>
          <w:iCs/>
          <w:spacing w:val="-1"/>
          <w:sz w:val="22"/>
          <w:szCs w:val="22"/>
          <w:lang w:val="es-ES" w:eastAsia="es-ES"/>
        </w:rPr>
      </w:pPr>
      <w:r>
        <w:rPr>
          <w:b/>
          <w:bCs/>
          <w:i/>
          <w:iCs/>
          <w:spacing w:val="-1"/>
          <w:sz w:val="22"/>
          <w:szCs w:val="22"/>
          <w:lang w:val="es-ES" w:eastAsia="es-ES"/>
        </w:rPr>
        <w:t>Considerando Único:</w:t>
      </w:r>
    </w:p>
    <w:p w:rsidR="00000000" w:rsidRDefault="00890BC6">
      <w:pPr>
        <w:kinsoku w:val="0"/>
        <w:overflowPunct w:val="0"/>
        <w:autoSpaceDE/>
        <w:autoSpaceDN/>
        <w:adjustRightInd/>
        <w:spacing w:before="286" w:line="292" w:lineRule="exact"/>
        <w:ind w:left="144" w:right="144"/>
        <w:jc w:val="both"/>
        <w:textAlignment w:val="baseline"/>
        <w:rPr>
          <w:sz w:val="22"/>
          <w:szCs w:val="22"/>
          <w:lang w:val="es-ES" w:eastAsia="es-ES"/>
        </w:rPr>
      </w:pPr>
      <w:r>
        <w:rPr>
          <w:sz w:val="22"/>
          <w:szCs w:val="22"/>
          <w:lang w:val="es-ES" w:eastAsia="es-ES"/>
        </w:rPr>
        <w:t>En la especie lo que se eleva para nuestro meritorio conocimiento es una Acción Incidental Autó</w:t>
      </w:r>
      <w:r>
        <w:rPr>
          <w:sz w:val="22"/>
          <w:szCs w:val="22"/>
          <w:lang w:val="es-ES" w:eastAsia="es-ES"/>
        </w:rPr>
        <w:t xml:space="preserve">noma de Nulidad por la cual, </w:t>
      </w:r>
      <w:r>
        <w:rPr>
          <w:i/>
          <w:iCs/>
          <w:sz w:val="22"/>
          <w:szCs w:val="22"/>
          <w:lang w:val="es-ES" w:eastAsia="es-ES"/>
        </w:rPr>
        <w:t xml:space="preserve">en un final, </w:t>
      </w:r>
      <w:r>
        <w:rPr>
          <w:sz w:val="22"/>
          <w:szCs w:val="22"/>
          <w:lang w:val="es-ES" w:eastAsia="es-ES"/>
        </w:rPr>
        <w:t xml:space="preserve">se viene a Impugnar un Acto Firme y Final de este Tribunal. Visto lo anterior y dada la Naturaleza de la Gestión que se nos remite, se estima que la misma deviene en </w:t>
      </w:r>
      <w:r>
        <w:rPr>
          <w:b/>
          <w:bCs/>
          <w:i/>
          <w:iCs/>
          <w:sz w:val="22"/>
          <w:szCs w:val="22"/>
          <w:lang w:val="es-ES" w:eastAsia="es-ES"/>
        </w:rPr>
        <w:t xml:space="preserve">Absolutamente Improcedente </w:t>
      </w:r>
      <w:r>
        <w:rPr>
          <w:sz w:val="22"/>
          <w:szCs w:val="22"/>
          <w:lang w:val="es-ES" w:eastAsia="es-ES"/>
        </w:rPr>
        <w:t>por las razones que d</w:t>
      </w:r>
      <w:r>
        <w:rPr>
          <w:sz w:val="22"/>
          <w:szCs w:val="22"/>
          <w:lang w:val="es-ES" w:eastAsia="es-ES"/>
        </w:rPr>
        <w:t>e seguido y de forma puntual exponemos:</w:t>
      </w:r>
    </w:p>
    <w:p w:rsidR="00000000" w:rsidRDefault="00890BC6">
      <w:pPr>
        <w:kinsoku w:val="0"/>
        <w:overflowPunct w:val="0"/>
        <w:autoSpaceDE/>
        <w:autoSpaceDN/>
        <w:adjustRightInd/>
        <w:spacing w:before="220" w:line="291" w:lineRule="exact"/>
        <w:ind w:left="144" w:right="144"/>
        <w:jc w:val="both"/>
        <w:textAlignment w:val="baseline"/>
        <w:rPr>
          <w:i/>
          <w:iCs/>
          <w:spacing w:val="-1"/>
          <w:sz w:val="22"/>
          <w:szCs w:val="22"/>
          <w:lang w:val="es-ES" w:eastAsia="es-ES"/>
        </w:rPr>
      </w:pPr>
      <w:r>
        <w:rPr>
          <w:spacing w:val="-1"/>
          <w:sz w:val="22"/>
          <w:szCs w:val="22"/>
          <w:lang w:val="es-ES" w:eastAsia="es-ES"/>
        </w:rPr>
        <w:t xml:space="preserve">Según se colige del texto del numeral 180 de la Ley General de la Administración Pública, la Nulidad de un Acto, tratándose de Actos Finales o Definitorios </w:t>
      </w:r>
      <w:r>
        <w:rPr>
          <w:i/>
          <w:iCs/>
          <w:spacing w:val="-1"/>
          <w:sz w:val="22"/>
          <w:szCs w:val="22"/>
          <w:lang w:val="es-ES" w:eastAsia="es-ES"/>
        </w:rPr>
        <w:t xml:space="preserve">(que producen estado), </w:t>
      </w:r>
      <w:r>
        <w:rPr>
          <w:spacing w:val="-1"/>
          <w:sz w:val="22"/>
          <w:szCs w:val="22"/>
          <w:lang w:val="es-ES" w:eastAsia="es-ES"/>
        </w:rPr>
        <w:t>es PARTE DE LA PRETENSIÓN QUE SE DEBE</w:t>
      </w:r>
      <w:r>
        <w:rPr>
          <w:spacing w:val="-1"/>
          <w:sz w:val="22"/>
          <w:szCs w:val="22"/>
          <w:lang w:val="es-ES" w:eastAsia="es-ES"/>
        </w:rPr>
        <w:t xml:space="preserve"> PLANTEAR POR MEDIO DE UN RECURSOS </w:t>
      </w:r>
      <w:r>
        <w:rPr>
          <w:b/>
          <w:bCs/>
          <w:spacing w:val="-1"/>
          <w:sz w:val="22"/>
          <w:szCs w:val="22"/>
          <w:lang w:val="es-ES" w:eastAsia="es-ES"/>
        </w:rPr>
        <w:t xml:space="preserve">ADMINISTRATIVO. Y </w:t>
      </w:r>
      <w:r>
        <w:rPr>
          <w:spacing w:val="-1"/>
          <w:sz w:val="22"/>
          <w:szCs w:val="22"/>
          <w:lang w:val="es-ES" w:eastAsia="es-ES"/>
        </w:rPr>
        <w:t xml:space="preserve">más tratándose de una Valoración de Contralor No Jerárquico, como la que compete a este Tribunal, toda vez que nuestra Revisión de los Actos de la Junta Directiva del Consejo de Transporte Público </w:t>
      </w:r>
      <w:r>
        <w:rPr>
          <w:i/>
          <w:iCs/>
          <w:spacing w:val="-1"/>
          <w:sz w:val="22"/>
          <w:szCs w:val="22"/>
          <w:lang w:val="es-ES" w:eastAsia="es-ES"/>
        </w:rPr>
        <w:t>(con l</w:t>
      </w:r>
      <w:r>
        <w:rPr>
          <w:i/>
          <w:iCs/>
          <w:spacing w:val="-1"/>
          <w:sz w:val="22"/>
          <w:szCs w:val="22"/>
          <w:lang w:val="es-ES" w:eastAsia="es-ES"/>
        </w:rPr>
        <w:t xml:space="preserve">as excepciones del caso) </w:t>
      </w:r>
      <w:r>
        <w:rPr>
          <w:spacing w:val="-1"/>
          <w:sz w:val="22"/>
          <w:szCs w:val="22"/>
          <w:lang w:val="es-ES" w:eastAsia="es-ES"/>
        </w:rPr>
        <w:t xml:space="preserve">aplica </w:t>
      </w:r>
      <w:r>
        <w:rPr>
          <w:b/>
          <w:bCs/>
          <w:i/>
          <w:iCs/>
          <w:spacing w:val="-1"/>
          <w:sz w:val="22"/>
          <w:szCs w:val="22"/>
          <w:lang w:val="es-ES" w:eastAsia="es-ES"/>
        </w:rPr>
        <w:t xml:space="preserve">"en virtud de recurso administrativo" (artículo 181 de la Ley General de la Administración Pública). </w:t>
      </w:r>
      <w:r>
        <w:rPr>
          <w:spacing w:val="-1"/>
          <w:sz w:val="22"/>
          <w:szCs w:val="22"/>
          <w:lang w:val="es-ES" w:eastAsia="es-ES"/>
        </w:rPr>
        <w:t>Así las cosas y aunque puede aceptarse la "Impugnación" de Actuaciones en el ínterin de un Procedimiento o Trámite Administ</w:t>
      </w:r>
      <w:r>
        <w:rPr>
          <w:spacing w:val="-1"/>
          <w:sz w:val="22"/>
          <w:szCs w:val="22"/>
          <w:lang w:val="es-ES" w:eastAsia="es-ES"/>
        </w:rPr>
        <w:t xml:space="preserve">rativo </w:t>
      </w:r>
      <w:r>
        <w:rPr>
          <w:i/>
          <w:iCs/>
          <w:spacing w:val="-1"/>
          <w:sz w:val="22"/>
          <w:szCs w:val="22"/>
          <w:lang w:val="es-ES" w:eastAsia="es-ES"/>
        </w:rPr>
        <w:t xml:space="preserve">(de forma interlocutoria); </w:t>
      </w:r>
      <w:r>
        <w:rPr>
          <w:spacing w:val="-1"/>
          <w:sz w:val="22"/>
          <w:szCs w:val="22"/>
          <w:lang w:val="es-ES" w:eastAsia="es-ES"/>
        </w:rPr>
        <w:t xml:space="preserve">en cuanto a la Impugnación de su Acto Final, por lo </w:t>
      </w:r>
      <w:r>
        <w:rPr>
          <w:b/>
          <w:bCs/>
          <w:spacing w:val="-1"/>
          <w:sz w:val="22"/>
          <w:szCs w:val="22"/>
          <w:u w:val="single"/>
          <w:lang w:val="es-ES" w:eastAsia="es-ES"/>
        </w:rPr>
        <w:t>Restrictivo del Ámbito Recursivo,</w:t>
      </w:r>
      <w:r>
        <w:rPr>
          <w:b/>
          <w:bCs/>
          <w:spacing w:val="-1"/>
          <w:sz w:val="22"/>
          <w:szCs w:val="22"/>
          <w:lang w:val="es-ES" w:eastAsia="es-ES"/>
        </w:rPr>
        <w:t xml:space="preserve"> no se </w:t>
      </w:r>
      <w:r>
        <w:rPr>
          <w:spacing w:val="-1"/>
          <w:sz w:val="22"/>
          <w:szCs w:val="22"/>
          <w:lang w:val="es-ES" w:eastAsia="es-ES"/>
        </w:rPr>
        <w:t xml:space="preserve">determina como Operante la Impugnación </w:t>
      </w:r>
      <w:r>
        <w:rPr>
          <w:i/>
          <w:iCs/>
          <w:spacing w:val="-1"/>
          <w:sz w:val="22"/>
          <w:szCs w:val="22"/>
          <w:lang w:val="es-ES" w:eastAsia="es-ES"/>
        </w:rPr>
        <w:t xml:space="preserve">(valga lo redundante) </w:t>
      </w:r>
      <w:r>
        <w:rPr>
          <w:spacing w:val="-1"/>
          <w:sz w:val="22"/>
          <w:szCs w:val="22"/>
          <w:lang w:val="es-ES" w:eastAsia="es-ES"/>
        </w:rPr>
        <w:t xml:space="preserve">del mismo por la </w:t>
      </w:r>
      <w:r>
        <w:rPr>
          <w:b/>
          <w:bCs/>
          <w:spacing w:val="-1"/>
          <w:sz w:val="22"/>
          <w:szCs w:val="22"/>
          <w:lang w:val="es-ES" w:eastAsia="es-ES"/>
        </w:rPr>
        <w:t>VÍA AUTÓNOMA DE UN INCIDENTE DE NULIDAD, MÁXIME SÍ —</w:t>
      </w:r>
      <w:r>
        <w:rPr>
          <w:b/>
          <w:bCs/>
          <w:spacing w:val="-1"/>
          <w:sz w:val="22"/>
          <w:szCs w:val="22"/>
          <w:lang w:val="es-ES" w:eastAsia="es-ES"/>
        </w:rPr>
        <w:t xml:space="preserve">COMO EN LA ESPECIE- YA SE HAN EJERCIDO LOS RECURSOS ORDINARIOS DE LEY </w:t>
      </w:r>
      <w:r>
        <w:rPr>
          <w:spacing w:val="-1"/>
          <w:sz w:val="22"/>
          <w:szCs w:val="22"/>
          <w:lang w:val="es-ES" w:eastAsia="es-ES"/>
        </w:rPr>
        <w:t xml:space="preserve">y una Incidencia como la que nos ocupa debería ser SUBSIDIARIA a los mismos o A ALGUNO PROCEDENTE </w:t>
      </w:r>
      <w:r>
        <w:rPr>
          <w:b/>
          <w:bCs/>
          <w:i/>
          <w:iCs/>
          <w:spacing w:val="-1"/>
          <w:sz w:val="22"/>
          <w:szCs w:val="22"/>
          <w:lang w:val="es-ES" w:eastAsia="es-ES"/>
        </w:rPr>
        <w:t xml:space="preserve">(parte </w:t>
      </w:r>
      <w:r>
        <w:rPr>
          <w:i/>
          <w:iCs/>
          <w:spacing w:val="-1"/>
          <w:sz w:val="22"/>
          <w:szCs w:val="22"/>
          <w:lang w:val="es-ES" w:eastAsia="es-ES"/>
        </w:rPr>
        <w:t>de la Pretensión de los Recursos).</w:t>
      </w:r>
    </w:p>
    <w:p w:rsidR="00000000" w:rsidRDefault="00890BC6">
      <w:pPr>
        <w:kinsoku w:val="0"/>
        <w:overflowPunct w:val="0"/>
        <w:autoSpaceDE/>
        <w:autoSpaceDN/>
        <w:adjustRightInd/>
        <w:spacing w:before="250" w:line="292" w:lineRule="exact"/>
        <w:ind w:left="144" w:right="144"/>
        <w:jc w:val="both"/>
        <w:textAlignment w:val="baseline"/>
        <w:rPr>
          <w:sz w:val="22"/>
          <w:szCs w:val="22"/>
          <w:lang w:val="es-ES" w:eastAsia="es-ES"/>
        </w:rPr>
      </w:pPr>
      <w:r>
        <w:rPr>
          <w:sz w:val="22"/>
          <w:szCs w:val="22"/>
          <w:lang w:val="es-ES" w:eastAsia="es-ES"/>
        </w:rPr>
        <w:t>En cuanto al tema de los Incidentes de Nulidad</w:t>
      </w:r>
      <w:r>
        <w:rPr>
          <w:sz w:val="22"/>
          <w:szCs w:val="22"/>
          <w:lang w:val="es-ES" w:eastAsia="es-ES"/>
        </w:rPr>
        <w:t xml:space="preserve"> el Manual de Procedimiento Administrativo, de la Procuraduría General de la República, del año 2006, páginas Nos. 193 y 194, nos señala en lo conducente:</w:t>
      </w:r>
    </w:p>
    <w:p w:rsidR="00000000" w:rsidRDefault="00890BC6">
      <w:pPr>
        <w:widowControl/>
        <w:rPr>
          <w:sz w:val="24"/>
          <w:szCs w:val="24"/>
        </w:rPr>
        <w:sectPr w:rsidR="00000000">
          <w:pgSz w:w="12134" w:h="15840"/>
          <w:pgMar w:top="1980" w:right="1890" w:bottom="1505" w:left="1964" w:header="720" w:footer="720" w:gutter="0"/>
          <w:cols w:space="720"/>
          <w:noEndnote/>
        </w:sectPr>
      </w:pPr>
    </w:p>
    <w:p w:rsidR="00000000" w:rsidRDefault="00890BC6">
      <w:pPr>
        <w:kinsoku w:val="0"/>
        <w:overflowPunct w:val="0"/>
        <w:autoSpaceDE/>
        <w:autoSpaceDN/>
        <w:adjustRightInd/>
        <w:spacing w:line="258" w:lineRule="exact"/>
        <w:ind w:left="576"/>
        <w:textAlignment w:val="baseline"/>
        <w:rPr>
          <w:b/>
          <w:bCs/>
          <w:sz w:val="22"/>
          <w:szCs w:val="22"/>
          <w:lang w:val="es-ES" w:eastAsia="es-ES"/>
        </w:rPr>
      </w:pPr>
      <w:r>
        <w:rPr>
          <w:b/>
          <w:bCs/>
          <w:sz w:val="22"/>
          <w:szCs w:val="22"/>
          <w:lang w:val="es-ES" w:eastAsia="es-ES"/>
        </w:rPr>
        <w:t>..."C. El Incidente de Nulidad</w:t>
      </w:r>
    </w:p>
    <w:p w:rsidR="00000000" w:rsidRDefault="00890BC6">
      <w:pPr>
        <w:kinsoku w:val="0"/>
        <w:overflowPunct w:val="0"/>
        <w:autoSpaceDE/>
        <w:autoSpaceDN/>
        <w:adjustRightInd/>
        <w:spacing w:before="235" w:line="253" w:lineRule="exact"/>
        <w:ind w:left="576" w:right="720"/>
        <w:jc w:val="both"/>
        <w:textAlignment w:val="baseline"/>
        <w:rPr>
          <w:spacing w:val="-2"/>
          <w:sz w:val="22"/>
          <w:szCs w:val="22"/>
          <w:lang w:val="es-ES" w:eastAsia="es-ES"/>
        </w:rPr>
      </w:pPr>
      <w:r>
        <w:rPr>
          <w:spacing w:val="-2"/>
          <w:sz w:val="22"/>
          <w:szCs w:val="22"/>
          <w:lang w:val="es-ES" w:eastAsia="es-ES"/>
        </w:rPr>
        <w:t>Cabe hacer una breve mención acerca del tema de los "incidentes de nulidad" que se plantean, de forma generalizada, en el procedimiento administrativo. Dicha gestión no está regulada en la LGAP, razón</w:t>
      </w:r>
      <w:r>
        <w:rPr>
          <w:spacing w:val="-2"/>
          <w:sz w:val="22"/>
          <w:szCs w:val="22"/>
          <w:lang w:val="es-ES" w:eastAsia="es-ES"/>
        </w:rPr>
        <w:t xml:space="preserve"> por la cual, de admitir su procedencia dentro del procedimiento administrativo, debe acudirse a las prescripciones que sobre este tipo de gestión contiene el Código Procesal Civil.</w:t>
      </w:r>
    </w:p>
    <w:p w:rsidR="00000000" w:rsidRDefault="00890BC6">
      <w:pPr>
        <w:kinsoku w:val="0"/>
        <w:overflowPunct w:val="0"/>
        <w:autoSpaceDE/>
        <w:autoSpaceDN/>
        <w:adjustRightInd/>
        <w:spacing w:before="236" w:line="253" w:lineRule="exact"/>
        <w:ind w:left="576" w:right="720"/>
        <w:jc w:val="both"/>
        <w:textAlignment w:val="baseline"/>
        <w:rPr>
          <w:sz w:val="22"/>
          <w:szCs w:val="22"/>
          <w:lang w:val="es-ES" w:eastAsia="es-ES"/>
        </w:rPr>
      </w:pPr>
      <w:r>
        <w:rPr>
          <w:sz w:val="22"/>
          <w:szCs w:val="22"/>
          <w:lang w:val="es-ES" w:eastAsia="es-ES"/>
        </w:rPr>
        <w:t>En lo que atañe a su procedencia, ciertamente la regulación de los recurso</w:t>
      </w:r>
      <w:r>
        <w:rPr>
          <w:sz w:val="22"/>
          <w:szCs w:val="22"/>
          <w:lang w:val="es-ES" w:eastAsia="es-ES"/>
        </w:rPr>
        <w:t>s administrativos dentro del procedimiento pareciera ser restrictiva (al efecto, véase la redacción del artículo 345 LGAP). Además, dada la obligación de cumplir los plazos del procedimiento, ciertamente el uso abusivo de los incidentes de nulidad puede tr</w:t>
      </w:r>
      <w:r>
        <w:rPr>
          <w:sz w:val="22"/>
          <w:szCs w:val="22"/>
          <w:lang w:val="es-ES" w:eastAsia="es-ES"/>
        </w:rPr>
        <w:t>astornar el normal desenvolvimiento de las tareas asignadas a los órganos directores.</w:t>
      </w:r>
    </w:p>
    <w:p w:rsidR="00000000" w:rsidRDefault="00890BC6">
      <w:pPr>
        <w:kinsoku w:val="0"/>
        <w:overflowPunct w:val="0"/>
        <w:autoSpaceDE/>
        <w:autoSpaceDN/>
        <w:adjustRightInd/>
        <w:spacing w:line="252" w:lineRule="exact"/>
        <w:ind w:left="576" w:right="720"/>
        <w:jc w:val="both"/>
        <w:textAlignment w:val="baseline"/>
        <w:rPr>
          <w:sz w:val="22"/>
          <w:szCs w:val="22"/>
          <w:lang w:val="es-ES" w:eastAsia="es-ES"/>
        </w:rPr>
      </w:pPr>
      <w:r>
        <w:rPr>
          <w:sz w:val="22"/>
          <w:szCs w:val="22"/>
          <w:lang w:val="es-ES" w:eastAsia="es-ES"/>
        </w:rPr>
        <w:t>Sin embargo, tampoco puede dejar de observarse que, conforme se produce un mayor cantidad de jurisprudencia de la Sala Constitucional en punto a las obligaciones que tien</w:t>
      </w:r>
      <w:r>
        <w:rPr>
          <w:sz w:val="22"/>
          <w:szCs w:val="22"/>
          <w:lang w:val="es-ES" w:eastAsia="es-ES"/>
        </w:rPr>
        <w:t>e el órgano director para tutelar el derecho de defensa y el debido proceso, ciertamente deberá la Administración estar en un proceso constante de especialización sobre aspectos muy puntuales que pueden considerarse lesivos de esas garantías. Así, si el ad</w:t>
      </w:r>
      <w:r>
        <w:rPr>
          <w:sz w:val="22"/>
          <w:szCs w:val="22"/>
          <w:lang w:val="es-ES" w:eastAsia="es-ES"/>
        </w:rPr>
        <w:t>ministrado vía el incidente de nulidad alerta sobre la existencia de un vicio de procedimiento que atenta contra los derechos fundamentales que deben guardarse en el procedimiento, lo cierto pareciera que no existe una razón jurídica de peso para denegar l</w:t>
      </w:r>
      <w:r>
        <w:rPr>
          <w:sz w:val="22"/>
          <w:szCs w:val="22"/>
          <w:lang w:val="es-ES" w:eastAsia="es-ES"/>
        </w:rPr>
        <w:t>a procedencia de estos "incidentes".</w:t>
      </w:r>
    </w:p>
    <w:p w:rsidR="00000000" w:rsidRDefault="00890BC6">
      <w:pPr>
        <w:kinsoku w:val="0"/>
        <w:overflowPunct w:val="0"/>
        <w:autoSpaceDE/>
        <w:autoSpaceDN/>
        <w:adjustRightInd/>
        <w:spacing w:before="247" w:line="253" w:lineRule="exact"/>
        <w:ind w:left="576" w:right="720"/>
        <w:jc w:val="both"/>
        <w:textAlignment w:val="baseline"/>
        <w:rPr>
          <w:i/>
          <w:iCs/>
          <w:sz w:val="22"/>
          <w:szCs w:val="22"/>
          <w:lang w:val="es-ES" w:eastAsia="es-ES"/>
        </w:rPr>
      </w:pPr>
      <w:r>
        <w:rPr>
          <w:sz w:val="22"/>
          <w:szCs w:val="22"/>
          <w:lang w:val="es-ES" w:eastAsia="es-ES"/>
        </w:rPr>
        <w:t xml:space="preserve">Lo anterior no obsta para realizar la siguiente observación. Tal y como está establecido en el Código Procesal Civil, </w:t>
      </w:r>
      <w:r>
        <w:rPr>
          <w:b/>
          <w:bCs/>
          <w:sz w:val="22"/>
          <w:szCs w:val="22"/>
          <w:lang w:val="es-ES" w:eastAsia="es-ES"/>
        </w:rPr>
        <w:t>el incidente tiene una naturaleza claramente subsidiaria y específica del asunto que se trata en el e</w:t>
      </w:r>
      <w:r>
        <w:rPr>
          <w:b/>
          <w:bCs/>
          <w:sz w:val="22"/>
          <w:szCs w:val="22"/>
          <w:lang w:val="es-ES" w:eastAsia="es-ES"/>
        </w:rPr>
        <w:t xml:space="preserve">xpediente."... </w:t>
      </w:r>
      <w:r>
        <w:rPr>
          <w:i/>
          <w:iCs/>
          <w:sz w:val="22"/>
          <w:szCs w:val="22"/>
          <w:lang w:val="es-ES" w:eastAsia="es-ES"/>
        </w:rPr>
        <w:t>(</w:t>
      </w:r>
      <w:proofErr w:type="gramStart"/>
      <w:r>
        <w:rPr>
          <w:i/>
          <w:iCs/>
          <w:sz w:val="22"/>
          <w:szCs w:val="22"/>
          <w:lang w:val="es-ES" w:eastAsia="es-ES"/>
        </w:rPr>
        <w:t>el</w:t>
      </w:r>
      <w:proofErr w:type="gramEnd"/>
      <w:r>
        <w:rPr>
          <w:i/>
          <w:iCs/>
          <w:sz w:val="22"/>
          <w:szCs w:val="22"/>
          <w:lang w:val="es-ES" w:eastAsia="es-ES"/>
        </w:rPr>
        <w:t xml:space="preserve"> resaltado es nuestro)</w:t>
      </w:r>
    </w:p>
    <w:p w:rsidR="00000000" w:rsidRDefault="00890BC6">
      <w:pPr>
        <w:kinsoku w:val="0"/>
        <w:overflowPunct w:val="0"/>
        <w:autoSpaceDE/>
        <w:autoSpaceDN/>
        <w:adjustRightInd/>
        <w:spacing w:before="543" w:line="289" w:lineRule="exact"/>
        <w:ind w:left="72" w:right="144"/>
        <w:jc w:val="both"/>
        <w:textAlignment w:val="baseline"/>
        <w:rPr>
          <w:sz w:val="22"/>
          <w:szCs w:val="22"/>
          <w:lang w:val="es-ES" w:eastAsia="es-ES"/>
        </w:rPr>
      </w:pPr>
      <w:r>
        <w:rPr>
          <w:sz w:val="22"/>
          <w:szCs w:val="22"/>
          <w:lang w:val="es-ES" w:eastAsia="es-ES"/>
        </w:rPr>
        <w:t xml:space="preserve">Además la doctrina procesal nacional más calificada respalda plenamente el criterio contenido en la presente resolución. Por ejemplo, el doctor Gerardo </w:t>
      </w:r>
      <w:proofErr w:type="spellStart"/>
      <w:r>
        <w:rPr>
          <w:sz w:val="22"/>
          <w:szCs w:val="22"/>
          <w:lang w:val="es-ES" w:eastAsia="es-ES"/>
        </w:rPr>
        <w:t>Paralejes</w:t>
      </w:r>
      <w:proofErr w:type="spellEnd"/>
      <w:r>
        <w:rPr>
          <w:sz w:val="22"/>
          <w:szCs w:val="22"/>
          <w:lang w:val="es-ES" w:eastAsia="es-ES"/>
        </w:rPr>
        <w:t xml:space="preserve"> </w:t>
      </w:r>
      <w:proofErr w:type="spellStart"/>
      <w:r>
        <w:rPr>
          <w:sz w:val="22"/>
          <w:szCs w:val="22"/>
          <w:lang w:val="es-ES" w:eastAsia="es-ES"/>
        </w:rPr>
        <w:t>Vindas</w:t>
      </w:r>
      <w:proofErr w:type="spellEnd"/>
      <w:r>
        <w:rPr>
          <w:sz w:val="22"/>
          <w:szCs w:val="22"/>
          <w:lang w:val="es-ES" w:eastAsia="es-ES"/>
        </w:rPr>
        <w:t>, Magistrado S</w:t>
      </w:r>
      <w:r>
        <w:rPr>
          <w:sz w:val="22"/>
          <w:szCs w:val="22"/>
          <w:lang w:val="es-ES" w:eastAsia="es-ES"/>
        </w:rPr>
        <w:t xml:space="preserve">uplente de la Sala Primera de la Corte Suprema de Justicia, y Juez del Tribunal Primero Civil de San José, sostiene: </w:t>
      </w:r>
      <w:r>
        <w:rPr>
          <w:i/>
          <w:iCs/>
          <w:sz w:val="22"/>
          <w:szCs w:val="22"/>
          <w:lang w:val="es-ES" w:eastAsia="es-ES"/>
        </w:rPr>
        <w:t>"Ese pronunciamiento únicamente puede ser atacado por la vía de los recursos ordinarios, y la nulidad en forma concomi</w:t>
      </w:r>
      <w:r>
        <w:rPr>
          <w:i/>
          <w:iCs/>
          <w:sz w:val="22"/>
          <w:szCs w:val="22"/>
          <w:lang w:val="es-ES" w:eastAsia="es-ES"/>
        </w:rPr>
        <w:t xml:space="preserve">tante en el mismo escrito de los recursos. Así lo disponen los artículos 199 párrafo segundo </w:t>
      </w:r>
      <w:r>
        <w:rPr>
          <w:sz w:val="22"/>
          <w:szCs w:val="22"/>
          <w:lang w:val="es-ES" w:eastAsia="es-ES"/>
        </w:rPr>
        <w:t>y</w:t>
      </w:r>
    </w:p>
    <w:p w:rsidR="00000000" w:rsidRDefault="00890BC6">
      <w:pPr>
        <w:kinsoku w:val="0"/>
        <w:overflowPunct w:val="0"/>
        <w:autoSpaceDE/>
        <w:autoSpaceDN/>
        <w:adjustRightInd/>
        <w:spacing w:before="8" w:line="289" w:lineRule="exact"/>
        <w:ind w:left="72" w:right="144"/>
        <w:jc w:val="both"/>
        <w:textAlignment w:val="baseline"/>
        <w:rPr>
          <w:spacing w:val="-1"/>
          <w:sz w:val="22"/>
          <w:szCs w:val="22"/>
          <w:lang w:val="es-ES" w:eastAsia="es-ES"/>
        </w:rPr>
      </w:pPr>
      <w:r>
        <w:rPr>
          <w:i/>
          <w:iCs/>
          <w:spacing w:val="-1"/>
          <w:sz w:val="22"/>
          <w:szCs w:val="22"/>
          <w:lang w:val="es-ES" w:eastAsia="es-ES"/>
        </w:rPr>
        <w:t xml:space="preserve">570 </w:t>
      </w:r>
      <w:proofErr w:type="gramStart"/>
      <w:r>
        <w:rPr>
          <w:i/>
          <w:iCs/>
          <w:spacing w:val="-1"/>
          <w:sz w:val="22"/>
          <w:szCs w:val="22"/>
          <w:lang w:val="es-ES" w:eastAsia="es-ES"/>
        </w:rPr>
        <w:t>inciso</w:t>
      </w:r>
      <w:proofErr w:type="gramEnd"/>
      <w:r>
        <w:rPr>
          <w:i/>
          <w:iCs/>
          <w:spacing w:val="-1"/>
          <w:sz w:val="22"/>
          <w:szCs w:val="22"/>
          <w:lang w:val="es-ES" w:eastAsia="es-ES"/>
        </w:rPr>
        <w:t xml:space="preserve"> 1) ibídem. En otras palabras, </w:t>
      </w:r>
      <w:r>
        <w:rPr>
          <w:b/>
          <w:bCs/>
          <w:i/>
          <w:iCs/>
          <w:spacing w:val="-1"/>
          <w:sz w:val="22"/>
          <w:szCs w:val="22"/>
          <w:lang w:val="es-ES" w:eastAsia="es-ES"/>
        </w:rPr>
        <w:t xml:space="preserve">nuestro ordenamiento procesal no autoriza el incidente de nulidad autónomo de resoluciones. </w:t>
      </w:r>
      <w:r>
        <w:rPr>
          <w:i/>
          <w:iCs/>
          <w:spacing w:val="-1"/>
          <w:sz w:val="22"/>
          <w:szCs w:val="22"/>
          <w:lang w:val="es-ES" w:eastAsia="es-ES"/>
        </w:rPr>
        <w:t>La parte perjudicada con una</w:t>
      </w:r>
      <w:r>
        <w:rPr>
          <w:i/>
          <w:iCs/>
          <w:spacing w:val="-1"/>
          <w:sz w:val="22"/>
          <w:szCs w:val="22"/>
          <w:lang w:val="es-ES" w:eastAsia="es-ES"/>
        </w:rPr>
        <w:t xml:space="preserve"> resolución del juez, para protestar </w:t>
      </w:r>
      <w:r>
        <w:rPr>
          <w:b/>
          <w:bCs/>
          <w:i/>
          <w:iCs/>
          <w:spacing w:val="-1"/>
          <w:sz w:val="22"/>
          <w:szCs w:val="22"/>
          <w:lang w:val="es-ES" w:eastAsia="es-ES"/>
        </w:rPr>
        <w:t xml:space="preserve">su nulidad debe hacerlo, únicamente, en el mismo escrito de los recursos. Todo </w:t>
      </w:r>
      <w:r>
        <w:rPr>
          <w:i/>
          <w:iCs/>
          <w:spacing w:val="-1"/>
          <w:sz w:val="22"/>
          <w:szCs w:val="22"/>
          <w:lang w:val="es-ES" w:eastAsia="es-ES"/>
        </w:rPr>
        <w:t xml:space="preserve">incidente de nulidad, separado de los recursos, resulta improcedente" (el destacado es del redactor, ver </w:t>
      </w:r>
      <w:proofErr w:type="spellStart"/>
      <w:r>
        <w:rPr>
          <w:i/>
          <w:iCs/>
          <w:spacing w:val="-1"/>
          <w:sz w:val="22"/>
          <w:szCs w:val="22"/>
          <w:lang w:val="es-ES" w:eastAsia="es-ES"/>
        </w:rPr>
        <w:t>Parajeles</w:t>
      </w:r>
      <w:proofErr w:type="spellEnd"/>
      <w:r>
        <w:rPr>
          <w:i/>
          <w:iCs/>
          <w:spacing w:val="-1"/>
          <w:sz w:val="22"/>
          <w:szCs w:val="22"/>
          <w:lang w:val="es-ES" w:eastAsia="es-ES"/>
        </w:rPr>
        <w:t xml:space="preserve"> </w:t>
      </w:r>
      <w:proofErr w:type="spellStart"/>
      <w:r>
        <w:rPr>
          <w:i/>
          <w:iCs/>
          <w:spacing w:val="-1"/>
          <w:sz w:val="22"/>
          <w:szCs w:val="22"/>
          <w:lang w:val="es-ES" w:eastAsia="es-ES"/>
        </w:rPr>
        <w:t>Vindas</w:t>
      </w:r>
      <w:proofErr w:type="spellEnd"/>
      <w:r>
        <w:rPr>
          <w:i/>
          <w:iCs/>
          <w:spacing w:val="-1"/>
          <w:sz w:val="22"/>
          <w:szCs w:val="22"/>
          <w:lang w:val="es-ES" w:eastAsia="es-ES"/>
        </w:rPr>
        <w:t xml:space="preserve"> Gerardo. Curso de </w:t>
      </w:r>
      <w:r>
        <w:rPr>
          <w:i/>
          <w:iCs/>
          <w:spacing w:val="-1"/>
          <w:sz w:val="22"/>
          <w:szCs w:val="22"/>
          <w:lang w:val="es-ES" w:eastAsia="es-ES"/>
        </w:rPr>
        <w:t xml:space="preserve">Derecho Procesal Civil con Jurisprudencia. </w:t>
      </w:r>
      <w:r w:rsidRPr="00046F6F">
        <w:rPr>
          <w:bCs/>
          <w:i/>
          <w:iCs/>
          <w:spacing w:val="-1"/>
          <w:sz w:val="22"/>
          <w:szCs w:val="22"/>
          <w:lang w:val="es-ES" w:eastAsia="es-ES"/>
        </w:rPr>
        <w:t>Volumen 1,</w:t>
      </w:r>
      <w:r>
        <w:rPr>
          <w:b/>
          <w:bCs/>
          <w:i/>
          <w:iCs/>
          <w:spacing w:val="-1"/>
          <w:sz w:val="22"/>
          <w:szCs w:val="22"/>
          <w:lang w:val="es-ES" w:eastAsia="es-ES"/>
        </w:rPr>
        <w:t xml:space="preserve"> </w:t>
      </w:r>
      <w:r>
        <w:rPr>
          <w:i/>
          <w:iCs/>
          <w:spacing w:val="-1"/>
          <w:sz w:val="22"/>
          <w:szCs w:val="22"/>
          <w:lang w:val="es-ES" w:eastAsia="es-ES"/>
        </w:rPr>
        <w:t xml:space="preserve">cuarta edición, San José, Investigaciones Jurídicas S.A., 2002, </w:t>
      </w:r>
      <w:r>
        <w:rPr>
          <w:spacing w:val="-1"/>
          <w:sz w:val="22"/>
          <w:szCs w:val="22"/>
          <w:lang w:val="es-ES" w:eastAsia="es-ES"/>
        </w:rPr>
        <w:t xml:space="preserve">página 167). </w:t>
      </w:r>
      <w:r w:rsidRPr="00046F6F">
        <w:rPr>
          <w:bCs/>
          <w:spacing w:val="-1"/>
          <w:sz w:val="22"/>
          <w:szCs w:val="22"/>
          <w:lang w:val="es-ES" w:eastAsia="es-ES"/>
        </w:rPr>
        <w:t xml:space="preserve">En </w:t>
      </w:r>
      <w:r w:rsidRPr="00046F6F">
        <w:rPr>
          <w:spacing w:val="-1"/>
          <w:sz w:val="22"/>
          <w:szCs w:val="22"/>
          <w:lang w:val="es-ES" w:eastAsia="es-ES"/>
        </w:rPr>
        <w:t>igual</w:t>
      </w:r>
      <w:r>
        <w:rPr>
          <w:spacing w:val="-1"/>
          <w:sz w:val="22"/>
          <w:szCs w:val="22"/>
          <w:lang w:val="es-ES" w:eastAsia="es-ES"/>
        </w:rPr>
        <w:t xml:space="preserve"> sentido se pronuncia el profesor universitario</w:t>
      </w:r>
    </w:p>
    <w:p w:rsidR="00000000" w:rsidRDefault="00890BC6">
      <w:pPr>
        <w:widowControl/>
        <w:rPr>
          <w:sz w:val="24"/>
          <w:szCs w:val="24"/>
        </w:rPr>
        <w:sectPr w:rsidR="00000000">
          <w:pgSz w:w="12134" w:h="15840"/>
          <w:pgMar w:top="2020" w:right="1874" w:bottom="1740" w:left="1980" w:header="720" w:footer="720" w:gutter="0"/>
          <w:cols w:space="720"/>
          <w:noEndnote/>
        </w:sectPr>
      </w:pPr>
    </w:p>
    <w:p w:rsidR="00000000" w:rsidRDefault="00890BC6">
      <w:pPr>
        <w:kinsoku w:val="0"/>
        <w:overflowPunct w:val="0"/>
        <w:autoSpaceDE/>
        <w:autoSpaceDN/>
        <w:adjustRightInd/>
        <w:spacing w:line="286" w:lineRule="exact"/>
        <w:ind w:left="72" w:right="576"/>
        <w:jc w:val="both"/>
        <w:textAlignment w:val="baseline"/>
        <w:rPr>
          <w:b/>
          <w:bCs/>
          <w:i/>
          <w:iCs/>
          <w:sz w:val="21"/>
          <w:szCs w:val="21"/>
          <w:lang w:val="es-ES" w:eastAsia="es-ES"/>
        </w:rPr>
      </w:pPr>
      <w:r>
        <w:rPr>
          <w:sz w:val="21"/>
          <w:szCs w:val="21"/>
          <w:lang w:val="es-ES" w:eastAsia="es-ES"/>
        </w:rPr>
        <w:t xml:space="preserve">Sergio </w:t>
      </w:r>
      <w:proofErr w:type="spellStart"/>
      <w:r>
        <w:rPr>
          <w:sz w:val="21"/>
          <w:szCs w:val="21"/>
          <w:lang w:val="es-ES" w:eastAsia="es-ES"/>
        </w:rPr>
        <w:t>Artavia</w:t>
      </w:r>
      <w:proofErr w:type="spellEnd"/>
      <w:r>
        <w:rPr>
          <w:sz w:val="21"/>
          <w:szCs w:val="21"/>
          <w:lang w:val="es-ES" w:eastAsia="es-ES"/>
        </w:rPr>
        <w:t xml:space="preserve"> Barrantes: </w:t>
      </w:r>
      <w:r>
        <w:rPr>
          <w:i/>
          <w:iCs/>
          <w:sz w:val="21"/>
          <w:szCs w:val="21"/>
          <w:lang w:val="es-ES" w:eastAsia="es-ES"/>
        </w:rPr>
        <w:t>"La formulación de un in</w:t>
      </w:r>
      <w:r>
        <w:rPr>
          <w:i/>
          <w:iCs/>
          <w:sz w:val="21"/>
          <w:szCs w:val="21"/>
          <w:lang w:val="es-ES" w:eastAsia="es-ES"/>
        </w:rPr>
        <w:t xml:space="preserve">cidente- en el mismo proceso-, con las formalidades previstas en el 483 CPC, constituye el único mecanismo permitido para obtener la declaratoria de nulidad de cualquier acto producido en un proceso, </w:t>
      </w:r>
      <w:r>
        <w:rPr>
          <w:b/>
          <w:bCs/>
          <w:i/>
          <w:iCs/>
          <w:sz w:val="21"/>
          <w:szCs w:val="21"/>
          <w:lang w:val="es-ES" w:eastAsia="es-ES"/>
        </w:rPr>
        <w:t xml:space="preserve">salvo que la nulidad se refiera </w:t>
      </w:r>
      <w:r>
        <w:rPr>
          <w:b/>
          <w:bCs/>
          <w:sz w:val="21"/>
          <w:szCs w:val="21"/>
          <w:lang w:val="es-ES" w:eastAsia="es-ES"/>
        </w:rPr>
        <w:t xml:space="preserve">a </w:t>
      </w:r>
      <w:r>
        <w:rPr>
          <w:b/>
          <w:bCs/>
          <w:i/>
          <w:iCs/>
          <w:sz w:val="21"/>
          <w:szCs w:val="21"/>
          <w:lang w:val="es-ES" w:eastAsia="es-ES"/>
        </w:rPr>
        <w:t>una resolución. En tal</w:t>
      </w:r>
      <w:r>
        <w:rPr>
          <w:b/>
          <w:bCs/>
          <w:i/>
          <w:iCs/>
          <w:sz w:val="21"/>
          <w:szCs w:val="21"/>
          <w:lang w:val="es-ES" w:eastAsia="es-ES"/>
        </w:rPr>
        <w:t xml:space="preserve"> caso, deberá alegarse conjuntamente con el recurso de apelación que proceda contra ella...debemos concluir que no existe en nuestro ordenamiento un recurso autónomo de nulidad, sino que la nulidad de resoluciones debe alegarse en el recurso que quepa cont</w:t>
      </w:r>
      <w:r>
        <w:rPr>
          <w:b/>
          <w:bCs/>
          <w:i/>
          <w:iCs/>
          <w:sz w:val="21"/>
          <w:szCs w:val="21"/>
          <w:lang w:val="es-ES" w:eastAsia="es-ES"/>
        </w:rPr>
        <w:t xml:space="preserve">ra la resolución que se pretende anular. </w:t>
      </w:r>
      <w:r>
        <w:rPr>
          <w:i/>
          <w:iCs/>
          <w:sz w:val="21"/>
          <w:szCs w:val="21"/>
          <w:lang w:val="es-ES" w:eastAsia="es-ES"/>
        </w:rPr>
        <w:t xml:space="preserve">Salvo el recurso de nulidad de los laudos arbitrales, el medio de impugnación de las resoluciones son los recursos " </w:t>
      </w:r>
      <w:r>
        <w:rPr>
          <w:sz w:val="21"/>
          <w:szCs w:val="21"/>
          <w:lang w:val="es-ES" w:eastAsia="es-ES"/>
        </w:rPr>
        <w:t xml:space="preserve">(el destacado es del redactor, ver </w:t>
      </w:r>
      <w:proofErr w:type="spellStart"/>
      <w:r>
        <w:rPr>
          <w:sz w:val="21"/>
          <w:szCs w:val="21"/>
          <w:lang w:val="es-ES" w:eastAsia="es-ES"/>
        </w:rPr>
        <w:t>Artavia</w:t>
      </w:r>
      <w:proofErr w:type="spellEnd"/>
      <w:r>
        <w:rPr>
          <w:sz w:val="21"/>
          <w:szCs w:val="21"/>
          <w:lang w:val="es-ES" w:eastAsia="es-ES"/>
        </w:rPr>
        <w:t xml:space="preserve"> Barrantes, Sergio. Derecho Procesal Civil, tomo II, ter</w:t>
      </w:r>
      <w:r>
        <w:rPr>
          <w:sz w:val="21"/>
          <w:szCs w:val="21"/>
          <w:lang w:val="es-ES" w:eastAsia="es-ES"/>
        </w:rPr>
        <w:t xml:space="preserve">cera edición, San José, Editorial Jurídica </w:t>
      </w:r>
      <w:proofErr w:type="spellStart"/>
      <w:r>
        <w:rPr>
          <w:sz w:val="21"/>
          <w:szCs w:val="21"/>
          <w:lang w:val="es-ES" w:eastAsia="es-ES"/>
        </w:rPr>
        <w:t>Dupas</w:t>
      </w:r>
      <w:proofErr w:type="spellEnd"/>
      <w:r>
        <w:rPr>
          <w:sz w:val="21"/>
          <w:szCs w:val="21"/>
          <w:lang w:val="es-ES" w:eastAsia="es-ES"/>
        </w:rPr>
        <w:t xml:space="preserve">, 2003, páginas 133 y 135). </w:t>
      </w:r>
      <w:r>
        <w:rPr>
          <w:b/>
          <w:bCs/>
          <w:i/>
          <w:iCs/>
          <w:sz w:val="21"/>
          <w:szCs w:val="21"/>
          <w:lang w:val="es-ES" w:eastAsia="es-ES"/>
        </w:rPr>
        <w:t>(Ver Res. 2008-01287 del Tribunal de Familia)</w:t>
      </w:r>
    </w:p>
    <w:p w:rsidR="00000000" w:rsidRDefault="00890BC6">
      <w:pPr>
        <w:kinsoku w:val="0"/>
        <w:overflowPunct w:val="0"/>
        <w:autoSpaceDE/>
        <w:autoSpaceDN/>
        <w:adjustRightInd/>
        <w:spacing w:before="269" w:line="300" w:lineRule="exact"/>
        <w:ind w:left="72" w:right="576"/>
        <w:jc w:val="both"/>
        <w:textAlignment w:val="baseline"/>
        <w:rPr>
          <w:sz w:val="21"/>
          <w:szCs w:val="21"/>
          <w:lang w:val="es-ES" w:eastAsia="es-ES"/>
        </w:rPr>
      </w:pPr>
      <w:r>
        <w:rPr>
          <w:sz w:val="21"/>
          <w:szCs w:val="21"/>
          <w:lang w:val="es-ES" w:eastAsia="es-ES"/>
        </w:rPr>
        <w:t>En sentido conteste, la Resolución No. 2006-00266 de las 14.30 horas del 20 de Noviembre del 2006, del Tribunal Segundo Civil, expresa</w:t>
      </w:r>
      <w:r>
        <w:rPr>
          <w:sz w:val="21"/>
          <w:szCs w:val="21"/>
          <w:lang w:val="es-ES" w:eastAsia="es-ES"/>
        </w:rPr>
        <w:t>:</w:t>
      </w:r>
    </w:p>
    <w:p w:rsidR="00000000" w:rsidRDefault="00890BC6">
      <w:pPr>
        <w:kinsoku w:val="0"/>
        <w:overflowPunct w:val="0"/>
        <w:autoSpaceDE/>
        <w:autoSpaceDN/>
        <w:adjustRightInd/>
        <w:spacing w:before="291" w:line="254" w:lineRule="exact"/>
        <w:ind w:left="576" w:right="1080"/>
        <w:jc w:val="both"/>
        <w:textAlignment w:val="baseline"/>
        <w:rPr>
          <w:sz w:val="24"/>
          <w:szCs w:val="24"/>
          <w:lang w:eastAsia="en-US"/>
        </w:rPr>
      </w:pPr>
      <w:r>
        <w:rPr>
          <w:b/>
          <w:bCs/>
          <w:spacing w:val="3"/>
          <w:sz w:val="21"/>
          <w:szCs w:val="21"/>
          <w:lang w:val="es-ES" w:eastAsia="es-ES"/>
        </w:rPr>
        <w:t xml:space="preserve">"II.- </w:t>
      </w:r>
      <w:r>
        <w:rPr>
          <w:spacing w:val="3"/>
          <w:sz w:val="21"/>
          <w:szCs w:val="21"/>
          <w:lang w:val="es-ES" w:eastAsia="es-ES"/>
        </w:rPr>
        <w:t>El incidente planteado deberá ser rechazado de plano por cuanto en nuestro ordenamiento jurídico no existe el incidente autónomo de nulidad de resoluciones, sino que la misma debe reclamarse concomitantemente con los recursos que quepan contra ella</w:t>
      </w:r>
      <w:r>
        <w:rPr>
          <w:spacing w:val="3"/>
          <w:sz w:val="21"/>
          <w:szCs w:val="21"/>
          <w:lang w:val="es-ES" w:eastAsia="es-ES"/>
        </w:rPr>
        <w:t>s (doctrina del numeral 199 párrafo segundo del Código Procesal Civil).</w:t>
      </w:r>
      <w:r>
        <w:rPr>
          <w:spacing w:val="3"/>
          <w:sz w:val="21"/>
          <w:szCs w:val="21"/>
          <w:lang w:val="es-ES" w:eastAsia="es-ES"/>
        </w:rPr>
        <w:noBreakHyphen/>
      </w:r>
    </w:p>
    <w:p w:rsidR="00000000" w:rsidRDefault="00890BC6">
      <w:pPr>
        <w:kinsoku w:val="0"/>
        <w:overflowPunct w:val="0"/>
        <w:autoSpaceDE/>
        <w:autoSpaceDN/>
        <w:adjustRightInd/>
        <w:spacing w:before="257" w:line="252" w:lineRule="exact"/>
        <w:ind w:left="576" w:right="1080"/>
        <w:jc w:val="both"/>
        <w:textAlignment w:val="baseline"/>
        <w:rPr>
          <w:i/>
          <w:iCs/>
          <w:sz w:val="21"/>
          <w:szCs w:val="21"/>
          <w:lang w:val="es-ES" w:eastAsia="es-ES"/>
        </w:rPr>
      </w:pPr>
      <w:r>
        <w:rPr>
          <w:sz w:val="21"/>
          <w:szCs w:val="21"/>
          <w:lang w:val="es-ES" w:eastAsia="es-ES"/>
        </w:rPr>
        <w:t xml:space="preserve">Ese es el criterio imperante en nuestra jurisprudencia y como ilustración caben mencionar, entre otros, el voto de este mismo tribunal y sección número 397 de 9 horas </w:t>
      </w:r>
      <w:r>
        <w:rPr>
          <w:sz w:val="21"/>
          <w:szCs w:val="21"/>
          <w:lang w:val="es-ES" w:eastAsia="es-ES"/>
        </w:rPr>
        <w:t xml:space="preserve">del 23 de octubre de 2001, en el que se cita a su vez el número 533 de las 15:15 horas del 10 de octubre de 1991, que en lo que interesa dice:"... </w:t>
      </w:r>
      <w:r>
        <w:rPr>
          <w:i/>
          <w:iCs/>
          <w:sz w:val="21"/>
          <w:szCs w:val="21"/>
          <w:lang w:val="es-ES" w:eastAsia="es-ES"/>
        </w:rPr>
        <w:t>En forma reiterada la jurisprudencia ha señalado que el incidente de nulidad de resoluciones planteado en for</w:t>
      </w:r>
      <w:r>
        <w:rPr>
          <w:i/>
          <w:iCs/>
          <w:sz w:val="21"/>
          <w:szCs w:val="21"/>
          <w:lang w:val="es-ES" w:eastAsia="es-ES"/>
        </w:rPr>
        <w:t>ma autónoma no tiene cabida en nuestro ordenamiento procesal, ya que la nulidad de una resolución únicamente puede alegarse concomitantemente con el recurso respectivo. Lo anterior en virtud del principio de seguridad jurídica, pues de admitirse la vía inc</w:t>
      </w:r>
      <w:r>
        <w:rPr>
          <w:i/>
          <w:iCs/>
          <w:sz w:val="21"/>
          <w:szCs w:val="21"/>
          <w:lang w:val="es-ES" w:eastAsia="es-ES"/>
        </w:rPr>
        <w:t>idental como remedio para combatir una resolución firme, se estaría entronizando el caos y el desorden dentro de un proceso...".</w:t>
      </w:r>
    </w:p>
    <w:p w:rsidR="00000000" w:rsidRDefault="00890BC6">
      <w:pPr>
        <w:kinsoku w:val="0"/>
        <w:overflowPunct w:val="0"/>
        <w:autoSpaceDE/>
        <w:autoSpaceDN/>
        <w:adjustRightInd/>
        <w:spacing w:before="546" w:line="289" w:lineRule="exact"/>
        <w:ind w:left="72" w:right="576"/>
        <w:jc w:val="both"/>
        <w:textAlignment w:val="baseline"/>
        <w:rPr>
          <w:i/>
          <w:iCs/>
          <w:spacing w:val="3"/>
          <w:sz w:val="21"/>
          <w:szCs w:val="21"/>
          <w:lang w:val="es-ES" w:eastAsia="es-ES"/>
        </w:rPr>
      </w:pPr>
      <w:r>
        <w:rPr>
          <w:spacing w:val="3"/>
          <w:sz w:val="21"/>
          <w:szCs w:val="21"/>
          <w:lang w:val="es-ES" w:eastAsia="es-ES"/>
        </w:rPr>
        <w:t>Cabe acotar que en cuanto al Caso de marras al Recurrente No le Asiste Legitimació</w:t>
      </w:r>
      <w:r>
        <w:rPr>
          <w:spacing w:val="3"/>
          <w:sz w:val="21"/>
          <w:szCs w:val="21"/>
          <w:lang w:val="es-ES" w:eastAsia="es-ES"/>
        </w:rPr>
        <w:t xml:space="preserve">n debida, toda vez que no presenta un Puntaje Final de Participación en la Licitación de su Interés, tal que determine su Mejor Derecho y/o su Posibilidad Real como </w:t>
      </w:r>
      <w:proofErr w:type="spellStart"/>
      <w:r>
        <w:rPr>
          <w:spacing w:val="3"/>
          <w:sz w:val="21"/>
          <w:szCs w:val="21"/>
          <w:lang w:val="es-ES" w:eastAsia="es-ES"/>
        </w:rPr>
        <w:t>Readjudicatario</w:t>
      </w:r>
      <w:proofErr w:type="spellEnd"/>
      <w:r>
        <w:rPr>
          <w:spacing w:val="3"/>
          <w:sz w:val="21"/>
          <w:szCs w:val="21"/>
          <w:lang w:val="es-ES" w:eastAsia="es-ES"/>
        </w:rPr>
        <w:t xml:space="preserve"> </w:t>
      </w:r>
      <w:r>
        <w:rPr>
          <w:i/>
          <w:iCs/>
          <w:spacing w:val="3"/>
          <w:sz w:val="21"/>
          <w:szCs w:val="21"/>
          <w:lang w:val="es-ES" w:eastAsia="es-ES"/>
        </w:rPr>
        <w:t xml:space="preserve">(Artículos 275 de la </w:t>
      </w:r>
      <w:r>
        <w:rPr>
          <w:b/>
          <w:bCs/>
          <w:i/>
          <w:iCs/>
          <w:spacing w:val="3"/>
          <w:sz w:val="21"/>
          <w:szCs w:val="21"/>
          <w:lang w:val="es-ES" w:eastAsia="es-ES"/>
        </w:rPr>
        <w:t xml:space="preserve">LGAP, </w:t>
      </w:r>
      <w:r>
        <w:rPr>
          <w:i/>
          <w:iCs/>
          <w:spacing w:val="3"/>
          <w:sz w:val="21"/>
          <w:szCs w:val="21"/>
          <w:lang w:val="es-ES" w:eastAsia="es-ES"/>
        </w:rPr>
        <w:t>176 de la LCA y 180, siguientes y concordantes d</w:t>
      </w:r>
      <w:r>
        <w:rPr>
          <w:i/>
          <w:iCs/>
          <w:spacing w:val="3"/>
          <w:sz w:val="21"/>
          <w:szCs w:val="21"/>
          <w:lang w:val="es-ES" w:eastAsia="es-ES"/>
        </w:rPr>
        <w:t>e su Reglamento).</w:t>
      </w:r>
    </w:p>
    <w:p w:rsidR="00000000" w:rsidRDefault="00890BC6">
      <w:pPr>
        <w:kinsoku w:val="0"/>
        <w:overflowPunct w:val="0"/>
        <w:autoSpaceDE/>
        <w:autoSpaceDN/>
        <w:adjustRightInd/>
        <w:spacing w:before="576" w:line="297" w:lineRule="exact"/>
        <w:ind w:left="72" w:right="576"/>
        <w:jc w:val="both"/>
        <w:textAlignment w:val="baseline"/>
        <w:rPr>
          <w:sz w:val="21"/>
          <w:szCs w:val="21"/>
          <w:lang w:val="es-ES" w:eastAsia="es-ES"/>
        </w:rPr>
      </w:pPr>
      <w:r>
        <w:rPr>
          <w:sz w:val="21"/>
          <w:szCs w:val="21"/>
          <w:lang w:val="es-ES" w:eastAsia="es-ES"/>
        </w:rPr>
        <w:t xml:space="preserve">Finalmente, ante la Petición/Sugerencia Infundada que presenta el Accionante en cuanto a que su Asunto debería ser resuelto por "otro Tribunal" </w:t>
      </w:r>
      <w:r>
        <w:rPr>
          <w:b/>
          <w:bCs/>
          <w:i/>
          <w:iCs/>
          <w:sz w:val="21"/>
          <w:szCs w:val="21"/>
          <w:lang w:val="es-ES" w:eastAsia="es-ES"/>
        </w:rPr>
        <w:t xml:space="preserve">(Integración), </w:t>
      </w:r>
      <w:r>
        <w:rPr>
          <w:sz w:val="21"/>
          <w:szCs w:val="21"/>
          <w:lang w:val="es-ES" w:eastAsia="es-ES"/>
        </w:rPr>
        <w:t>se determina que la</w:t>
      </w:r>
    </w:p>
    <w:p w:rsidR="00000000" w:rsidRDefault="00890BC6">
      <w:pPr>
        <w:widowControl/>
        <w:rPr>
          <w:sz w:val="24"/>
          <w:szCs w:val="24"/>
        </w:rPr>
        <w:sectPr w:rsidR="00000000">
          <w:pgSz w:w="12134" w:h="15840"/>
          <w:pgMar w:top="2000" w:right="1464" w:bottom="220" w:left="2030" w:header="720" w:footer="720" w:gutter="0"/>
          <w:cols w:space="720"/>
          <w:noEndnote/>
        </w:sectPr>
      </w:pPr>
    </w:p>
    <w:p w:rsidR="00000000" w:rsidRDefault="00890BC6">
      <w:pPr>
        <w:kinsoku w:val="0"/>
        <w:overflowPunct w:val="0"/>
        <w:autoSpaceDE/>
        <w:autoSpaceDN/>
        <w:adjustRightInd/>
        <w:spacing w:line="290" w:lineRule="exact"/>
        <w:ind w:left="144" w:right="432"/>
        <w:jc w:val="both"/>
        <w:textAlignment w:val="baseline"/>
        <w:rPr>
          <w:sz w:val="22"/>
          <w:szCs w:val="22"/>
          <w:lang w:val="es-ES" w:eastAsia="es-ES"/>
        </w:rPr>
      </w:pPr>
      <w:proofErr w:type="gramStart"/>
      <w:r>
        <w:rPr>
          <w:sz w:val="22"/>
          <w:szCs w:val="22"/>
          <w:lang w:val="es-ES" w:eastAsia="es-ES"/>
        </w:rPr>
        <w:t>misma</w:t>
      </w:r>
      <w:proofErr w:type="gramEnd"/>
      <w:r>
        <w:rPr>
          <w:sz w:val="22"/>
          <w:szCs w:val="22"/>
          <w:lang w:val="es-ES" w:eastAsia="es-ES"/>
        </w:rPr>
        <w:t xml:space="preserve"> no Presenta Asidero y/o Razón alguna, ni Fundamento. No determinándose como Procedente. Siendo este ó</w:t>
      </w:r>
      <w:r>
        <w:rPr>
          <w:sz w:val="22"/>
          <w:szCs w:val="22"/>
          <w:lang w:val="es-ES" w:eastAsia="es-ES"/>
        </w:rPr>
        <w:t>rgano el Plenamente Competente para conocer de las Acciones Procedentes o No contra sus Actuaciones (en ejemplificación y análogamente ver Dictamen C-005-2015 de la PGR del 2 de febrero del presente año).</w:t>
      </w:r>
    </w:p>
    <w:p w:rsidR="00000000" w:rsidRPr="00046F6F" w:rsidRDefault="00890BC6">
      <w:pPr>
        <w:kinsoku w:val="0"/>
        <w:overflowPunct w:val="0"/>
        <w:autoSpaceDE/>
        <w:autoSpaceDN/>
        <w:adjustRightInd/>
        <w:spacing w:before="328" w:line="246" w:lineRule="exact"/>
        <w:jc w:val="center"/>
        <w:textAlignment w:val="baseline"/>
        <w:rPr>
          <w:b/>
          <w:i/>
          <w:iCs/>
          <w:sz w:val="22"/>
          <w:szCs w:val="22"/>
          <w:lang w:val="es-ES" w:eastAsia="es-ES"/>
        </w:rPr>
      </w:pPr>
      <w:r w:rsidRPr="00046F6F">
        <w:rPr>
          <w:b/>
          <w:i/>
          <w:iCs/>
          <w:sz w:val="22"/>
          <w:szCs w:val="22"/>
          <w:lang w:val="es-ES" w:eastAsia="es-ES"/>
        </w:rPr>
        <w:t>Por Tanto</w:t>
      </w:r>
    </w:p>
    <w:p w:rsidR="00000000" w:rsidRDefault="00890BC6">
      <w:pPr>
        <w:kinsoku w:val="0"/>
        <w:overflowPunct w:val="0"/>
        <w:autoSpaceDE/>
        <w:autoSpaceDN/>
        <w:adjustRightInd/>
        <w:spacing w:before="275" w:line="291" w:lineRule="exact"/>
        <w:ind w:left="144" w:right="432"/>
        <w:jc w:val="both"/>
        <w:textAlignment w:val="baseline"/>
        <w:rPr>
          <w:b/>
          <w:bCs/>
          <w:sz w:val="22"/>
          <w:szCs w:val="22"/>
          <w:lang w:val="es-ES" w:eastAsia="es-ES"/>
        </w:rPr>
      </w:pPr>
      <w:r>
        <w:rPr>
          <w:sz w:val="22"/>
          <w:szCs w:val="22"/>
          <w:lang w:val="es-ES" w:eastAsia="es-ES"/>
        </w:rPr>
        <w:t xml:space="preserve">Conforme todo lo acotado </w:t>
      </w:r>
      <w:r>
        <w:rPr>
          <w:i/>
          <w:iCs/>
          <w:sz w:val="22"/>
          <w:szCs w:val="22"/>
          <w:lang w:val="es-ES" w:eastAsia="es-ES"/>
        </w:rPr>
        <w:t xml:space="preserve">supra, </w:t>
      </w:r>
      <w:r>
        <w:rPr>
          <w:sz w:val="22"/>
          <w:szCs w:val="22"/>
          <w:lang w:val="es-ES" w:eastAsia="es-ES"/>
        </w:rPr>
        <w:t>se RECHAZ</w:t>
      </w:r>
      <w:r>
        <w:rPr>
          <w:sz w:val="22"/>
          <w:szCs w:val="22"/>
          <w:lang w:val="es-ES" w:eastAsia="es-ES"/>
        </w:rPr>
        <w:t xml:space="preserve">A por Improcedente y por Inaplicable ante esta Instancia, el </w:t>
      </w:r>
      <w:r>
        <w:rPr>
          <w:b/>
          <w:bCs/>
          <w:sz w:val="22"/>
          <w:szCs w:val="22"/>
          <w:lang w:val="es-ES" w:eastAsia="es-ES"/>
        </w:rPr>
        <w:t xml:space="preserve">INCIDENTE DE NULIDAD </w:t>
      </w:r>
      <w:r>
        <w:rPr>
          <w:i/>
          <w:iCs/>
          <w:sz w:val="22"/>
          <w:szCs w:val="22"/>
          <w:lang w:val="es-ES" w:eastAsia="es-ES"/>
        </w:rPr>
        <w:t xml:space="preserve">(Autónomo) </w:t>
      </w:r>
      <w:r>
        <w:rPr>
          <w:sz w:val="22"/>
          <w:szCs w:val="22"/>
          <w:lang w:val="es-ES" w:eastAsia="es-ES"/>
        </w:rPr>
        <w:t xml:space="preserve">presentado por el Señor </w:t>
      </w:r>
      <w:r>
        <w:rPr>
          <w:b/>
          <w:bCs/>
          <w:sz w:val="22"/>
          <w:szCs w:val="22"/>
          <w:lang w:val="es-ES" w:eastAsia="es-ES"/>
        </w:rPr>
        <w:t>R</w:t>
      </w:r>
      <w:r w:rsidR="00046F6F">
        <w:rPr>
          <w:b/>
          <w:bCs/>
          <w:sz w:val="22"/>
          <w:szCs w:val="22"/>
          <w:lang w:val="es-ES" w:eastAsia="es-ES"/>
        </w:rPr>
        <w:t>.S.A.</w:t>
      </w:r>
      <w:r>
        <w:rPr>
          <w:b/>
          <w:bCs/>
          <w:sz w:val="22"/>
          <w:szCs w:val="22"/>
          <w:lang w:val="es-ES" w:eastAsia="es-ES"/>
        </w:rPr>
        <w:t xml:space="preserve">, </w:t>
      </w:r>
      <w:r>
        <w:rPr>
          <w:sz w:val="22"/>
          <w:szCs w:val="22"/>
          <w:lang w:val="es-ES" w:eastAsia="es-ES"/>
        </w:rPr>
        <w:t>de calidades conocidas, portador de la cédu</w:t>
      </w:r>
      <w:r w:rsidR="00046F6F">
        <w:rPr>
          <w:sz w:val="22"/>
          <w:szCs w:val="22"/>
          <w:lang w:val="es-ES" w:eastAsia="es-ES"/>
        </w:rPr>
        <w:t>la de identidad número …</w:t>
      </w:r>
      <w:r>
        <w:rPr>
          <w:sz w:val="22"/>
          <w:szCs w:val="22"/>
          <w:lang w:val="es-ES" w:eastAsia="es-ES"/>
        </w:rPr>
        <w:t>, representado por su Apoderado Especial Admi</w:t>
      </w:r>
      <w:r>
        <w:rPr>
          <w:sz w:val="22"/>
          <w:szCs w:val="22"/>
          <w:lang w:val="es-ES" w:eastAsia="es-ES"/>
        </w:rPr>
        <w:t>nistrativo, L</w:t>
      </w:r>
      <w:r w:rsidR="00046F6F">
        <w:rPr>
          <w:sz w:val="22"/>
          <w:szCs w:val="22"/>
          <w:lang w:val="es-ES" w:eastAsia="es-ES"/>
        </w:rPr>
        <w:t>.J.F.P.</w:t>
      </w:r>
      <w:r>
        <w:rPr>
          <w:sz w:val="22"/>
          <w:szCs w:val="22"/>
          <w:lang w:val="es-ES" w:eastAsia="es-ES"/>
        </w:rPr>
        <w:t xml:space="preserve">, contra la </w:t>
      </w:r>
      <w:r>
        <w:rPr>
          <w:b/>
          <w:bCs/>
          <w:sz w:val="22"/>
          <w:szCs w:val="22"/>
          <w:lang w:val="es-ES" w:eastAsia="es-ES"/>
        </w:rPr>
        <w:t>RESOLUCIÓN No. TAT-2434-2015 DE ESTE TRIBUNAL, DE LAS 10:16 HORAS DEL 29 DE ENERO DEL 2015.</w:t>
      </w:r>
    </w:p>
    <w:p w:rsidR="00000000" w:rsidRDefault="00890BC6">
      <w:pPr>
        <w:kinsoku w:val="0"/>
        <w:overflowPunct w:val="0"/>
        <w:autoSpaceDE/>
        <w:autoSpaceDN/>
        <w:adjustRightInd/>
        <w:spacing w:before="345" w:line="240" w:lineRule="exact"/>
        <w:ind w:left="144"/>
        <w:textAlignment w:val="baseline"/>
        <w:rPr>
          <w:b/>
          <w:bCs/>
          <w:spacing w:val="-2"/>
          <w:sz w:val="22"/>
          <w:szCs w:val="22"/>
          <w:lang w:val="es-ES" w:eastAsia="es-ES"/>
        </w:rPr>
      </w:pPr>
      <w:r>
        <w:rPr>
          <w:b/>
          <w:bCs/>
          <w:spacing w:val="-2"/>
          <w:sz w:val="22"/>
          <w:szCs w:val="22"/>
          <w:lang w:val="es-ES" w:eastAsia="es-ES"/>
        </w:rPr>
        <w:t>NOTIFÍQUESE</w:t>
      </w:r>
    </w:p>
    <w:p w:rsidR="00046F6F" w:rsidRDefault="00046F6F">
      <w:pPr>
        <w:kinsoku w:val="0"/>
        <w:overflowPunct w:val="0"/>
        <w:autoSpaceDE/>
        <w:autoSpaceDN/>
        <w:adjustRightInd/>
        <w:spacing w:before="345" w:line="240" w:lineRule="exact"/>
        <w:ind w:left="144"/>
        <w:textAlignment w:val="baseline"/>
        <w:rPr>
          <w:b/>
          <w:bCs/>
          <w:spacing w:val="-2"/>
          <w:sz w:val="22"/>
          <w:szCs w:val="22"/>
          <w:lang w:val="es-ES" w:eastAsia="es-ES"/>
        </w:rPr>
      </w:pPr>
    </w:p>
    <w:p w:rsidR="00046F6F" w:rsidRPr="00CF40A0" w:rsidRDefault="00046F6F" w:rsidP="00046F6F">
      <w:pPr>
        <w:kinsoku w:val="0"/>
        <w:overflowPunct w:val="0"/>
        <w:autoSpaceDE/>
        <w:autoSpaceDN/>
        <w:adjustRightInd/>
        <w:spacing w:before="329" w:after="374" w:line="320" w:lineRule="exact"/>
        <w:ind w:left="14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046F6F" w:rsidRDefault="00046F6F" w:rsidP="00046F6F">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r>
        <w:rPr>
          <w:rStyle w:val="CharacterStyle1"/>
          <w:b/>
          <w:i/>
          <w:iCs/>
          <w:spacing w:val="5"/>
          <w:sz w:val="26"/>
          <w:szCs w:val="26"/>
        </w:rPr>
        <w:t xml:space="preserve">Presidente </w:t>
      </w:r>
    </w:p>
    <w:p w:rsidR="00046F6F" w:rsidRDefault="00046F6F" w:rsidP="00046F6F">
      <w:pPr>
        <w:tabs>
          <w:tab w:val="left" w:pos="720"/>
        </w:tabs>
        <w:kinsoku w:val="0"/>
        <w:overflowPunct w:val="0"/>
        <w:autoSpaceDE/>
        <w:autoSpaceDN/>
        <w:adjustRightInd/>
        <w:spacing w:line="523" w:lineRule="exact"/>
        <w:jc w:val="center"/>
        <w:textAlignment w:val="baseline"/>
        <w:rPr>
          <w:b/>
          <w:bCs/>
          <w:sz w:val="25"/>
          <w:szCs w:val="25"/>
          <w:lang w:val="es-ES" w:eastAsia="es-ES"/>
        </w:rPr>
      </w:pPr>
      <w:r>
        <w:rPr>
          <w:rStyle w:val="CharacterStyle1"/>
          <w:i/>
          <w:iCs/>
          <w:spacing w:val="5"/>
          <w:sz w:val="26"/>
          <w:szCs w:val="26"/>
        </w:rPr>
        <w:tab/>
        <w:t xml:space="preserve">  </w:t>
      </w:r>
      <w:proofErr w:type="spellStart"/>
      <w:proofErr w:type="gram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w:t>
      </w:r>
      <w:proofErr w:type="gramEnd"/>
      <w:r w:rsidRPr="00724304">
        <w:rPr>
          <w:rStyle w:val="CharacterStyle1"/>
          <w:i/>
          <w:iCs/>
          <w:spacing w:val="5"/>
          <w:sz w:val="26"/>
          <w:szCs w:val="26"/>
        </w:rPr>
        <w:t xml:space="preserve"> </w:t>
      </w:r>
      <w:proofErr w:type="gramStart"/>
      <w:r w:rsidRPr="00724304">
        <w:rPr>
          <w:rStyle w:val="CharacterStyle1"/>
          <w:i/>
          <w:iCs/>
          <w:spacing w:val="5"/>
          <w:sz w:val="26"/>
          <w:szCs w:val="26"/>
        </w:rPr>
        <w:t xml:space="preserve">Marta Luz </w:t>
      </w:r>
      <w:proofErr w:type="spellStart"/>
      <w:r w:rsidRPr="00724304">
        <w:rPr>
          <w:rStyle w:val="CharacterStyle1"/>
          <w:i/>
          <w:iCs/>
          <w:spacing w:val="5"/>
          <w:sz w:val="26"/>
          <w:szCs w:val="26"/>
        </w:rPr>
        <w:t>Pérez</w:t>
      </w:r>
      <w:proofErr w:type="spellEnd"/>
      <w:r w:rsidRPr="00724304">
        <w:rPr>
          <w:rStyle w:val="CharacterStyle1"/>
          <w:i/>
          <w:iCs/>
          <w:spacing w:val="5"/>
          <w:sz w:val="26"/>
          <w:szCs w:val="26"/>
        </w:rPr>
        <w:t xml:space="preserve"> </w:t>
      </w:r>
      <w:proofErr w:type="spellStart"/>
      <w:r w:rsidRPr="00724304">
        <w:rPr>
          <w:rStyle w:val="CharacterStyle1"/>
          <w:i/>
          <w:iCs/>
          <w:spacing w:val="5"/>
          <w:sz w:val="26"/>
          <w:szCs w:val="26"/>
        </w:rPr>
        <w:t>Peláez</w:t>
      </w:r>
      <w:proofErr w:type="spellEnd"/>
      <w:r>
        <w:rPr>
          <w:rStyle w:val="CharacterStyle1"/>
          <w:i/>
          <w:iCs/>
          <w:spacing w:val="5"/>
          <w:sz w:val="26"/>
          <w:szCs w:val="26"/>
        </w:rPr>
        <w:t xml:space="preserve">       Lic.</w:t>
      </w:r>
      <w:proofErr w:type="gramEnd"/>
      <w:r>
        <w:rPr>
          <w:rStyle w:val="CharacterStyle1"/>
          <w:i/>
          <w:iCs/>
          <w:spacing w:val="5"/>
          <w:sz w:val="26"/>
          <w:szCs w:val="26"/>
        </w:rPr>
        <w:t xml:space="preserve"> Mario Quesada </w:t>
      </w:r>
      <w:proofErr w:type="spellStart"/>
      <w:r>
        <w:rPr>
          <w:rStyle w:val="CharacterStyle1"/>
          <w:i/>
          <w:iCs/>
          <w:spacing w:val="5"/>
          <w:sz w:val="26"/>
          <w:szCs w:val="26"/>
        </w:rPr>
        <w:t>Aguirrre</w:t>
      </w:r>
      <w:proofErr w:type="spellEnd"/>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046F6F" w:rsidRDefault="00046F6F" w:rsidP="00046F6F">
      <w:pPr>
        <w:kinsoku w:val="0"/>
        <w:overflowPunct w:val="0"/>
        <w:autoSpaceDE/>
        <w:autoSpaceDN/>
        <w:adjustRightInd/>
        <w:spacing w:before="410" w:after="406" w:line="299" w:lineRule="exact"/>
        <w:ind w:left="864"/>
        <w:textAlignment w:val="baseline"/>
        <w:rPr>
          <w:sz w:val="24"/>
          <w:szCs w:val="24"/>
        </w:rPr>
      </w:pPr>
    </w:p>
    <w:p w:rsidR="00046F6F" w:rsidRDefault="00046F6F">
      <w:pPr>
        <w:kinsoku w:val="0"/>
        <w:overflowPunct w:val="0"/>
        <w:autoSpaceDE/>
        <w:autoSpaceDN/>
        <w:adjustRightInd/>
        <w:spacing w:before="345" w:line="240" w:lineRule="exact"/>
        <w:ind w:left="144"/>
        <w:textAlignment w:val="baseline"/>
        <w:rPr>
          <w:b/>
          <w:bCs/>
          <w:spacing w:val="-2"/>
          <w:sz w:val="22"/>
          <w:szCs w:val="22"/>
          <w:lang w:val="es-ES" w:eastAsia="es-ES"/>
        </w:rPr>
      </w:pPr>
    </w:p>
    <w:sectPr w:rsidR="00046F6F" w:rsidSect="00046F6F">
      <w:pgSz w:w="12134" w:h="15840"/>
      <w:pgMar w:top="1980" w:right="1564" w:bottom="3544" w:left="193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96F74"/>
    <w:rsid w:val="00046F6F"/>
    <w:rsid w:val="00596F74"/>
    <w:rsid w:val="00890BC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46F6F"/>
    <w:rPr>
      <w:lang w:val="es-CR"/>
    </w:rPr>
  </w:style>
  <w:style w:type="character" w:customStyle="1" w:styleId="CharacterStyle1">
    <w:name w:val="Character Style 1"/>
    <w:uiPriority w:val="99"/>
    <w:rsid w:val="00046F6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1574</Words>
  <Characters>8661</Characters>
  <Application>Microsoft Office Word</Application>
  <DocSecurity>0</DocSecurity>
  <Lines>72</Lines>
  <Paragraphs>20</Paragraphs>
  <ScaleCrop>false</ScaleCrop>
  <Company/>
  <LinksUpToDate>false</LinksUpToDate>
  <CharactersWithSpaces>10215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2016-01-27T15:40:00Z</dcterms:created>
  <dcterms:modified xsi:type="dcterms:W3CDTF">2016-01-27T15:40:00Z</dcterms:modified>
</cp:coreProperties>
</file>