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28A9">
      <w:pPr>
        <w:kinsoku w:val="0"/>
        <w:overflowPunct w:val="0"/>
        <w:autoSpaceDE/>
        <w:autoSpaceDN/>
        <w:adjustRightInd/>
        <w:spacing w:line="256"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RESOLUCION No. TAT- 2480-2015</w:t>
      </w:r>
    </w:p>
    <w:p w:rsidR="00000000" w:rsidRDefault="005B28A9">
      <w:pPr>
        <w:kinsoku w:val="0"/>
        <w:overflowPunct w:val="0"/>
        <w:autoSpaceDE/>
        <w:autoSpaceDN/>
        <w:adjustRightInd/>
        <w:spacing w:before="563" w:line="275" w:lineRule="exact"/>
        <w:jc w:val="both"/>
        <w:textAlignment w:val="baseline"/>
        <w:rPr>
          <w:rFonts w:ascii="Verdana" w:hAnsi="Verdana" w:cs="Verdana"/>
          <w:spacing w:val="7"/>
          <w:sz w:val="21"/>
          <w:szCs w:val="21"/>
          <w:lang w:val="es-ES" w:eastAsia="es-ES"/>
        </w:rPr>
      </w:pPr>
      <w:r>
        <w:rPr>
          <w:rFonts w:ascii="Verdana" w:hAnsi="Verdana" w:cs="Verdana"/>
          <w:b/>
          <w:bCs/>
          <w:spacing w:val="7"/>
          <w:sz w:val="21"/>
          <w:szCs w:val="21"/>
          <w:lang w:val="es-ES" w:eastAsia="es-ES"/>
        </w:rPr>
        <w:t xml:space="preserve">TRIBUNAL ADMINISTRATIVO DE TRANSPORTE. </w:t>
      </w:r>
      <w:r>
        <w:rPr>
          <w:rFonts w:ascii="Verdana" w:hAnsi="Verdana" w:cs="Verdana"/>
          <w:spacing w:val="7"/>
          <w:sz w:val="21"/>
          <w:szCs w:val="21"/>
          <w:lang w:val="es-ES" w:eastAsia="es-ES"/>
        </w:rPr>
        <w:t>San José, a las doce horas veintiú</w:t>
      </w:r>
      <w:r>
        <w:rPr>
          <w:rFonts w:ascii="Verdana" w:hAnsi="Verdana" w:cs="Verdana"/>
          <w:spacing w:val="7"/>
          <w:sz w:val="21"/>
          <w:szCs w:val="21"/>
          <w:lang w:val="es-ES" w:eastAsia="es-ES"/>
        </w:rPr>
        <w:t>n minutos del veintisiete de febrero de dos mil quince.</w:t>
      </w:r>
    </w:p>
    <w:p w:rsidR="00000000" w:rsidRDefault="005B28A9">
      <w:pPr>
        <w:kinsoku w:val="0"/>
        <w:overflowPunct w:val="0"/>
        <w:autoSpaceDE/>
        <w:autoSpaceDN/>
        <w:adjustRightInd/>
        <w:spacing w:before="315" w:line="275" w:lineRule="exact"/>
        <w:jc w:val="both"/>
        <w:textAlignment w:val="baseline"/>
        <w:rPr>
          <w:rFonts w:ascii="Verdana" w:hAnsi="Verdana" w:cs="Verdana"/>
          <w:b/>
          <w:bCs/>
          <w:spacing w:val="6"/>
          <w:sz w:val="21"/>
          <w:szCs w:val="21"/>
          <w:lang w:val="es-ES" w:eastAsia="es-ES"/>
        </w:rPr>
      </w:pPr>
      <w:r>
        <w:rPr>
          <w:rFonts w:ascii="Verdana" w:hAnsi="Verdana" w:cs="Verdana"/>
          <w:spacing w:val="6"/>
          <w:sz w:val="21"/>
          <w:szCs w:val="21"/>
          <w:lang w:val="es-ES" w:eastAsia="es-ES"/>
        </w:rPr>
        <w:t xml:space="preserve">RECURSO DE APELACIÓN </w:t>
      </w:r>
      <w:r>
        <w:rPr>
          <w:rFonts w:ascii="Verdana" w:hAnsi="Verdana" w:cs="Verdana"/>
          <w:spacing w:val="6"/>
          <w:sz w:val="18"/>
          <w:szCs w:val="18"/>
          <w:lang w:val="es-ES" w:eastAsia="es-ES"/>
        </w:rPr>
        <w:t xml:space="preserve">Y </w:t>
      </w:r>
      <w:r>
        <w:rPr>
          <w:rFonts w:ascii="Verdana" w:hAnsi="Verdana" w:cs="Verdana"/>
          <w:spacing w:val="6"/>
          <w:sz w:val="21"/>
          <w:szCs w:val="21"/>
          <w:lang w:val="es-ES" w:eastAsia="es-ES"/>
        </w:rPr>
        <w:t xml:space="preserve">NULIDAD CONCOMITANTE, interpuesto por la empresa </w:t>
      </w:r>
      <w:r>
        <w:rPr>
          <w:rFonts w:ascii="Verdana" w:hAnsi="Verdana" w:cs="Verdana"/>
          <w:b/>
          <w:bCs/>
          <w:spacing w:val="6"/>
          <w:sz w:val="21"/>
          <w:szCs w:val="21"/>
          <w:lang w:val="es-ES" w:eastAsia="es-ES"/>
        </w:rPr>
        <w:t>T</w:t>
      </w:r>
      <w:r w:rsidR="00861CD1">
        <w:rPr>
          <w:rFonts w:ascii="Verdana" w:hAnsi="Verdana" w:cs="Verdana"/>
          <w:b/>
          <w:bCs/>
          <w:spacing w:val="6"/>
          <w:sz w:val="21"/>
          <w:szCs w:val="21"/>
          <w:lang w:val="es-ES" w:eastAsia="es-ES"/>
        </w:rPr>
        <w:t>.D.L.</w:t>
      </w:r>
      <w:r>
        <w:rPr>
          <w:rFonts w:ascii="Verdana" w:hAnsi="Verdana" w:cs="Verdana"/>
          <w:b/>
          <w:bCs/>
          <w:spacing w:val="6"/>
          <w:sz w:val="21"/>
          <w:szCs w:val="21"/>
          <w:lang w:val="es-ES" w:eastAsia="es-ES"/>
        </w:rPr>
        <w:t>S.A. (A</w:t>
      </w:r>
      <w:r w:rsidR="00861CD1">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xml:space="preserve">) </w:t>
      </w:r>
      <w:r w:rsidR="00861CD1">
        <w:rPr>
          <w:rFonts w:ascii="Verdana" w:hAnsi="Verdana" w:cs="Verdana"/>
          <w:spacing w:val="6"/>
          <w:sz w:val="21"/>
          <w:szCs w:val="21"/>
          <w:lang w:val="es-ES" w:eastAsia="es-ES"/>
        </w:rPr>
        <w:t xml:space="preserve">cédula </w:t>
      </w:r>
      <w:proofErr w:type="gramStart"/>
      <w:r w:rsidR="00861CD1">
        <w:rPr>
          <w:rFonts w:ascii="Verdana" w:hAnsi="Verdana" w:cs="Verdana"/>
          <w:spacing w:val="6"/>
          <w:sz w:val="21"/>
          <w:szCs w:val="21"/>
          <w:lang w:val="es-ES" w:eastAsia="es-ES"/>
        </w:rPr>
        <w:t>jurídica …</w:t>
      </w:r>
      <w:proofErr w:type="gramEnd"/>
      <w:r>
        <w:rPr>
          <w:rFonts w:ascii="Verdana" w:hAnsi="Verdana" w:cs="Verdana"/>
          <w:spacing w:val="6"/>
          <w:sz w:val="21"/>
          <w:szCs w:val="21"/>
          <w:lang w:val="es-ES" w:eastAsia="es-ES"/>
        </w:rPr>
        <w:t>, por medio de su Apoderado Generalísimo sin límite de suma, señ</w:t>
      </w:r>
      <w:r>
        <w:rPr>
          <w:rFonts w:ascii="Verdana" w:hAnsi="Verdana" w:cs="Verdana"/>
          <w:spacing w:val="6"/>
          <w:sz w:val="21"/>
          <w:szCs w:val="21"/>
          <w:lang w:val="es-ES" w:eastAsia="es-ES"/>
        </w:rPr>
        <w:t xml:space="preserve">or </w:t>
      </w:r>
      <w:r>
        <w:rPr>
          <w:rFonts w:ascii="Verdana" w:hAnsi="Verdana" w:cs="Verdana"/>
          <w:b/>
          <w:bCs/>
          <w:spacing w:val="6"/>
          <w:sz w:val="21"/>
          <w:szCs w:val="21"/>
          <w:lang w:val="es-ES" w:eastAsia="es-ES"/>
        </w:rPr>
        <w:t>J</w:t>
      </w:r>
      <w:r w:rsidR="00861CD1">
        <w:rPr>
          <w:rFonts w:ascii="Verdana" w:hAnsi="Verdana" w:cs="Verdana"/>
          <w:b/>
          <w:bCs/>
          <w:spacing w:val="6"/>
          <w:sz w:val="21"/>
          <w:szCs w:val="21"/>
          <w:lang w:val="es-ES" w:eastAsia="es-ES"/>
        </w:rPr>
        <w:t>.A.Q.C.</w:t>
      </w:r>
      <w:r>
        <w:rPr>
          <w:rFonts w:ascii="Verdana" w:hAnsi="Verdana" w:cs="Verdana"/>
          <w:b/>
          <w:bCs/>
          <w:spacing w:val="6"/>
          <w:sz w:val="21"/>
          <w:szCs w:val="21"/>
          <w:lang w:val="es-ES" w:eastAsia="es-ES"/>
        </w:rPr>
        <w:t xml:space="preserve">, </w:t>
      </w:r>
      <w:r>
        <w:rPr>
          <w:rFonts w:ascii="Verdana" w:hAnsi="Verdana" w:cs="Verdana"/>
          <w:spacing w:val="6"/>
          <w:sz w:val="21"/>
          <w:szCs w:val="21"/>
          <w:lang w:val="es-ES" w:eastAsia="es-ES"/>
        </w:rPr>
        <w:t xml:space="preserve">cédula de identidad número </w:t>
      </w:r>
      <w:r w:rsidR="00861CD1">
        <w:rPr>
          <w:rFonts w:ascii="Verdana" w:hAnsi="Verdana" w:cs="Verdana"/>
          <w:spacing w:val="6"/>
          <w:sz w:val="21"/>
          <w:szCs w:val="21"/>
          <w:lang w:val="es-ES" w:eastAsia="es-ES"/>
        </w:rPr>
        <w:t>…</w:t>
      </w:r>
      <w:r>
        <w:rPr>
          <w:rFonts w:ascii="Verdana" w:hAnsi="Verdana" w:cs="Verdana"/>
          <w:spacing w:val="6"/>
          <w:sz w:val="21"/>
          <w:szCs w:val="21"/>
          <w:lang w:val="es-ES" w:eastAsia="es-ES"/>
        </w:rPr>
        <w:t xml:space="preserve">, contra el artículo 7.2, de la Sesión Ordinaria </w:t>
      </w:r>
      <w:r w:rsidR="00861CD1">
        <w:rPr>
          <w:rFonts w:ascii="Verdana" w:hAnsi="Verdana" w:cs="Verdana"/>
          <w:spacing w:val="6"/>
          <w:sz w:val="21"/>
          <w:szCs w:val="21"/>
          <w:lang w:val="es-ES" w:eastAsia="es-ES"/>
        </w:rPr>
        <w:t xml:space="preserve">             </w:t>
      </w:r>
      <w:r>
        <w:rPr>
          <w:rFonts w:ascii="Verdana" w:hAnsi="Verdana" w:cs="Verdana"/>
          <w:spacing w:val="6"/>
          <w:sz w:val="21"/>
          <w:szCs w:val="21"/>
          <w:lang w:val="es-ES" w:eastAsia="es-ES"/>
        </w:rPr>
        <w:t xml:space="preserve">43-2013 de 26 de junio de 2013, dictado por la JUNTA DIRECTIVA DEL CONSEJO DE TRANSPORTE PÚBLICO y tramitado en este despacho bajo </w:t>
      </w:r>
      <w:r>
        <w:rPr>
          <w:rFonts w:ascii="Verdana" w:hAnsi="Verdana" w:cs="Verdana"/>
          <w:b/>
          <w:bCs/>
          <w:spacing w:val="6"/>
          <w:sz w:val="21"/>
          <w:szCs w:val="21"/>
          <w:lang w:val="es-ES" w:eastAsia="es-ES"/>
        </w:rPr>
        <w:t>Expedi</w:t>
      </w:r>
      <w:r>
        <w:rPr>
          <w:rFonts w:ascii="Verdana" w:hAnsi="Verdana" w:cs="Verdana"/>
          <w:b/>
          <w:bCs/>
          <w:spacing w:val="6"/>
          <w:sz w:val="21"/>
          <w:szCs w:val="21"/>
          <w:lang w:val="es-ES" w:eastAsia="es-ES"/>
        </w:rPr>
        <w:t>ente Administrativo No. TAT-281-14.</w:t>
      </w:r>
    </w:p>
    <w:p w:rsidR="00000000" w:rsidRDefault="005B28A9">
      <w:pPr>
        <w:kinsoku w:val="0"/>
        <w:overflowPunct w:val="0"/>
        <w:autoSpaceDE/>
        <w:autoSpaceDN/>
        <w:adjustRightInd/>
        <w:spacing w:before="304" w:line="262"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000000" w:rsidRDefault="005B28A9">
      <w:pPr>
        <w:kinsoku w:val="0"/>
        <w:overflowPunct w:val="0"/>
        <w:autoSpaceDE/>
        <w:autoSpaceDN/>
        <w:adjustRightInd/>
        <w:spacing w:before="292" w:line="275"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La </w:t>
      </w:r>
      <w:r>
        <w:rPr>
          <w:rFonts w:ascii="Verdana" w:hAnsi="Verdana" w:cs="Verdana"/>
          <w:sz w:val="21"/>
          <w:szCs w:val="21"/>
          <w:lang w:val="es-ES" w:eastAsia="es-ES"/>
        </w:rPr>
        <w:t>JUNTA DIRECTIVA DEL CONSEJO DE TRANSPORTE PÚBLICO, mediante artículo 7.2, de la Sesión Ordinaria 43-2013, de 26 de junio de 2013 dispuso lo siguiente: (Léanse folios 59 y 60 del expediente administ</w:t>
      </w:r>
      <w:r>
        <w:rPr>
          <w:rFonts w:ascii="Verdana" w:hAnsi="Verdana" w:cs="Verdana"/>
          <w:sz w:val="21"/>
          <w:szCs w:val="21"/>
          <w:lang w:val="es-ES" w:eastAsia="es-ES"/>
        </w:rPr>
        <w:t>rativo)</w:t>
      </w:r>
    </w:p>
    <w:p w:rsidR="00000000" w:rsidRDefault="005B28A9">
      <w:pPr>
        <w:kinsoku w:val="0"/>
        <w:overflowPunct w:val="0"/>
        <w:autoSpaceDE/>
        <w:autoSpaceDN/>
        <w:adjustRightInd/>
        <w:spacing w:before="473" w:line="186" w:lineRule="exact"/>
        <w:ind w:left="288" w:right="288"/>
        <w:jc w:val="both"/>
        <w:textAlignment w:val="baseline"/>
        <w:rPr>
          <w:rFonts w:ascii="Verdana" w:hAnsi="Verdana" w:cs="Verdana"/>
          <w:i/>
          <w:iCs/>
          <w:spacing w:val="3"/>
          <w:sz w:val="15"/>
          <w:szCs w:val="15"/>
          <w:lang w:val="es-ES" w:eastAsia="es-ES"/>
        </w:rPr>
      </w:pPr>
      <w:r>
        <w:rPr>
          <w:rFonts w:ascii="Arial" w:hAnsi="Arial" w:cs="Arial"/>
          <w:b/>
          <w:bCs/>
          <w:i/>
          <w:iCs/>
          <w:spacing w:val="3"/>
          <w:sz w:val="16"/>
          <w:szCs w:val="16"/>
          <w:lang w:val="es-ES" w:eastAsia="es-ES"/>
        </w:rPr>
        <w:t xml:space="preserve">"ARTÍCULO 7.2.- Se conoce oficio sin número, con las </w:t>
      </w:r>
      <w:r>
        <w:rPr>
          <w:rFonts w:ascii="Verdana" w:hAnsi="Verdana" w:cs="Verdana"/>
          <w:i/>
          <w:iCs/>
          <w:spacing w:val="3"/>
          <w:sz w:val="15"/>
          <w:szCs w:val="15"/>
          <w:lang w:val="es-ES" w:eastAsia="es-ES"/>
        </w:rPr>
        <w:t xml:space="preserve">nuevas observación a los procedimientos </w:t>
      </w:r>
      <w:r>
        <w:rPr>
          <w:rFonts w:ascii="Arial" w:hAnsi="Arial" w:cs="Arial"/>
          <w:b/>
          <w:bCs/>
          <w:i/>
          <w:iCs/>
          <w:spacing w:val="3"/>
          <w:sz w:val="16"/>
          <w:szCs w:val="16"/>
          <w:lang w:val="es-ES" w:eastAsia="es-ES"/>
        </w:rPr>
        <w:t xml:space="preserve">de Revisión Técnica </w:t>
      </w:r>
      <w:r>
        <w:rPr>
          <w:rFonts w:ascii="Verdana" w:hAnsi="Verdana" w:cs="Verdana"/>
          <w:i/>
          <w:iCs/>
          <w:spacing w:val="3"/>
          <w:sz w:val="15"/>
          <w:szCs w:val="15"/>
          <w:lang w:val="es-ES" w:eastAsia="es-ES"/>
        </w:rPr>
        <w:t xml:space="preserve">para el servicio especial </w:t>
      </w:r>
      <w:r>
        <w:rPr>
          <w:rFonts w:ascii="Arial" w:hAnsi="Arial" w:cs="Arial"/>
          <w:b/>
          <w:bCs/>
          <w:i/>
          <w:iCs/>
          <w:spacing w:val="3"/>
          <w:sz w:val="16"/>
          <w:szCs w:val="16"/>
          <w:lang w:val="es-ES" w:eastAsia="es-ES"/>
        </w:rPr>
        <w:t xml:space="preserve">estable de taxi. CONSIDERANDO PRIMERO: </w:t>
      </w:r>
      <w:r>
        <w:rPr>
          <w:rFonts w:ascii="Verdana" w:hAnsi="Verdana" w:cs="Verdana"/>
          <w:i/>
          <w:iCs/>
          <w:spacing w:val="3"/>
          <w:sz w:val="15"/>
          <w:szCs w:val="15"/>
          <w:lang w:val="es-ES" w:eastAsia="es-ES"/>
        </w:rPr>
        <w:t xml:space="preserve">Que </w:t>
      </w:r>
      <w:r>
        <w:rPr>
          <w:rFonts w:ascii="Arial" w:hAnsi="Arial" w:cs="Arial"/>
          <w:b/>
          <w:bCs/>
          <w:i/>
          <w:iCs/>
          <w:spacing w:val="3"/>
          <w:sz w:val="16"/>
          <w:szCs w:val="16"/>
          <w:lang w:val="es-ES" w:eastAsia="es-ES"/>
        </w:rPr>
        <w:t xml:space="preserve">este Órgano Colegiado </w:t>
      </w:r>
      <w:r>
        <w:rPr>
          <w:rFonts w:ascii="Verdana" w:hAnsi="Verdana" w:cs="Verdana"/>
          <w:i/>
          <w:iCs/>
          <w:spacing w:val="3"/>
          <w:sz w:val="15"/>
          <w:szCs w:val="15"/>
          <w:lang w:val="es-ES" w:eastAsia="es-ES"/>
        </w:rPr>
        <w:t xml:space="preserve">conoce oficio sin número </w:t>
      </w:r>
      <w:r>
        <w:rPr>
          <w:rFonts w:ascii="Arial" w:hAnsi="Arial" w:cs="Arial"/>
          <w:b/>
          <w:bCs/>
          <w:i/>
          <w:iCs/>
          <w:spacing w:val="3"/>
          <w:sz w:val="16"/>
          <w:szCs w:val="16"/>
          <w:lang w:val="es-ES" w:eastAsia="es-ES"/>
        </w:rPr>
        <w:t xml:space="preserve">presentado </w:t>
      </w:r>
      <w:r>
        <w:rPr>
          <w:rFonts w:ascii="Verdana" w:hAnsi="Verdana" w:cs="Verdana"/>
          <w:i/>
          <w:iCs/>
          <w:spacing w:val="3"/>
          <w:sz w:val="15"/>
          <w:szCs w:val="15"/>
          <w:lang w:val="es-ES" w:eastAsia="es-ES"/>
        </w:rPr>
        <w:t xml:space="preserve">por el Ing. Hernán Bermúdez y </w:t>
      </w:r>
      <w:r>
        <w:rPr>
          <w:rFonts w:ascii="Arial" w:hAnsi="Arial" w:cs="Arial"/>
          <w:b/>
          <w:bCs/>
          <w:i/>
          <w:iCs/>
          <w:spacing w:val="3"/>
          <w:sz w:val="16"/>
          <w:szCs w:val="16"/>
          <w:lang w:val="es-ES" w:eastAsia="es-ES"/>
        </w:rPr>
        <w:t xml:space="preserve">el Dr. Héctor Arce, referente </w:t>
      </w:r>
      <w:r>
        <w:rPr>
          <w:rFonts w:ascii="Verdana" w:hAnsi="Verdana" w:cs="Verdana"/>
          <w:i/>
          <w:iCs/>
          <w:spacing w:val="3"/>
          <w:sz w:val="15"/>
          <w:szCs w:val="15"/>
          <w:lang w:val="es-ES" w:eastAsia="es-ES"/>
        </w:rPr>
        <w:t xml:space="preserve">a las observaciones </w:t>
      </w:r>
      <w:r>
        <w:rPr>
          <w:rFonts w:ascii="Arial" w:hAnsi="Arial" w:cs="Arial"/>
          <w:b/>
          <w:bCs/>
          <w:i/>
          <w:iCs/>
          <w:spacing w:val="3"/>
          <w:sz w:val="16"/>
          <w:szCs w:val="16"/>
          <w:lang w:val="es-ES" w:eastAsia="es-ES"/>
        </w:rPr>
        <w:t xml:space="preserve">para el procedimiento </w:t>
      </w:r>
      <w:r>
        <w:rPr>
          <w:rFonts w:ascii="Verdana" w:hAnsi="Verdana" w:cs="Verdana"/>
          <w:i/>
          <w:iCs/>
          <w:spacing w:val="3"/>
          <w:sz w:val="15"/>
          <w:szCs w:val="15"/>
          <w:lang w:val="es-ES" w:eastAsia="es-ES"/>
        </w:rPr>
        <w:t xml:space="preserve">de Revisión técnica para servicio </w:t>
      </w:r>
      <w:r>
        <w:rPr>
          <w:rFonts w:ascii="Arial" w:hAnsi="Arial" w:cs="Arial"/>
          <w:b/>
          <w:bCs/>
          <w:i/>
          <w:iCs/>
          <w:spacing w:val="3"/>
          <w:sz w:val="16"/>
          <w:szCs w:val="16"/>
          <w:lang w:val="es-ES" w:eastAsia="es-ES"/>
        </w:rPr>
        <w:t xml:space="preserve">especial estable de </w:t>
      </w:r>
      <w:r>
        <w:rPr>
          <w:rFonts w:ascii="Verdana" w:hAnsi="Verdana" w:cs="Verdana"/>
          <w:i/>
          <w:iCs/>
          <w:spacing w:val="3"/>
          <w:sz w:val="15"/>
          <w:szCs w:val="15"/>
          <w:lang w:val="es-ES" w:eastAsia="es-ES"/>
        </w:rPr>
        <w:t>taxi que indica literalmente:</w:t>
      </w:r>
    </w:p>
    <w:p w:rsidR="00000000" w:rsidRDefault="005B28A9">
      <w:pPr>
        <w:kinsoku w:val="0"/>
        <w:overflowPunct w:val="0"/>
        <w:autoSpaceDE/>
        <w:autoSpaceDN/>
        <w:adjustRightInd/>
        <w:spacing w:before="168" w:line="186" w:lineRule="exact"/>
        <w:ind w:left="720" w:right="720"/>
        <w:jc w:val="both"/>
        <w:textAlignment w:val="baseline"/>
        <w:rPr>
          <w:rFonts w:ascii="Verdana" w:hAnsi="Verdana" w:cs="Verdana"/>
          <w:i/>
          <w:iCs/>
          <w:sz w:val="15"/>
          <w:szCs w:val="15"/>
          <w:lang w:val="es-ES" w:eastAsia="es-ES"/>
        </w:rPr>
      </w:pPr>
      <w:r>
        <w:rPr>
          <w:rFonts w:ascii="Arial" w:hAnsi="Arial" w:cs="Arial"/>
          <w:b/>
          <w:bCs/>
          <w:i/>
          <w:iCs/>
          <w:sz w:val="16"/>
          <w:szCs w:val="16"/>
          <w:lang w:val="es-ES" w:eastAsia="es-ES"/>
        </w:rPr>
        <w:t xml:space="preserve">"Para cumplir con lo solicitado en </w:t>
      </w:r>
      <w:r>
        <w:rPr>
          <w:rFonts w:ascii="Verdana" w:hAnsi="Verdana" w:cs="Verdana"/>
          <w:i/>
          <w:iCs/>
          <w:sz w:val="15"/>
          <w:szCs w:val="15"/>
          <w:lang w:val="es-ES" w:eastAsia="es-ES"/>
        </w:rPr>
        <w:t>la sesión ordinaria 30-2013 se proc</w:t>
      </w:r>
      <w:r>
        <w:rPr>
          <w:rFonts w:ascii="Verdana" w:hAnsi="Verdana" w:cs="Verdana"/>
          <w:i/>
          <w:iCs/>
          <w:sz w:val="15"/>
          <w:szCs w:val="15"/>
          <w:lang w:val="es-ES" w:eastAsia="es-ES"/>
        </w:rPr>
        <w:t xml:space="preserve">edió a realizar una reunión </w:t>
      </w:r>
      <w:r>
        <w:rPr>
          <w:rFonts w:ascii="Arial" w:hAnsi="Arial" w:cs="Arial"/>
          <w:b/>
          <w:bCs/>
          <w:i/>
          <w:iCs/>
          <w:sz w:val="16"/>
          <w:szCs w:val="16"/>
          <w:lang w:val="es-ES" w:eastAsia="es-ES"/>
        </w:rPr>
        <w:t xml:space="preserve">con el personero de </w:t>
      </w:r>
      <w:r>
        <w:rPr>
          <w:rFonts w:ascii="Verdana" w:hAnsi="Verdana" w:cs="Verdana"/>
          <w:i/>
          <w:iCs/>
          <w:sz w:val="15"/>
          <w:szCs w:val="15"/>
          <w:lang w:val="es-ES" w:eastAsia="es-ES"/>
        </w:rPr>
        <w:t xml:space="preserve">la empresa RTV Gil Edwards, de forma que se establecieran los </w:t>
      </w:r>
      <w:r>
        <w:rPr>
          <w:rFonts w:ascii="Arial" w:hAnsi="Arial" w:cs="Arial"/>
          <w:b/>
          <w:bCs/>
          <w:i/>
          <w:iCs/>
          <w:sz w:val="16"/>
          <w:szCs w:val="16"/>
          <w:lang w:val="es-ES" w:eastAsia="es-ES"/>
        </w:rPr>
        <w:t xml:space="preserve">parámetros de </w:t>
      </w:r>
      <w:r>
        <w:rPr>
          <w:rFonts w:ascii="Verdana" w:hAnsi="Verdana" w:cs="Verdana"/>
          <w:i/>
          <w:iCs/>
          <w:sz w:val="15"/>
          <w:szCs w:val="15"/>
          <w:lang w:val="es-ES" w:eastAsia="es-ES"/>
        </w:rPr>
        <w:t>la revisión técnica vehicular para los vehículos que forman parte del Servicio Especial Estable de Taxi. En dicha reunión se estable</w:t>
      </w:r>
      <w:r>
        <w:rPr>
          <w:rFonts w:ascii="Verdana" w:hAnsi="Verdana" w:cs="Verdana"/>
          <w:i/>
          <w:iCs/>
          <w:sz w:val="15"/>
          <w:szCs w:val="15"/>
          <w:lang w:val="es-ES" w:eastAsia="es-ES"/>
        </w:rPr>
        <w:t>cieron los siguientes lineamientos:</w:t>
      </w:r>
    </w:p>
    <w:p w:rsidR="00000000" w:rsidRDefault="005B28A9">
      <w:pPr>
        <w:numPr>
          <w:ilvl w:val="0"/>
          <w:numId w:val="1"/>
        </w:numPr>
        <w:kinsoku w:val="0"/>
        <w:overflowPunct w:val="0"/>
        <w:autoSpaceDE/>
        <w:autoSpaceDN/>
        <w:adjustRightInd/>
        <w:spacing w:before="3" w:line="186"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vehículos con los cuales se desarrolle la prestación del servicio especial estable de </w:t>
      </w:r>
      <w:r>
        <w:rPr>
          <w:rFonts w:ascii="Arial" w:hAnsi="Arial" w:cs="Arial"/>
          <w:b/>
          <w:bCs/>
          <w:i/>
          <w:iCs/>
          <w:sz w:val="16"/>
          <w:szCs w:val="16"/>
          <w:lang w:val="es-ES" w:eastAsia="es-ES"/>
        </w:rPr>
        <w:t xml:space="preserve">taxi deberán </w:t>
      </w:r>
      <w:r>
        <w:rPr>
          <w:rFonts w:ascii="Verdana" w:hAnsi="Verdana" w:cs="Verdana"/>
          <w:i/>
          <w:iCs/>
          <w:sz w:val="15"/>
          <w:szCs w:val="15"/>
          <w:lang w:val="es-ES" w:eastAsia="es-ES"/>
        </w:rPr>
        <w:t xml:space="preserve">estar identificados en ambas puertas delanteras con un circulo con </w:t>
      </w:r>
      <w:r>
        <w:rPr>
          <w:rFonts w:ascii="Arial" w:hAnsi="Arial" w:cs="Arial"/>
          <w:b/>
          <w:bCs/>
          <w:i/>
          <w:iCs/>
          <w:sz w:val="16"/>
          <w:szCs w:val="16"/>
          <w:lang w:val="es-ES" w:eastAsia="es-ES"/>
        </w:rPr>
        <w:t xml:space="preserve">una medida </w:t>
      </w:r>
      <w:r>
        <w:rPr>
          <w:rFonts w:ascii="Verdana" w:hAnsi="Verdana" w:cs="Verdana"/>
          <w:i/>
          <w:iCs/>
          <w:sz w:val="15"/>
          <w:szCs w:val="15"/>
          <w:lang w:val="es-ES" w:eastAsia="es-ES"/>
        </w:rPr>
        <w:t>de veintiocho (28) centí</w:t>
      </w:r>
      <w:r>
        <w:rPr>
          <w:rFonts w:ascii="Verdana" w:hAnsi="Verdana" w:cs="Verdana"/>
          <w:i/>
          <w:iCs/>
          <w:sz w:val="15"/>
          <w:szCs w:val="15"/>
          <w:lang w:val="es-ES" w:eastAsia="es-ES"/>
        </w:rPr>
        <w:t>metros de diámetro.</w:t>
      </w:r>
    </w:p>
    <w:p w:rsidR="00000000" w:rsidRDefault="005B28A9">
      <w:pPr>
        <w:numPr>
          <w:ilvl w:val="0"/>
          <w:numId w:val="2"/>
        </w:numPr>
        <w:tabs>
          <w:tab w:val="clear" w:pos="864"/>
          <w:tab w:val="num" w:pos="936"/>
        </w:tabs>
        <w:kinsoku w:val="0"/>
        <w:overflowPunct w:val="0"/>
        <w:autoSpaceDE/>
        <w:autoSpaceDN/>
        <w:adjustRightInd/>
        <w:spacing w:before="194" w:line="186" w:lineRule="exact"/>
        <w:jc w:val="both"/>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 xml:space="preserve">En dicho </w:t>
      </w:r>
      <w:r>
        <w:rPr>
          <w:rFonts w:ascii="Arial" w:hAnsi="Arial" w:cs="Arial"/>
          <w:b/>
          <w:bCs/>
          <w:i/>
          <w:iCs/>
          <w:spacing w:val="1"/>
          <w:sz w:val="16"/>
          <w:szCs w:val="16"/>
          <w:lang w:val="es-ES" w:eastAsia="es-ES"/>
        </w:rPr>
        <w:t xml:space="preserve">circulo se deberá indicar </w:t>
      </w:r>
      <w:r>
        <w:rPr>
          <w:rFonts w:ascii="Verdana" w:hAnsi="Verdana" w:cs="Verdana"/>
          <w:i/>
          <w:iCs/>
          <w:spacing w:val="1"/>
          <w:sz w:val="15"/>
          <w:szCs w:val="15"/>
          <w:lang w:val="es-ES" w:eastAsia="es-ES"/>
        </w:rPr>
        <w:t>esta información:</w:t>
      </w:r>
    </w:p>
    <w:p w:rsidR="00000000" w:rsidRDefault="005B28A9">
      <w:pPr>
        <w:kinsoku w:val="0"/>
        <w:overflowPunct w:val="0"/>
        <w:autoSpaceDE/>
        <w:autoSpaceDN/>
        <w:adjustRightInd/>
        <w:spacing w:before="1" w:line="186" w:lineRule="exact"/>
        <w:jc w:val="center"/>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t>Número de Permiso: en el caso de los automóviles el Permiso es numérico y en el</w:t>
      </w:r>
    </w:p>
    <w:p w:rsidR="00000000" w:rsidRDefault="005B28A9">
      <w:pPr>
        <w:kinsoku w:val="0"/>
        <w:overflowPunct w:val="0"/>
        <w:autoSpaceDE/>
        <w:autoSpaceDN/>
        <w:adjustRightInd/>
        <w:spacing w:before="8" w:line="186" w:lineRule="exact"/>
        <w:ind w:left="720"/>
        <w:textAlignment w:val="baseline"/>
        <w:rPr>
          <w:rFonts w:ascii="Verdana" w:hAnsi="Verdana" w:cs="Verdana"/>
          <w:i/>
          <w:iCs/>
          <w:sz w:val="15"/>
          <w:szCs w:val="15"/>
          <w:lang w:val="es-ES" w:eastAsia="es-ES"/>
        </w:rPr>
      </w:pPr>
      <w:proofErr w:type="gramStart"/>
      <w:r>
        <w:rPr>
          <w:rFonts w:ascii="Verdana" w:hAnsi="Verdana" w:cs="Verdana"/>
          <w:i/>
          <w:iCs/>
          <w:sz w:val="15"/>
          <w:szCs w:val="15"/>
          <w:lang w:val="es-ES" w:eastAsia="es-ES"/>
        </w:rPr>
        <w:t>caso</w:t>
      </w:r>
      <w:proofErr w:type="gramEnd"/>
      <w:r>
        <w:rPr>
          <w:rFonts w:ascii="Verdana" w:hAnsi="Verdana" w:cs="Verdana"/>
          <w:i/>
          <w:iCs/>
          <w:sz w:val="15"/>
          <w:szCs w:val="15"/>
          <w:lang w:val="es-ES" w:eastAsia="es-ES"/>
        </w:rPr>
        <w:t xml:space="preserve"> de los </w:t>
      </w:r>
      <w:r>
        <w:rPr>
          <w:rFonts w:ascii="Arial" w:hAnsi="Arial" w:cs="Arial"/>
          <w:b/>
          <w:bCs/>
          <w:i/>
          <w:iCs/>
          <w:sz w:val="16"/>
          <w:szCs w:val="16"/>
          <w:lang w:val="es-ES" w:eastAsia="es-ES"/>
        </w:rPr>
        <w:t xml:space="preserve">microbuses, </w:t>
      </w:r>
      <w:r>
        <w:rPr>
          <w:rFonts w:ascii="Verdana" w:hAnsi="Verdana" w:cs="Verdana"/>
          <w:i/>
          <w:iCs/>
          <w:sz w:val="15"/>
          <w:szCs w:val="15"/>
          <w:lang w:val="es-ES" w:eastAsia="es-ES"/>
        </w:rPr>
        <w:t>alfanumérico.</w:t>
      </w:r>
    </w:p>
    <w:p w:rsidR="00000000" w:rsidRDefault="005B28A9">
      <w:pPr>
        <w:kinsoku w:val="0"/>
        <w:overflowPunct w:val="0"/>
        <w:autoSpaceDE/>
        <w:autoSpaceDN/>
        <w:adjustRightInd/>
        <w:spacing w:before="6" w:line="186"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Nombre de </w:t>
      </w:r>
      <w:r>
        <w:rPr>
          <w:rFonts w:ascii="Arial" w:hAnsi="Arial" w:cs="Arial"/>
          <w:b/>
          <w:bCs/>
          <w:i/>
          <w:iCs/>
          <w:sz w:val="16"/>
          <w:szCs w:val="16"/>
          <w:lang w:val="es-ES" w:eastAsia="es-ES"/>
        </w:rPr>
        <w:t xml:space="preserve">la Empresa </w:t>
      </w:r>
      <w:r>
        <w:rPr>
          <w:rFonts w:ascii="Verdana" w:hAnsi="Verdana" w:cs="Verdana"/>
          <w:i/>
          <w:iCs/>
          <w:sz w:val="15"/>
          <w:szCs w:val="15"/>
          <w:lang w:val="es-ES" w:eastAsia="es-ES"/>
        </w:rPr>
        <w:t>(solo nombre)</w:t>
      </w:r>
    </w:p>
    <w:p w:rsidR="00000000" w:rsidRDefault="005B28A9">
      <w:pPr>
        <w:kinsoku w:val="0"/>
        <w:overflowPunct w:val="0"/>
        <w:autoSpaceDE/>
        <w:autoSpaceDN/>
        <w:adjustRightInd/>
        <w:spacing w:line="185"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Provincia (solo nombre)</w:t>
      </w:r>
    </w:p>
    <w:p w:rsidR="00000000" w:rsidRDefault="005B28A9">
      <w:pPr>
        <w:kinsoku w:val="0"/>
        <w:overflowPunct w:val="0"/>
        <w:autoSpaceDE/>
        <w:autoSpaceDN/>
        <w:adjustRightInd/>
        <w:spacing w:before="6" w:line="186"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El Código asignado al vehículo (Código: </w:t>
      </w:r>
      <w:proofErr w:type="spellStart"/>
      <w:r>
        <w:rPr>
          <w:rFonts w:ascii="Verdana" w:hAnsi="Verdana" w:cs="Verdana"/>
          <w:i/>
          <w:iCs/>
          <w:sz w:val="15"/>
          <w:szCs w:val="15"/>
          <w:lang w:val="es-ES" w:eastAsia="es-ES"/>
        </w:rPr>
        <w:t>xx</w:t>
      </w:r>
      <w:proofErr w:type="spellEnd"/>
      <w:r>
        <w:rPr>
          <w:rFonts w:ascii="Verdana" w:hAnsi="Verdana" w:cs="Verdana"/>
          <w:i/>
          <w:iCs/>
          <w:sz w:val="15"/>
          <w:szCs w:val="15"/>
          <w:lang w:val="es-ES" w:eastAsia="es-ES"/>
        </w:rPr>
        <w:t>)</w:t>
      </w:r>
    </w:p>
    <w:p w:rsidR="00000000" w:rsidRDefault="005B28A9">
      <w:pPr>
        <w:kinsoku w:val="0"/>
        <w:overflowPunct w:val="0"/>
        <w:autoSpaceDE/>
        <w:autoSpaceDN/>
        <w:adjustRightInd/>
        <w:spacing w:before="8" w:line="186"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Cantón (solo nombre)</w:t>
      </w:r>
    </w:p>
    <w:p w:rsidR="00000000" w:rsidRDefault="005B28A9">
      <w:pPr>
        <w:kinsoku w:val="0"/>
        <w:overflowPunct w:val="0"/>
        <w:autoSpaceDE/>
        <w:autoSpaceDN/>
        <w:adjustRightInd/>
        <w:spacing w:before="4" w:line="186" w:lineRule="exact"/>
        <w:ind w:left="864"/>
        <w:textAlignment w:val="baseline"/>
        <w:rPr>
          <w:rFonts w:ascii="Verdana" w:hAnsi="Verdana" w:cs="Verdana"/>
          <w:i/>
          <w:iCs/>
          <w:sz w:val="15"/>
          <w:szCs w:val="15"/>
          <w:lang w:val="es-ES" w:eastAsia="es-ES"/>
        </w:rPr>
      </w:pPr>
      <w:r>
        <w:rPr>
          <w:rFonts w:ascii="Verdana" w:hAnsi="Verdana" w:cs="Verdana"/>
          <w:i/>
          <w:iCs/>
          <w:sz w:val="15"/>
          <w:szCs w:val="15"/>
          <w:lang w:val="es-ES" w:eastAsia="es-ES"/>
        </w:rPr>
        <w:t>Placa del vehículo (identificación alfanumérica)</w:t>
      </w:r>
    </w:p>
    <w:p w:rsidR="00000000" w:rsidRDefault="005B28A9">
      <w:pPr>
        <w:kinsoku w:val="0"/>
        <w:overflowPunct w:val="0"/>
        <w:autoSpaceDE/>
        <w:autoSpaceDN/>
        <w:adjustRightInd/>
        <w:spacing w:line="183" w:lineRule="exact"/>
        <w:jc w:val="center"/>
        <w:textAlignment w:val="baseline"/>
        <w:rPr>
          <w:rFonts w:ascii="Verdana" w:hAnsi="Verdana" w:cs="Verdana"/>
          <w:i/>
          <w:iCs/>
          <w:spacing w:val="5"/>
          <w:sz w:val="15"/>
          <w:szCs w:val="15"/>
          <w:lang w:val="es-ES" w:eastAsia="es-ES"/>
        </w:rPr>
      </w:pPr>
      <w:r>
        <w:rPr>
          <w:rFonts w:ascii="Verdana" w:hAnsi="Verdana" w:cs="Verdana"/>
          <w:i/>
          <w:iCs/>
          <w:spacing w:val="5"/>
          <w:sz w:val="15"/>
          <w:szCs w:val="15"/>
          <w:lang w:val="es-ES" w:eastAsia="es-ES"/>
        </w:rPr>
        <w:t>Ambos círculos de las puertas delanteras deben estar pintados con fondo color</w:t>
      </w:r>
    </w:p>
    <w:p w:rsidR="00000000" w:rsidRDefault="005B28A9">
      <w:pPr>
        <w:kinsoku w:val="0"/>
        <w:overflowPunct w:val="0"/>
        <w:autoSpaceDE/>
        <w:autoSpaceDN/>
        <w:adjustRightInd/>
        <w:spacing w:after="744" w:line="182" w:lineRule="exact"/>
        <w:ind w:left="720"/>
        <w:textAlignment w:val="baseline"/>
        <w:rPr>
          <w:rFonts w:ascii="Verdana" w:hAnsi="Verdana" w:cs="Verdana"/>
          <w:i/>
          <w:iCs/>
          <w:sz w:val="15"/>
          <w:szCs w:val="15"/>
          <w:lang w:val="es-ES" w:eastAsia="es-ES"/>
        </w:rPr>
      </w:pPr>
      <w:proofErr w:type="gramStart"/>
      <w:r>
        <w:rPr>
          <w:rFonts w:ascii="Verdana" w:hAnsi="Verdana" w:cs="Verdana"/>
          <w:i/>
          <w:iCs/>
          <w:sz w:val="15"/>
          <w:szCs w:val="15"/>
          <w:lang w:val="es-ES" w:eastAsia="es-ES"/>
        </w:rPr>
        <w:t>celeste</w:t>
      </w:r>
      <w:proofErr w:type="gramEnd"/>
      <w:r>
        <w:rPr>
          <w:rFonts w:ascii="Verdana" w:hAnsi="Verdana" w:cs="Verdana"/>
          <w:i/>
          <w:iCs/>
          <w:sz w:val="15"/>
          <w:szCs w:val="15"/>
          <w:lang w:val="es-ES" w:eastAsia="es-ES"/>
        </w:rPr>
        <w:t xml:space="preserve"> y letras negras.</w:t>
      </w:r>
    </w:p>
    <w:p w:rsidR="00000000" w:rsidRDefault="005B28A9">
      <w:pPr>
        <w:widowControl/>
        <w:rPr>
          <w:sz w:val="24"/>
          <w:szCs w:val="24"/>
        </w:rPr>
        <w:sectPr w:rsidR="00000000">
          <w:pgSz w:w="12134" w:h="15840"/>
          <w:pgMar w:top="1340" w:right="1971" w:bottom="180" w:left="2083" w:header="720" w:footer="720" w:gutter="0"/>
          <w:cols w:space="720"/>
          <w:noEndnote/>
        </w:sectPr>
      </w:pPr>
    </w:p>
    <w:p w:rsidR="00000000" w:rsidRDefault="005B28A9">
      <w:pPr>
        <w:widowControl/>
        <w:rPr>
          <w:sz w:val="24"/>
          <w:szCs w:val="24"/>
        </w:rPr>
        <w:sectPr w:rsidR="00000000">
          <w:type w:val="continuous"/>
          <w:pgSz w:w="12134" w:h="15840"/>
          <w:pgMar w:top="1340" w:right="1828" w:bottom="180" w:left="7426" w:header="720" w:footer="720" w:gutter="0"/>
          <w:cols w:space="720"/>
          <w:noEndnote/>
        </w:sectPr>
      </w:pPr>
    </w:p>
    <w:p w:rsidR="00000000" w:rsidRDefault="005B28A9">
      <w:pPr>
        <w:numPr>
          <w:ilvl w:val="0"/>
          <w:numId w:val="3"/>
        </w:numPr>
        <w:kinsoku w:val="0"/>
        <w:overflowPunct w:val="0"/>
        <w:autoSpaceDE/>
        <w:autoSpaceDN/>
        <w:adjustRightInd/>
        <w:spacing w:before="10" w:line="187" w:lineRule="exact"/>
        <w:ind w:right="504"/>
        <w:jc w:val="both"/>
        <w:textAlignment w:val="baseline"/>
        <w:rPr>
          <w:rFonts w:ascii="Verdana" w:hAnsi="Verdana" w:cs="Verdana"/>
          <w:i/>
          <w:iCs/>
          <w:spacing w:val="-2"/>
          <w:sz w:val="15"/>
          <w:szCs w:val="15"/>
          <w:lang w:val="es-ES" w:eastAsia="es-ES"/>
        </w:rPr>
      </w:pPr>
      <w:r>
        <w:rPr>
          <w:rFonts w:ascii="Verdana" w:hAnsi="Verdana" w:cs="Verdana"/>
          <w:i/>
          <w:iCs/>
          <w:spacing w:val="-2"/>
          <w:sz w:val="15"/>
          <w:szCs w:val="15"/>
          <w:lang w:val="es-ES" w:eastAsia="es-ES"/>
        </w:rPr>
        <w:lastRenderedPageBreak/>
        <w:t xml:space="preserve">La información inscrita en los círculos de las puertas delanteras de los vehículos debe estar pintada con pintura </w:t>
      </w:r>
      <w:proofErr w:type="spellStart"/>
      <w:r>
        <w:rPr>
          <w:rFonts w:ascii="Verdana" w:hAnsi="Verdana" w:cs="Verdana"/>
          <w:i/>
          <w:iCs/>
          <w:spacing w:val="-2"/>
          <w:sz w:val="15"/>
          <w:szCs w:val="15"/>
          <w:lang w:val="es-ES" w:eastAsia="es-ES"/>
        </w:rPr>
        <w:t>retrorreflectiva</w:t>
      </w:r>
      <w:proofErr w:type="spellEnd"/>
      <w:r>
        <w:rPr>
          <w:rFonts w:ascii="Verdana" w:hAnsi="Verdana" w:cs="Verdana"/>
          <w:i/>
          <w:iCs/>
          <w:spacing w:val="-2"/>
          <w:sz w:val="15"/>
          <w:szCs w:val="15"/>
          <w:lang w:val="es-ES" w:eastAsia="es-ES"/>
        </w:rPr>
        <w:t xml:space="preserve"> y no será aceptado ningún tipo de calcomanía como sustitución de la pintura de los</w:t>
      </w:r>
      <w:r>
        <w:rPr>
          <w:rFonts w:ascii="Verdana" w:hAnsi="Verdana" w:cs="Verdana"/>
          <w:i/>
          <w:iCs/>
          <w:spacing w:val="-2"/>
          <w:sz w:val="15"/>
          <w:szCs w:val="15"/>
          <w:lang w:val="es-ES" w:eastAsia="es-ES"/>
        </w:rPr>
        <w:t xml:space="preserve"> círculos. Adicionalmente, no se debe aceptar ningún tipo de distintivo o rotulación que no esté debidamente autorizado por el Consejo de Transporte Público, lo cual debe ser catalogado como falta grave en el Manual de Revisión Técnica Vehicular en caso de</w:t>
      </w:r>
      <w:r>
        <w:rPr>
          <w:rFonts w:ascii="Verdana" w:hAnsi="Verdana" w:cs="Verdana"/>
          <w:i/>
          <w:iCs/>
          <w:spacing w:val="-2"/>
          <w:sz w:val="15"/>
          <w:szCs w:val="15"/>
          <w:lang w:val="es-ES" w:eastAsia="es-ES"/>
        </w:rPr>
        <w:t xml:space="preserve"> detectarse esta situación.</w:t>
      </w:r>
    </w:p>
    <w:p w:rsidR="00000000" w:rsidRDefault="005B28A9">
      <w:pPr>
        <w:numPr>
          <w:ilvl w:val="0"/>
          <w:numId w:val="3"/>
        </w:numPr>
        <w:kinsoku w:val="0"/>
        <w:overflowPunct w:val="0"/>
        <w:autoSpaceDE/>
        <w:autoSpaceDN/>
        <w:adjustRightInd/>
        <w:spacing w:before="194" w:line="182"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Tomarse en consideración para sustitución de unidades, formalización y cualquier trámite que se realice y que se dé posterior a la fecha de renovación del código de la empresa, la antigüedad de las unidades autorizadas, de forma</w:t>
      </w:r>
      <w:r>
        <w:rPr>
          <w:rFonts w:ascii="Verdana" w:hAnsi="Verdana" w:cs="Verdana"/>
          <w:i/>
          <w:iCs/>
          <w:sz w:val="15"/>
          <w:szCs w:val="15"/>
          <w:lang w:val="es-ES" w:eastAsia="es-ES"/>
        </w:rPr>
        <w:t xml:space="preserve"> que se cumpla con lo establecido en la legislación correspondiente.</w:t>
      </w:r>
    </w:p>
    <w:p w:rsidR="00000000" w:rsidRDefault="005B28A9">
      <w:pPr>
        <w:numPr>
          <w:ilvl w:val="0"/>
          <w:numId w:val="3"/>
        </w:numPr>
        <w:kinsoku w:val="0"/>
        <w:overflowPunct w:val="0"/>
        <w:autoSpaceDE/>
        <w:autoSpaceDN/>
        <w:adjustRightInd/>
        <w:spacing w:before="183"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caso de que se detecte la información solicitada supra indicada en un orden diferente al establecido en los vehículos que actualmente están autorizados, tal orden se acepte por una úni</w:t>
      </w:r>
      <w:r>
        <w:rPr>
          <w:rFonts w:ascii="Verdana" w:hAnsi="Verdana" w:cs="Verdana"/>
          <w:i/>
          <w:iCs/>
          <w:sz w:val="15"/>
          <w:szCs w:val="15"/>
          <w:lang w:val="es-ES" w:eastAsia="es-ES"/>
        </w:rPr>
        <w:t>ca vez, lo cual deberá estar corregido en la siguiente revisión técnica periódica.</w:t>
      </w:r>
    </w:p>
    <w:p w:rsidR="00000000" w:rsidRDefault="005B28A9">
      <w:pPr>
        <w:numPr>
          <w:ilvl w:val="0"/>
          <w:numId w:val="3"/>
        </w:numPr>
        <w:kinsoku w:val="0"/>
        <w:overflowPunct w:val="0"/>
        <w:autoSpaceDE/>
        <w:autoSpaceDN/>
        <w:adjustRightInd/>
        <w:spacing w:before="192"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presentación a RTV periódica deberá hacerse de conformidad con lo que rige para el servicio de taxis (calendarización de revisión).</w:t>
      </w:r>
    </w:p>
    <w:p w:rsidR="00000000" w:rsidRDefault="005B28A9">
      <w:pPr>
        <w:numPr>
          <w:ilvl w:val="0"/>
          <w:numId w:val="3"/>
        </w:numPr>
        <w:kinsoku w:val="0"/>
        <w:overflowPunct w:val="0"/>
        <w:autoSpaceDE/>
        <w:autoSpaceDN/>
        <w:adjustRightInd/>
        <w:spacing w:before="178"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tarifa de revisión será</w:t>
      </w:r>
      <w:r>
        <w:rPr>
          <w:rFonts w:ascii="Verdana" w:hAnsi="Verdana" w:cs="Verdana"/>
          <w:i/>
          <w:iCs/>
          <w:sz w:val="15"/>
          <w:szCs w:val="15"/>
          <w:lang w:val="es-ES" w:eastAsia="es-ES"/>
        </w:rPr>
        <w:t xml:space="preserve"> la misma que está establecida en la estructura tarifaria de RTV para los taxis, cada seis meses.</w:t>
      </w:r>
    </w:p>
    <w:p w:rsidR="00000000" w:rsidRDefault="005B28A9">
      <w:pPr>
        <w:numPr>
          <w:ilvl w:val="0"/>
          <w:numId w:val="3"/>
        </w:numPr>
        <w:kinsoku w:val="0"/>
        <w:overflowPunct w:val="0"/>
        <w:autoSpaceDE/>
        <w:autoSpaceDN/>
        <w:adjustRightInd/>
        <w:spacing w:before="178"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Las características de la revisión contemplaran los mismos defectos que los estipulados para </w:t>
      </w:r>
      <w:proofErr w:type="gramStart"/>
      <w:r>
        <w:rPr>
          <w:rFonts w:ascii="Verdana" w:hAnsi="Verdana" w:cs="Verdana"/>
          <w:i/>
          <w:iCs/>
          <w:sz w:val="15"/>
          <w:szCs w:val="15"/>
          <w:lang w:val="es-ES" w:eastAsia="es-ES"/>
        </w:rPr>
        <w:t>los</w:t>
      </w:r>
      <w:proofErr w:type="gramEnd"/>
      <w:r>
        <w:rPr>
          <w:rFonts w:ascii="Verdana" w:hAnsi="Verdana" w:cs="Verdana"/>
          <w:i/>
          <w:iCs/>
          <w:sz w:val="15"/>
          <w:szCs w:val="15"/>
          <w:lang w:val="es-ES" w:eastAsia="es-ES"/>
        </w:rPr>
        <w:t xml:space="preserve"> taxis (por ejemplo: polarizado, publicidad).</w:t>
      </w:r>
    </w:p>
    <w:p w:rsidR="00000000" w:rsidRDefault="005B28A9">
      <w:pPr>
        <w:numPr>
          <w:ilvl w:val="0"/>
          <w:numId w:val="3"/>
        </w:numPr>
        <w:kinsoku w:val="0"/>
        <w:overflowPunct w:val="0"/>
        <w:autoSpaceDE/>
        <w:autoSpaceDN/>
        <w:adjustRightInd/>
        <w:spacing w:before="183"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El cumplimiento </w:t>
      </w:r>
      <w:r>
        <w:rPr>
          <w:rFonts w:ascii="Verdana" w:hAnsi="Verdana" w:cs="Verdana"/>
          <w:i/>
          <w:iCs/>
          <w:sz w:val="15"/>
          <w:szCs w:val="15"/>
          <w:lang w:val="es-ES" w:eastAsia="es-ES"/>
        </w:rPr>
        <w:t>del pago del canon debe solicitarse en RTV posteriormente a que entre en vigencia este cobro y así le sea advertido a la empresa concesionaria del RTV.</w:t>
      </w:r>
    </w:p>
    <w:p w:rsidR="00000000" w:rsidRDefault="005B28A9">
      <w:pPr>
        <w:numPr>
          <w:ilvl w:val="0"/>
          <w:numId w:val="3"/>
        </w:numPr>
        <w:kinsoku w:val="0"/>
        <w:overflowPunct w:val="0"/>
        <w:autoSpaceDE/>
        <w:autoSpaceDN/>
        <w:adjustRightInd/>
        <w:spacing w:before="11" w:line="187"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vehículos con los cuales se desarrolle la prestación del servicio especial estable de taxi no deben </w:t>
      </w:r>
      <w:r>
        <w:rPr>
          <w:rFonts w:ascii="Verdana" w:hAnsi="Verdana" w:cs="Verdana"/>
          <w:i/>
          <w:iCs/>
          <w:sz w:val="15"/>
          <w:szCs w:val="15"/>
          <w:lang w:val="es-ES" w:eastAsia="es-ES"/>
        </w:rPr>
        <w:t>tener las características propias de los vehículos modalidad taxi, ello de conformidad con lo establecido en el artículo 29, punto 2, inciso c) de la Ley N° 7969, reformado por la Ley N° 8955.</w:t>
      </w:r>
    </w:p>
    <w:p w:rsidR="00000000" w:rsidRDefault="005B28A9">
      <w:pPr>
        <w:kinsoku w:val="0"/>
        <w:overflowPunct w:val="0"/>
        <w:autoSpaceDE/>
        <w:autoSpaceDN/>
        <w:adjustRightInd/>
        <w:spacing w:before="183" w:line="182"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Se presenta un ejemplo de la rotulación que debe colocarse en a</w:t>
      </w:r>
      <w:r>
        <w:rPr>
          <w:rFonts w:ascii="Verdana" w:hAnsi="Verdana" w:cs="Verdana"/>
          <w:i/>
          <w:iCs/>
          <w:sz w:val="15"/>
          <w:szCs w:val="15"/>
          <w:lang w:val="es-ES" w:eastAsia="es-ES"/>
        </w:rPr>
        <w:t>mbas puertas delanteras en el caso de los vehículos sedanes.</w:t>
      </w:r>
    </w:p>
    <w:p w:rsidR="00000000" w:rsidRDefault="005B28A9">
      <w:pPr>
        <w:kinsoku w:val="0"/>
        <w:overflowPunct w:val="0"/>
        <w:autoSpaceDE/>
        <w:autoSpaceDN/>
        <w:adjustRightInd/>
        <w:spacing w:before="552" w:line="187" w:lineRule="exact"/>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Como parte de este proceso, se debe modificar parcialmente el artículo 2.2 de la Sesión Ordinaria 42-2012 y el artículo 3.1 de la Sesión Ordinaria 44-2012 en lo relativo las especificaciones y ro</w:t>
      </w:r>
      <w:r>
        <w:rPr>
          <w:rFonts w:ascii="Verdana" w:hAnsi="Verdana" w:cs="Verdana"/>
          <w:i/>
          <w:iCs/>
          <w:sz w:val="15"/>
          <w:szCs w:val="15"/>
          <w:lang w:val="es-ES" w:eastAsia="es-ES"/>
        </w:rPr>
        <w:t>tulación de los vehículos para que, en lo que corresponde, se lea de la siguiente forma:</w:t>
      </w:r>
    </w:p>
    <w:p w:rsidR="00000000" w:rsidRDefault="005B28A9">
      <w:pPr>
        <w:kinsoku w:val="0"/>
        <w:overflowPunct w:val="0"/>
        <w:autoSpaceDE/>
        <w:autoSpaceDN/>
        <w:adjustRightInd/>
        <w:spacing w:before="175" w:line="187" w:lineRule="exact"/>
        <w:ind w:left="576"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"Especificaciones y rotulación de los vehículos: Los vehículos con los cuales se desarrolle la prestación del servicio especial estable de taxi deberán estar identific</w:t>
      </w:r>
      <w:r>
        <w:rPr>
          <w:rFonts w:ascii="Verdana" w:hAnsi="Verdana" w:cs="Verdana"/>
          <w:i/>
          <w:iCs/>
          <w:sz w:val="15"/>
          <w:szCs w:val="15"/>
          <w:lang w:val="es-ES" w:eastAsia="es-ES"/>
        </w:rPr>
        <w:t>ados en ambas puertas con un circulo con el nombre de la empresa permisionaria, con una medida de veintiocho (28) centímetros de diámetro, mismo que deberá indicar número de permiso, nombre de la empresa, provincia, código, cantón, placa del vehículo y, am</w:t>
      </w:r>
      <w:r>
        <w:rPr>
          <w:rFonts w:ascii="Verdana" w:hAnsi="Verdana" w:cs="Verdana"/>
          <w:i/>
          <w:iCs/>
          <w:sz w:val="15"/>
          <w:szCs w:val="15"/>
          <w:lang w:val="es-ES" w:eastAsia="es-ES"/>
        </w:rPr>
        <w:t xml:space="preserve">bas figuras geométricas deberán estar pintadas y con fondo color celeste y letras negras. La identificación se hará con pintura </w:t>
      </w:r>
      <w:proofErr w:type="spellStart"/>
      <w:r>
        <w:rPr>
          <w:rFonts w:ascii="Verdana" w:hAnsi="Verdana" w:cs="Verdana"/>
          <w:i/>
          <w:iCs/>
          <w:sz w:val="15"/>
          <w:szCs w:val="15"/>
          <w:lang w:val="es-ES" w:eastAsia="es-ES"/>
        </w:rPr>
        <w:t>retroreflectiva</w:t>
      </w:r>
      <w:proofErr w:type="spellEnd"/>
      <w:r>
        <w:rPr>
          <w:rFonts w:ascii="Verdana" w:hAnsi="Verdana" w:cs="Verdana"/>
          <w:i/>
          <w:iCs/>
          <w:sz w:val="15"/>
          <w:szCs w:val="15"/>
          <w:lang w:val="es-ES" w:eastAsia="es-ES"/>
        </w:rPr>
        <w:t>, garantizándose su durabilidad, por lo que no serán aceptadas ningún tipo de calcomanía.</w:t>
      </w:r>
    </w:p>
    <w:p w:rsidR="00000000" w:rsidRDefault="005B28A9">
      <w:pPr>
        <w:kinsoku w:val="0"/>
        <w:overflowPunct w:val="0"/>
        <w:autoSpaceDE/>
        <w:autoSpaceDN/>
        <w:adjustRightInd/>
        <w:spacing w:before="188" w:line="187" w:lineRule="exact"/>
        <w:ind w:left="576"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Los vehículos que prest</w:t>
      </w:r>
      <w:r>
        <w:rPr>
          <w:rFonts w:ascii="Verdana" w:hAnsi="Verdana" w:cs="Verdana"/>
          <w:i/>
          <w:iCs/>
          <w:sz w:val="15"/>
          <w:szCs w:val="15"/>
          <w:lang w:val="es-ES" w:eastAsia="es-ES"/>
        </w:rPr>
        <w:t>en el servicio de transporte remunerado "modalidad Servicio Especial Estable de Taxi", deberán cumplir con los requisitos de la Ley de Tránsito por Vías Públicas Terrestres, sus reformas y sus reglamentos, en especial a lo que refiere a las emisiones de ga</w:t>
      </w:r>
      <w:r>
        <w:rPr>
          <w:rFonts w:ascii="Verdana" w:hAnsi="Verdana" w:cs="Verdana"/>
          <w:i/>
          <w:iCs/>
          <w:sz w:val="15"/>
          <w:szCs w:val="15"/>
          <w:lang w:val="es-ES" w:eastAsia="es-ES"/>
        </w:rPr>
        <w:t>ses contaminantes y la revisión técnica vehicular exigida para Transporte Público.</w:t>
      </w:r>
    </w:p>
    <w:p w:rsidR="00000000" w:rsidRDefault="005B28A9">
      <w:pPr>
        <w:kinsoku w:val="0"/>
        <w:overflowPunct w:val="0"/>
        <w:autoSpaceDE/>
        <w:autoSpaceDN/>
        <w:adjustRightInd/>
        <w:spacing w:before="174" w:line="187" w:lineRule="exact"/>
        <w:ind w:left="576"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Asimismo, la formalización se podrá realizar con el número de placa particular de los vehí</w:t>
      </w:r>
      <w:r>
        <w:rPr>
          <w:rFonts w:ascii="Verdana" w:hAnsi="Verdana" w:cs="Verdana"/>
          <w:i/>
          <w:iCs/>
          <w:sz w:val="15"/>
          <w:szCs w:val="15"/>
          <w:lang w:val="es-ES" w:eastAsia="es-ES"/>
        </w:rPr>
        <w:t>culos con los cuales actualmente se brinda el servicio especial estable de taxi, y que fueron reportados por cada una de las empresas que resulten permisionarias, siendo que el uso de la placa de servicio público se regulará en la reglamentación correspond</w:t>
      </w:r>
      <w:r>
        <w:rPr>
          <w:rFonts w:ascii="Verdana" w:hAnsi="Verdana" w:cs="Verdana"/>
          <w:i/>
          <w:iCs/>
          <w:sz w:val="15"/>
          <w:szCs w:val="15"/>
          <w:lang w:val="es-ES" w:eastAsia="es-ES"/>
        </w:rPr>
        <w:t>iente.</w:t>
      </w:r>
    </w:p>
    <w:p w:rsidR="00000000" w:rsidRDefault="005B28A9">
      <w:pPr>
        <w:kinsoku w:val="0"/>
        <w:overflowPunct w:val="0"/>
        <w:autoSpaceDE/>
        <w:autoSpaceDN/>
        <w:adjustRightInd/>
        <w:spacing w:before="179" w:line="185" w:lineRule="exact"/>
        <w:ind w:left="576" w:right="504"/>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u w:val="single"/>
          <w:lang w:val="es-ES" w:eastAsia="es-ES"/>
        </w:rPr>
        <w:t xml:space="preserve">Para </w:t>
      </w:r>
      <w:r w:rsidR="00861CD1">
        <w:rPr>
          <w:rFonts w:ascii="Verdana" w:hAnsi="Verdana" w:cs="Verdana"/>
          <w:b/>
          <w:bCs/>
          <w:i/>
          <w:iCs/>
          <w:sz w:val="15"/>
          <w:szCs w:val="15"/>
          <w:u w:val="single"/>
          <w:lang w:val="es-ES" w:eastAsia="es-ES"/>
        </w:rPr>
        <w:t>aquellos</w:t>
      </w:r>
      <w:r>
        <w:rPr>
          <w:rFonts w:ascii="Verdana" w:hAnsi="Verdana" w:cs="Verdana"/>
          <w:b/>
          <w:bCs/>
          <w:i/>
          <w:iCs/>
          <w:sz w:val="15"/>
          <w:szCs w:val="15"/>
          <w:u w:val="single"/>
          <w:lang w:val="es-ES" w:eastAsia="es-ES"/>
        </w:rPr>
        <w:t xml:space="preserve"> vehículos a los </w:t>
      </w:r>
      <w:r w:rsidR="00861CD1">
        <w:rPr>
          <w:rFonts w:ascii="Verdana" w:hAnsi="Verdana" w:cs="Verdana"/>
          <w:b/>
          <w:bCs/>
          <w:i/>
          <w:iCs/>
          <w:sz w:val="15"/>
          <w:szCs w:val="15"/>
          <w:u w:val="single"/>
          <w:lang w:val="es-ES" w:eastAsia="es-ES"/>
        </w:rPr>
        <w:t>que</w:t>
      </w:r>
      <w:r>
        <w:rPr>
          <w:rFonts w:ascii="Verdana" w:hAnsi="Verdana" w:cs="Verdana"/>
          <w:b/>
          <w:bCs/>
          <w:i/>
          <w:iCs/>
          <w:sz w:val="15"/>
          <w:szCs w:val="15"/>
          <w:u w:val="single"/>
          <w:lang w:val="es-ES" w:eastAsia="es-ES"/>
        </w:rPr>
        <w:t xml:space="preserve"> se les solicite cambio de unidad, los </w:t>
      </w:r>
      <w:r w:rsidR="00861CD1">
        <w:rPr>
          <w:rFonts w:ascii="Verdana" w:hAnsi="Verdana" w:cs="Verdana"/>
          <w:b/>
          <w:bCs/>
          <w:i/>
          <w:iCs/>
          <w:sz w:val="15"/>
          <w:szCs w:val="15"/>
          <w:u w:val="single"/>
          <w:lang w:val="es-ES" w:eastAsia="es-ES"/>
        </w:rPr>
        <w:t>que</w:t>
      </w:r>
      <w:r>
        <w:rPr>
          <w:rFonts w:ascii="Verdana" w:hAnsi="Verdana" w:cs="Verdana"/>
          <w:b/>
          <w:bCs/>
          <w:i/>
          <w:iCs/>
          <w:sz w:val="15"/>
          <w:szCs w:val="15"/>
          <w:u w:val="single"/>
          <w:lang w:val="es-ES" w:eastAsia="es-ES"/>
        </w:rPr>
        <w:t xml:space="preserve"> se encuentren actualmente autorizados v los </w:t>
      </w:r>
      <w:r w:rsidR="00861CD1">
        <w:rPr>
          <w:rFonts w:ascii="Verdana" w:hAnsi="Verdana" w:cs="Verdana"/>
          <w:b/>
          <w:bCs/>
          <w:i/>
          <w:iCs/>
          <w:sz w:val="15"/>
          <w:szCs w:val="15"/>
          <w:u w:val="single"/>
          <w:lang w:val="es-ES" w:eastAsia="es-ES"/>
        </w:rPr>
        <w:t>que</w:t>
      </w:r>
      <w:r>
        <w:rPr>
          <w:rFonts w:ascii="Verdana" w:hAnsi="Verdana" w:cs="Verdana"/>
          <w:b/>
          <w:bCs/>
          <w:i/>
          <w:iCs/>
          <w:sz w:val="15"/>
          <w:szCs w:val="15"/>
          <w:u w:val="single"/>
          <w:lang w:val="es-ES" w:eastAsia="es-ES"/>
        </w:rPr>
        <w:t xml:space="preserve"> sean autorizados Por primera vez en este proceso, deberán acatar lo dispuesto sobre la rotulación descrita en este acuerdo. </w:t>
      </w:r>
    </w:p>
    <w:p w:rsidR="00000000" w:rsidRDefault="005B28A9">
      <w:pPr>
        <w:kinsoku w:val="0"/>
        <w:overflowPunct w:val="0"/>
        <w:autoSpaceDE/>
        <w:autoSpaceDN/>
        <w:adjustRightInd/>
        <w:spacing w:before="190" w:after="415" w:line="186" w:lineRule="exact"/>
        <w:ind w:left="504" w:right="504"/>
        <w:jc w:val="both"/>
        <w:textAlignment w:val="baseline"/>
        <w:rPr>
          <w:rFonts w:ascii="Verdana" w:hAnsi="Verdana" w:cs="Verdana"/>
          <w:b/>
          <w:bCs/>
          <w:i/>
          <w:iCs/>
          <w:sz w:val="15"/>
          <w:szCs w:val="15"/>
          <w:u w:val="single"/>
          <w:lang w:val="es-ES" w:eastAsia="es-ES"/>
        </w:rPr>
      </w:pPr>
      <w:r>
        <w:rPr>
          <w:noProof/>
          <w:lang w:val="es-CR"/>
        </w:rPr>
        <w:pict>
          <v:line id="_x0000_s1027" style="position:absolute;left:0;text-align:left;z-index:251659264;mso-wrap-distance-left:0;mso-wrap-distance-right:0;mso-position-horizontal-relative:page;mso-position-vertical-relative:page" from="144.7pt,736.3pt" to="471.9pt,736.3pt" o:allowincell="f" strokeweight=".95pt">
            <w10:wrap type="square" anchorx="page" anchory="page"/>
          </v:line>
        </w:pict>
      </w:r>
      <w:r>
        <w:rPr>
          <w:rFonts w:ascii="Verdana" w:hAnsi="Verdana" w:cs="Verdana"/>
          <w:b/>
          <w:bCs/>
          <w:i/>
          <w:iCs/>
          <w:sz w:val="15"/>
          <w:szCs w:val="15"/>
          <w:u w:val="single"/>
          <w:lang w:val="es-ES" w:eastAsia="es-ES"/>
        </w:rPr>
        <w:t xml:space="preserve">Asimismo, al realizarse la renovación del código de la empresa al cabo de los tres años como dicta la Ley, los vehículos </w:t>
      </w:r>
      <w:proofErr w:type="spellStart"/>
      <w:r>
        <w:rPr>
          <w:rFonts w:ascii="Verdana" w:hAnsi="Verdana" w:cs="Verdana"/>
          <w:b/>
          <w:bCs/>
          <w:i/>
          <w:iCs/>
          <w:sz w:val="15"/>
          <w:szCs w:val="15"/>
          <w:u w:val="single"/>
          <w:lang w:val="es-ES" w:eastAsia="es-ES"/>
        </w:rPr>
        <w:t>aue</w:t>
      </w:r>
      <w:proofErr w:type="spellEnd"/>
      <w:r>
        <w:rPr>
          <w:rFonts w:ascii="Verdana" w:hAnsi="Verdana" w:cs="Verdana"/>
          <w:b/>
          <w:bCs/>
          <w:i/>
          <w:iCs/>
          <w:sz w:val="15"/>
          <w:szCs w:val="15"/>
          <w:u w:val="single"/>
          <w:lang w:val="es-ES" w:eastAsia="es-ES"/>
        </w:rPr>
        <w:t xml:space="preserve"> se encuentran rotulados</w:t>
      </w:r>
    </w:p>
    <w:p w:rsidR="00000000" w:rsidRDefault="005B28A9">
      <w:pPr>
        <w:widowControl/>
        <w:rPr>
          <w:sz w:val="24"/>
          <w:szCs w:val="24"/>
        </w:rPr>
        <w:sectPr w:rsidR="00000000">
          <w:pgSz w:w="12134" w:h="15840"/>
          <w:pgMar w:top="1340" w:right="2174" w:bottom="180" w:left="2400" w:header="720" w:footer="720" w:gutter="0"/>
          <w:cols w:space="720"/>
          <w:noEndnote/>
        </w:sectPr>
      </w:pPr>
    </w:p>
    <w:p w:rsidR="00000000" w:rsidRDefault="005B28A9">
      <w:pPr>
        <w:widowControl/>
        <w:rPr>
          <w:sz w:val="24"/>
          <w:szCs w:val="24"/>
        </w:rPr>
        <w:sectPr w:rsidR="00000000">
          <w:type w:val="continuous"/>
          <w:pgSz w:w="12134" w:h="15840"/>
          <w:pgMar w:top="1340" w:right="1864" w:bottom="180" w:left="7390" w:header="720" w:footer="720" w:gutter="0"/>
          <w:cols w:space="720"/>
          <w:noEndnote/>
        </w:sectPr>
      </w:pPr>
    </w:p>
    <w:p w:rsidR="00000000" w:rsidRDefault="005B28A9">
      <w:pPr>
        <w:kinsoku w:val="0"/>
        <w:overflowPunct w:val="0"/>
        <w:autoSpaceDE/>
        <w:autoSpaceDN/>
        <w:adjustRightInd/>
        <w:spacing w:before="10" w:line="187" w:lineRule="exact"/>
        <w:ind w:left="720" w:right="720"/>
        <w:jc w:val="both"/>
        <w:textAlignment w:val="baseline"/>
        <w:rPr>
          <w:rFonts w:ascii="Verdana" w:hAnsi="Verdana" w:cs="Verdana"/>
          <w:b/>
          <w:bCs/>
          <w:i/>
          <w:iCs/>
          <w:spacing w:val="1"/>
          <w:sz w:val="15"/>
          <w:szCs w:val="15"/>
          <w:u w:val="single"/>
          <w:lang w:val="es-ES" w:eastAsia="es-ES"/>
        </w:rPr>
      </w:pPr>
      <w:proofErr w:type="gramStart"/>
      <w:r>
        <w:rPr>
          <w:rFonts w:ascii="Verdana" w:hAnsi="Verdana" w:cs="Verdana"/>
          <w:b/>
          <w:bCs/>
          <w:i/>
          <w:iCs/>
          <w:spacing w:val="1"/>
          <w:sz w:val="15"/>
          <w:szCs w:val="15"/>
          <w:u w:val="single"/>
          <w:lang w:val="es-ES" w:eastAsia="es-ES"/>
        </w:rPr>
        <w:t>con</w:t>
      </w:r>
      <w:proofErr w:type="gramEnd"/>
      <w:r>
        <w:rPr>
          <w:rFonts w:ascii="Verdana" w:hAnsi="Verdana" w:cs="Verdana"/>
          <w:b/>
          <w:bCs/>
          <w:i/>
          <w:iCs/>
          <w:spacing w:val="1"/>
          <w:sz w:val="15"/>
          <w:szCs w:val="15"/>
          <w:u w:val="single"/>
          <w:lang w:val="es-ES" w:eastAsia="es-ES"/>
        </w:rPr>
        <w:t xml:space="preserve"> el procedimiento actual, deberán ser r</w:t>
      </w:r>
      <w:r>
        <w:rPr>
          <w:rFonts w:ascii="Verdana" w:hAnsi="Verdana" w:cs="Verdana"/>
          <w:b/>
          <w:bCs/>
          <w:i/>
          <w:iCs/>
          <w:spacing w:val="1"/>
          <w:sz w:val="15"/>
          <w:szCs w:val="15"/>
          <w:u w:val="single"/>
          <w:lang w:val="es-ES" w:eastAsia="es-ES"/>
        </w:rPr>
        <w:t xml:space="preserve">otulados siguiendo el procedimiento supra citado v teniendo en cuenta la antigüedad de las unidades según lo dispuesto en la normativa vigente. </w:t>
      </w:r>
    </w:p>
    <w:p w:rsidR="00000000" w:rsidRDefault="005B28A9">
      <w:pPr>
        <w:kinsoku w:val="0"/>
        <w:overflowPunct w:val="0"/>
        <w:autoSpaceDE/>
        <w:autoSpaceDN/>
        <w:adjustRightInd/>
        <w:spacing w:before="191" w:line="187" w:lineRule="exact"/>
        <w:ind w:left="792"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Instar al Consejo de Seguridad Vial para que el departamento correspondiente incluya como falta grave lo dispu</w:t>
      </w:r>
      <w:r>
        <w:rPr>
          <w:rFonts w:ascii="Verdana" w:hAnsi="Verdana" w:cs="Verdana"/>
          <w:i/>
          <w:iCs/>
          <w:sz w:val="15"/>
          <w:szCs w:val="15"/>
          <w:lang w:val="es-ES" w:eastAsia="es-ES"/>
        </w:rPr>
        <w:t>esto en este acuerdo, a saber: rotulación no autorizada, antigüedad de las unidades, canon de servicio público (se informará del momento de aplicación) y que la unidad no se encuentre debidamente autorizada."</w:t>
      </w:r>
    </w:p>
    <w:p w:rsidR="00000000" w:rsidRDefault="005B28A9">
      <w:pPr>
        <w:kinsoku w:val="0"/>
        <w:overflowPunct w:val="0"/>
        <w:autoSpaceDE/>
        <w:autoSpaceDN/>
        <w:adjustRightInd/>
        <w:spacing w:before="556" w:line="183"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POR TANTO SE ACUERDA</w:t>
      </w:r>
    </w:p>
    <w:p w:rsidR="00000000" w:rsidRDefault="005B28A9">
      <w:pPr>
        <w:kinsoku w:val="0"/>
        <w:overflowPunct w:val="0"/>
        <w:autoSpaceDE/>
        <w:autoSpaceDN/>
        <w:adjustRightInd/>
        <w:spacing w:before="2" w:line="183"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EN FIRME</w:t>
      </w:r>
    </w:p>
    <w:p w:rsidR="00000000" w:rsidRDefault="005B28A9">
      <w:pPr>
        <w:kinsoku w:val="0"/>
        <w:overflowPunct w:val="0"/>
        <w:autoSpaceDE/>
        <w:autoSpaceDN/>
        <w:adjustRightInd/>
        <w:spacing w:before="23" w:line="183" w:lineRule="exact"/>
        <w:ind w:left="288"/>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Votación Unánime</w:t>
      </w:r>
    </w:p>
    <w:p w:rsidR="00000000" w:rsidRDefault="005B28A9">
      <w:pPr>
        <w:numPr>
          <w:ilvl w:val="0"/>
          <w:numId w:val="4"/>
        </w:numPr>
        <w:kinsoku w:val="0"/>
        <w:overflowPunct w:val="0"/>
        <w:autoSpaceDE/>
        <w:autoSpaceDN/>
        <w:adjustRightInd/>
        <w:spacing w:before="219" w:line="187" w:lineRule="exact"/>
        <w:textAlignment w:val="baseline"/>
        <w:rPr>
          <w:rFonts w:ascii="Verdana" w:hAnsi="Verdana" w:cs="Verdana"/>
          <w:i/>
          <w:iCs/>
          <w:spacing w:val="-1"/>
          <w:sz w:val="15"/>
          <w:szCs w:val="15"/>
          <w:lang w:val="es-ES" w:eastAsia="es-ES"/>
        </w:rPr>
      </w:pPr>
      <w:r>
        <w:rPr>
          <w:rFonts w:ascii="Verdana" w:hAnsi="Verdana" w:cs="Verdana"/>
          <w:i/>
          <w:iCs/>
          <w:spacing w:val="-1"/>
          <w:sz w:val="15"/>
          <w:szCs w:val="15"/>
          <w:lang w:val="es-ES" w:eastAsia="es-ES"/>
        </w:rPr>
        <w:t>Aprobar las modificaciones presentadas en este informe.</w:t>
      </w:r>
    </w:p>
    <w:p w:rsidR="00000000" w:rsidRDefault="005B28A9">
      <w:pPr>
        <w:numPr>
          <w:ilvl w:val="0"/>
          <w:numId w:val="4"/>
        </w:numPr>
        <w:kinsoku w:val="0"/>
        <w:overflowPunct w:val="0"/>
        <w:autoSpaceDE/>
        <w:autoSpaceDN/>
        <w:adjustRightInd/>
        <w:spacing w:before="11" w:line="187" w:lineRule="exact"/>
        <w:ind w:right="28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Instar al Consejo de Seguridad Vial para que el departamento correspondiente incluya como falta grave lo dispuesto en este acuerdo, a saber: rotulación no autorizada, antigüedad de las unidades, c</w:t>
      </w:r>
      <w:r>
        <w:rPr>
          <w:rFonts w:ascii="Verdana" w:hAnsi="Verdana" w:cs="Verdana"/>
          <w:i/>
          <w:iCs/>
          <w:sz w:val="15"/>
          <w:szCs w:val="15"/>
          <w:lang w:val="es-ES" w:eastAsia="es-ES"/>
        </w:rPr>
        <w:t>anon de servicio público (se informará del momento de aplicación) y que la unidad no se encuentre debidamente autorizada.</w:t>
      </w:r>
    </w:p>
    <w:p w:rsidR="00000000" w:rsidRDefault="005B28A9">
      <w:pPr>
        <w:numPr>
          <w:ilvl w:val="0"/>
          <w:numId w:val="4"/>
        </w:numPr>
        <w:kinsoku w:val="0"/>
        <w:overflowPunct w:val="0"/>
        <w:autoSpaceDE/>
        <w:autoSpaceDN/>
        <w:adjustRightInd/>
        <w:spacing w:before="5" w:line="187" w:lineRule="exact"/>
        <w:ind w:right="28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Notifíquese a Centro de información, Plataforma de Servicios, Dirección Ejecutiva, Dirección Técnica, Departamento de Inspección y Con</w:t>
      </w:r>
      <w:r>
        <w:rPr>
          <w:rFonts w:ascii="Verdana" w:hAnsi="Verdana" w:cs="Verdana"/>
          <w:i/>
          <w:iCs/>
          <w:sz w:val="15"/>
          <w:szCs w:val="15"/>
          <w:lang w:val="es-ES" w:eastAsia="es-ES"/>
        </w:rPr>
        <w:t>trol; además, a las Empresas y personas físicas autorizadas del Servicio Especial Estable de Taxi y al Dirección Ejecutiva del Consejo de Seguridad Vial". ( El resaltado es nuestro)</w:t>
      </w:r>
    </w:p>
    <w:p w:rsidR="00000000" w:rsidRDefault="005B28A9">
      <w:pPr>
        <w:kinsoku w:val="0"/>
        <w:overflowPunct w:val="0"/>
        <w:autoSpaceDE/>
        <w:autoSpaceDN/>
        <w:adjustRightInd/>
        <w:spacing w:before="280" w:line="279"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La recurrente po</w:t>
      </w:r>
      <w:r w:rsidR="00861CD1">
        <w:rPr>
          <w:rFonts w:ascii="Verdana" w:hAnsi="Verdana" w:cs="Verdana"/>
          <w:sz w:val="22"/>
          <w:szCs w:val="22"/>
          <w:lang w:val="es-ES" w:eastAsia="es-ES"/>
        </w:rPr>
        <w:t>r medio de su Apoderado señor J.A.Q.C.</w:t>
      </w:r>
      <w:r>
        <w:rPr>
          <w:rFonts w:ascii="Verdana" w:hAnsi="Verdana" w:cs="Verdana"/>
          <w:sz w:val="22"/>
          <w:szCs w:val="22"/>
          <w:lang w:val="es-ES" w:eastAsia="es-ES"/>
        </w:rPr>
        <w:t xml:space="preserve"> interpone recurso de Revocatoria Con Apelación en Subsidio y Nulidad concomitante, contra el artículo 7.2 de la Sesión Ordinaria 43-2013 de 26 de junio de 2013 indicando lo siguiente: (Léanse folios 49 al 51 del expediente administrativo)</w:t>
      </w:r>
    </w:p>
    <w:p w:rsidR="00000000" w:rsidRDefault="005B28A9">
      <w:pPr>
        <w:numPr>
          <w:ilvl w:val="0"/>
          <w:numId w:val="5"/>
        </w:numPr>
        <w:kinsoku w:val="0"/>
        <w:overflowPunct w:val="0"/>
        <w:autoSpaceDE/>
        <w:autoSpaceDN/>
        <w:adjustRightInd/>
        <w:spacing w:before="269" w:line="279"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El acuerdo que impugna tiene vicios de ilegalidad, lo que refuta en forma directa en referencia al considerando uno. Su representada ha sido debidamente acreditada con un permiso especial estable de taxi y el señor Viceministro, emitió un acuerdo o dire</w:t>
      </w:r>
      <w:r>
        <w:rPr>
          <w:rFonts w:ascii="Verdana" w:hAnsi="Verdana" w:cs="Verdana"/>
          <w:spacing w:val="3"/>
          <w:sz w:val="22"/>
          <w:szCs w:val="22"/>
          <w:lang w:val="es-ES" w:eastAsia="es-ES"/>
        </w:rPr>
        <w:t>ctriz en la que se daba una serie de definiciones en relación con las condiciones de formalización del permiso y de los códigos de los vehículos acreditados, el cual vino a uniformar la flotilla vehicular SEETAXI.</w:t>
      </w:r>
    </w:p>
    <w:p w:rsidR="00000000" w:rsidRDefault="005B28A9">
      <w:pPr>
        <w:numPr>
          <w:ilvl w:val="0"/>
          <w:numId w:val="5"/>
        </w:numPr>
        <w:kinsoku w:val="0"/>
        <w:overflowPunct w:val="0"/>
        <w:autoSpaceDE/>
        <w:autoSpaceDN/>
        <w:adjustRightInd/>
        <w:spacing w:before="281"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acuerdo a lo anterior las empresas incurrieron en una serie de gastos de formalización entre los cuales el circulo celeste pintado en ambas puertas delanteras. Sus vehículos fueron inspeccionados y aprobados por el CTP.</w:t>
      </w:r>
    </w:p>
    <w:p w:rsidR="00000000" w:rsidRDefault="005B28A9">
      <w:pPr>
        <w:numPr>
          <w:ilvl w:val="0"/>
          <w:numId w:val="5"/>
        </w:numPr>
        <w:kinsoku w:val="0"/>
        <w:overflowPunct w:val="0"/>
        <w:autoSpaceDE/>
        <w:autoSpaceDN/>
        <w:adjustRightInd/>
        <w:spacing w:before="267"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No ha pasado ni el primer periodo</w:t>
      </w:r>
      <w:r>
        <w:rPr>
          <w:rFonts w:ascii="Verdana" w:hAnsi="Verdana" w:cs="Verdana"/>
          <w:sz w:val="22"/>
          <w:szCs w:val="22"/>
          <w:lang w:val="es-ES" w:eastAsia="es-ES"/>
        </w:rPr>
        <w:t xml:space="preserve"> de vigencia del permiso y el acuerdo impugnado, pretende cambiar algunos trazos de la leyenda lo que conlleva pintar nuevamente los mismos y por ende incurrir en gastos.</w:t>
      </w:r>
    </w:p>
    <w:p w:rsidR="00000000" w:rsidRDefault="005B28A9">
      <w:pPr>
        <w:kinsoku w:val="0"/>
        <w:overflowPunct w:val="0"/>
        <w:autoSpaceDE/>
        <w:autoSpaceDN/>
        <w:adjustRightInd/>
        <w:spacing w:before="279" w:line="279" w:lineRule="exact"/>
        <w:ind w:lef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d).- Con las disposiciones anteriores, se permite a las empresas poner su logo su mar</w:t>
      </w:r>
      <w:r>
        <w:rPr>
          <w:rFonts w:ascii="Verdana" w:hAnsi="Verdana" w:cs="Verdana"/>
          <w:spacing w:val="3"/>
          <w:sz w:val="22"/>
          <w:szCs w:val="22"/>
          <w:lang w:val="es-ES" w:eastAsia="es-ES"/>
        </w:rPr>
        <w:t>ca comercial en la tapa delantera, lo cual es un derecho de toda empresa y ahora se les prohíbe con el acuerdo impugnado. No se ha emitido el Reglamento de la actividad de SEETAXI, por lo que no puede ser que a través de acuerdos de la Junta Directiva se p</w:t>
      </w:r>
      <w:r>
        <w:rPr>
          <w:rFonts w:ascii="Verdana" w:hAnsi="Verdana" w:cs="Verdana"/>
          <w:spacing w:val="3"/>
          <w:sz w:val="22"/>
          <w:szCs w:val="22"/>
          <w:lang w:val="es-ES" w:eastAsia="es-ES"/>
        </w:rPr>
        <w:t>retenda suplir las potestades reglamentarias.</w:t>
      </w:r>
    </w:p>
    <w:p w:rsidR="00000000" w:rsidRDefault="005B28A9">
      <w:pPr>
        <w:widowControl/>
        <w:rPr>
          <w:sz w:val="24"/>
          <w:szCs w:val="24"/>
        </w:rPr>
        <w:sectPr w:rsidR="00000000">
          <w:pgSz w:w="12134" w:h="15840"/>
          <w:pgMar w:top="1300" w:right="1938" w:bottom="210" w:left="2116" w:header="720" w:footer="720" w:gutter="0"/>
          <w:cols w:space="720"/>
          <w:noEndnote/>
        </w:sectPr>
      </w:pPr>
    </w:p>
    <w:p w:rsidR="00000000" w:rsidRDefault="005B28A9">
      <w:pPr>
        <w:kinsoku w:val="0"/>
        <w:overflowPunct w:val="0"/>
        <w:autoSpaceDE/>
        <w:autoSpaceDN/>
        <w:adjustRightInd/>
        <w:spacing w:line="271" w:lineRule="exact"/>
        <w:ind w:left="72"/>
        <w:textAlignment w:val="baseline"/>
        <w:rPr>
          <w:rFonts w:ascii="Verdana" w:hAnsi="Verdana" w:cs="Verdana"/>
          <w:spacing w:val="2"/>
          <w:sz w:val="22"/>
          <w:szCs w:val="22"/>
          <w:lang w:val="es-ES" w:eastAsia="es-ES"/>
        </w:rPr>
      </w:pPr>
      <w:proofErr w:type="gramStart"/>
      <w:r>
        <w:rPr>
          <w:rFonts w:ascii="Verdana" w:hAnsi="Verdana" w:cs="Verdana"/>
          <w:spacing w:val="2"/>
          <w:sz w:val="22"/>
          <w:szCs w:val="22"/>
          <w:lang w:val="es-ES" w:eastAsia="es-ES"/>
        </w:rPr>
        <w:t>e</w:t>
      </w:r>
      <w:proofErr w:type="gramEnd"/>
      <w:r>
        <w:rPr>
          <w:rFonts w:ascii="Verdana" w:hAnsi="Verdana" w:cs="Verdana"/>
          <w:spacing w:val="2"/>
          <w:sz w:val="22"/>
          <w:szCs w:val="22"/>
          <w:lang w:val="es-ES" w:eastAsia="es-ES"/>
        </w:rPr>
        <w:t>.)- Solicita se deje sin efecto el acuerdo impugnado.</w:t>
      </w:r>
    </w:p>
    <w:p w:rsidR="00000000" w:rsidRDefault="005B28A9">
      <w:pPr>
        <w:kinsoku w:val="0"/>
        <w:overflowPunct w:val="0"/>
        <w:autoSpaceDE/>
        <w:autoSpaceDN/>
        <w:adjustRightInd/>
        <w:spacing w:before="560" w:line="277" w:lineRule="exact"/>
        <w:ind w:lef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TERCERO: </w:t>
      </w:r>
      <w:r>
        <w:rPr>
          <w:rFonts w:ascii="Verdana" w:hAnsi="Verdana" w:cs="Verdana"/>
          <w:spacing w:val="3"/>
          <w:sz w:val="22"/>
          <w:szCs w:val="22"/>
          <w:lang w:val="es-ES" w:eastAsia="es-ES"/>
        </w:rPr>
        <w:t>Mediante acuerdo 7.2.21 de la Sesión Ordinaria 62-2014 de 23 de octubre de 2014, la Junta Directiva del</w:t>
      </w:r>
      <w:r>
        <w:rPr>
          <w:rFonts w:ascii="Verdana" w:hAnsi="Verdana" w:cs="Verdana"/>
          <w:spacing w:val="3"/>
          <w:sz w:val="22"/>
          <w:szCs w:val="22"/>
          <w:lang w:val="es-ES" w:eastAsia="es-ES"/>
        </w:rPr>
        <w:t xml:space="preserve"> Consejo de Transporte Público conoce y avala el informe de la Dirección de Asuntos Jurídicos DAJ-2014001743 de 5 de mayo de 2014 y rechaza en todos sus extremos el recurso presentado así como la nulidad invocada, por considerar que el Consejo actuó apegad</w:t>
      </w:r>
      <w:r>
        <w:rPr>
          <w:rFonts w:ascii="Verdana" w:hAnsi="Verdana" w:cs="Verdana"/>
          <w:spacing w:val="3"/>
          <w:sz w:val="22"/>
          <w:szCs w:val="22"/>
          <w:lang w:val="es-ES" w:eastAsia="es-ES"/>
        </w:rPr>
        <w:t>o a la Legalidad según los términos del numeral 7 de la Ley 7969, además de no encontrarse vicio de nulidad alguno.(Léanse folios del 1 al 3 y del 45 al 47 del expediente administrativo)</w:t>
      </w:r>
    </w:p>
    <w:p w:rsidR="00000000" w:rsidRDefault="005B28A9">
      <w:pPr>
        <w:kinsoku w:val="0"/>
        <w:overflowPunct w:val="0"/>
        <w:autoSpaceDE/>
        <w:autoSpaceDN/>
        <w:adjustRightInd/>
        <w:spacing w:before="287" w:line="274" w:lineRule="exact"/>
        <w:ind w:lef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w:t>
      </w:r>
      <w:r>
        <w:rPr>
          <w:rFonts w:ascii="Verdana" w:hAnsi="Verdana" w:cs="Verdana"/>
          <w:sz w:val="22"/>
          <w:szCs w:val="22"/>
          <w:lang w:val="es-ES" w:eastAsia="es-ES"/>
        </w:rPr>
        <w:t>iones legales.</w:t>
      </w:r>
    </w:p>
    <w:p w:rsidR="00000000" w:rsidRDefault="005B28A9">
      <w:pPr>
        <w:kinsoku w:val="0"/>
        <w:overflowPunct w:val="0"/>
        <w:autoSpaceDE/>
        <w:autoSpaceDN/>
        <w:adjustRightInd/>
        <w:spacing w:before="294" w:line="268" w:lineRule="exact"/>
        <w:ind w:left="72"/>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Redacta la Jueza Pérez Peláez; y,</w:t>
      </w:r>
    </w:p>
    <w:p w:rsidR="00000000" w:rsidRDefault="005B28A9">
      <w:pPr>
        <w:kinsoku w:val="0"/>
        <w:overflowPunct w:val="0"/>
        <w:autoSpaceDE/>
        <w:autoSpaceDN/>
        <w:adjustRightInd/>
        <w:spacing w:before="282" w:line="268" w:lineRule="exact"/>
        <w:ind w:left="72"/>
        <w:jc w:val="center"/>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CONSIDERANDO</w:t>
      </w:r>
    </w:p>
    <w:p w:rsidR="00000000" w:rsidRDefault="005B28A9">
      <w:pPr>
        <w:numPr>
          <w:ilvl w:val="0"/>
          <w:numId w:val="6"/>
        </w:numPr>
        <w:kinsoku w:val="0"/>
        <w:overflowPunct w:val="0"/>
        <w:autoSpaceDE/>
        <w:autoSpaceDN/>
        <w:adjustRightInd/>
        <w:spacing w:before="285" w:line="277" w:lineRule="exact"/>
        <w:jc w:val="both"/>
        <w:textAlignment w:val="baseline"/>
        <w:rPr>
          <w:rFonts w:ascii="Verdana" w:hAnsi="Verdana" w:cs="Verdana"/>
          <w:spacing w:val="-5"/>
          <w:sz w:val="22"/>
          <w:szCs w:val="22"/>
          <w:lang w:val="es-ES" w:eastAsia="es-ES"/>
        </w:rPr>
      </w:pPr>
      <w:r>
        <w:rPr>
          <w:rFonts w:ascii="Verdana" w:hAnsi="Verdana" w:cs="Verdana"/>
          <w:b/>
          <w:bCs/>
          <w:spacing w:val="-5"/>
          <w:sz w:val="22"/>
          <w:szCs w:val="22"/>
          <w:lang w:val="es-ES" w:eastAsia="es-ES"/>
        </w:rPr>
        <w:t xml:space="preserve">SOBRE LA COMPETENCIA: </w:t>
      </w:r>
      <w:r>
        <w:rPr>
          <w:rFonts w:ascii="Verdana" w:hAnsi="Verdana" w:cs="Verdana"/>
          <w:spacing w:val="-5"/>
          <w:sz w:val="22"/>
          <w:szCs w:val="22"/>
          <w:lang w:val="es-ES" w:eastAsia="es-ES"/>
        </w:rPr>
        <w:t xml:space="preserve">De conformidad con el artículo 22 de la Ley Reguladora del Servicio Público de Transporte Remunerado de Personas en Vehículos </w:t>
      </w:r>
      <w:r>
        <w:rPr>
          <w:rFonts w:ascii="Verdana" w:hAnsi="Verdana" w:cs="Verdana"/>
          <w:spacing w:val="-5"/>
          <w:sz w:val="22"/>
          <w:szCs w:val="22"/>
          <w:lang w:val="es-ES" w:eastAsia="es-ES"/>
        </w:rPr>
        <w:t>en la Modalidad de Taxi, No. 7969 del 22 de diciembre de 1999, el TRIBUNAL ADMINISTRATIVO DE TRANSPORTE es el competente para conocer y resolver el presente RECURSO DE APELACIÓN EN SUBSIDIO.</w:t>
      </w:r>
    </w:p>
    <w:p w:rsidR="00000000" w:rsidRDefault="005B28A9">
      <w:pPr>
        <w:numPr>
          <w:ilvl w:val="0"/>
          <w:numId w:val="6"/>
        </w:numPr>
        <w:kinsoku w:val="0"/>
        <w:overflowPunct w:val="0"/>
        <w:autoSpaceDE/>
        <w:autoSpaceDN/>
        <w:adjustRightInd/>
        <w:spacing w:before="293" w:line="278"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ADMISIBILIDAD DEL RECURSO: </w:t>
      </w:r>
      <w:r>
        <w:rPr>
          <w:rFonts w:ascii="Verdana" w:hAnsi="Verdana" w:cs="Verdana"/>
          <w:b/>
          <w:bCs/>
          <w:sz w:val="22"/>
          <w:szCs w:val="22"/>
          <w:u w:val="single"/>
          <w:lang w:val="es-ES" w:eastAsia="es-ES"/>
        </w:rPr>
        <w:t>En cuanto a la Legitimación:</w:t>
      </w:r>
      <w:r>
        <w:rPr>
          <w:rFonts w:ascii="Verdana" w:hAnsi="Verdana" w:cs="Verdana"/>
          <w:sz w:val="22"/>
          <w:szCs w:val="22"/>
          <w:lang w:val="es-ES" w:eastAsia="es-ES"/>
        </w:rPr>
        <w:t xml:space="preserve"> </w:t>
      </w:r>
      <w:r>
        <w:rPr>
          <w:rFonts w:ascii="Verdana" w:hAnsi="Verdana" w:cs="Verdana"/>
          <w:sz w:val="22"/>
          <w:szCs w:val="22"/>
          <w:lang w:val="es-ES" w:eastAsia="es-ES"/>
        </w:rPr>
        <w:t xml:space="preserve">Este Tribunal estima que la recurrente empresa </w:t>
      </w:r>
      <w:r>
        <w:rPr>
          <w:rFonts w:ascii="Verdana" w:hAnsi="Verdana" w:cs="Verdana"/>
          <w:b/>
          <w:bCs/>
          <w:sz w:val="22"/>
          <w:szCs w:val="22"/>
          <w:lang w:val="es-ES" w:eastAsia="es-ES"/>
        </w:rPr>
        <w:t>T</w:t>
      </w:r>
      <w:r w:rsidR="00861CD1">
        <w:rPr>
          <w:rFonts w:ascii="Verdana" w:hAnsi="Verdana" w:cs="Verdana"/>
          <w:b/>
          <w:bCs/>
          <w:sz w:val="22"/>
          <w:szCs w:val="22"/>
          <w:lang w:val="es-ES" w:eastAsia="es-ES"/>
        </w:rPr>
        <w:t>.D.L.S.A.</w:t>
      </w:r>
      <w:r>
        <w:rPr>
          <w:rFonts w:ascii="Verdana" w:hAnsi="Verdana" w:cs="Verdana"/>
          <w:b/>
          <w:bCs/>
          <w:sz w:val="22"/>
          <w:szCs w:val="22"/>
          <w:lang w:val="es-ES" w:eastAsia="es-ES"/>
        </w:rPr>
        <w:t xml:space="preserve"> (A</w:t>
      </w:r>
      <w:r w:rsidR="00861CD1">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jurídica </w:t>
      </w:r>
      <w:r w:rsidR="00861CD1">
        <w:rPr>
          <w:rFonts w:ascii="Verdana" w:hAnsi="Verdana" w:cs="Verdana"/>
          <w:sz w:val="22"/>
          <w:szCs w:val="22"/>
          <w:lang w:val="es-ES" w:eastAsia="es-ES"/>
        </w:rPr>
        <w:t>…</w:t>
      </w:r>
      <w:r>
        <w:rPr>
          <w:rFonts w:ascii="Verdana" w:hAnsi="Verdana" w:cs="Verdana"/>
          <w:sz w:val="22"/>
          <w:szCs w:val="22"/>
          <w:lang w:val="es-ES" w:eastAsia="es-ES"/>
        </w:rPr>
        <w:t xml:space="preserve">, quien acciona por medio de su Apoderado Generalísimo sin límite de suma, señor </w:t>
      </w:r>
      <w:r>
        <w:rPr>
          <w:rFonts w:ascii="Verdana" w:hAnsi="Verdana" w:cs="Verdana"/>
          <w:b/>
          <w:bCs/>
          <w:sz w:val="22"/>
          <w:szCs w:val="22"/>
          <w:lang w:val="es-ES" w:eastAsia="es-ES"/>
        </w:rPr>
        <w:t>J</w:t>
      </w:r>
      <w:r w:rsidR="00861CD1">
        <w:rPr>
          <w:rFonts w:ascii="Verdana" w:hAnsi="Verdana" w:cs="Verdana"/>
          <w:b/>
          <w:bCs/>
          <w:sz w:val="22"/>
          <w:szCs w:val="22"/>
          <w:lang w:val="es-ES" w:eastAsia="es-ES"/>
        </w:rPr>
        <w:t>.A.Q.C.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861CD1">
        <w:rPr>
          <w:rFonts w:ascii="Verdana" w:hAnsi="Verdana" w:cs="Verdana"/>
          <w:sz w:val="22"/>
          <w:szCs w:val="22"/>
          <w:lang w:val="es-ES" w:eastAsia="es-ES"/>
        </w:rPr>
        <w:t>…</w:t>
      </w:r>
      <w:r>
        <w:rPr>
          <w:rFonts w:ascii="Verdana" w:hAnsi="Verdana" w:cs="Verdana"/>
          <w:sz w:val="22"/>
          <w:szCs w:val="22"/>
          <w:lang w:val="es-ES" w:eastAsia="es-ES"/>
        </w:rPr>
        <w:t>, cuenta con la legitimación suficiente, para actuar en el presente asunto, ya que el acto que impugna modifica la revisión técnica a los vehículos de Transporte remunerado de personas en modalidad Servicio Especial Estable de Taxi, del cual es permisio</w:t>
      </w:r>
      <w:r>
        <w:rPr>
          <w:rFonts w:ascii="Verdana" w:hAnsi="Verdana" w:cs="Verdana"/>
          <w:sz w:val="22"/>
          <w:szCs w:val="22"/>
          <w:lang w:val="es-ES" w:eastAsia="es-ES"/>
        </w:rPr>
        <w:t xml:space="preserve">naria la recurrente. </w:t>
      </w:r>
      <w:r>
        <w:rPr>
          <w:rFonts w:ascii="Verdana" w:hAnsi="Verdana" w:cs="Verdana"/>
          <w:b/>
          <w:bCs/>
          <w:sz w:val="22"/>
          <w:szCs w:val="22"/>
          <w:u w:val="single"/>
          <w:lang w:val="es-ES" w:eastAsia="es-ES"/>
        </w:rPr>
        <w:t>En cuanto al plazo:</w:t>
      </w:r>
      <w:r>
        <w:rPr>
          <w:rFonts w:ascii="Verdana" w:hAnsi="Verdana" w:cs="Verdana"/>
          <w:sz w:val="22"/>
          <w:szCs w:val="22"/>
          <w:lang w:val="es-ES" w:eastAsia="es-ES"/>
        </w:rPr>
        <w:t xml:space="preserve"> Conforme al estudio efectuado el Recurso de Apelación fue presentado dentro del plazo legal establecido para tal fin, en los términos del artículo 11 de la Ley Reguladora del Servicio Público </w:t>
      </w:r>
      <w:r>
        <w:rPr>
          <w:rFonts w:ascii="Verdana" w:hAnsi="Verdana" w:cs="Verdana"/>
          <w:sz w:val="22"/>
          <w:szCs w:val="22"/>
          <w:lang w:val="es-ES" w:eastAsia="es-ES"/>
        </w:rPr>
        <w:t>de Transporte Remunerado de Personas en vehículos en la modalidad de taxi, Ley N°7969, del 28 de enero del 2000, ya que el acuerdo le fue notificado el 28 de agosto de 2013 y el recurso fue presentado el 30 ese mismo mes y año.</w:t>
      </w:r>
    </w:p>
    <w:p w:rsidR="00000000" w:rsidRDefault="005B28A9">
      <w:pPr>
        <w:numPr>
          <w:ilvl w:val="0"/>
          <w:numId w:val="7"/>
        </w:numPr>
        <w:kinsoku w:val="0"/>
        <w:overflowPunct w:val="0"/>
        <w:autoSpaceDE/>
        <w:autoSpaceDN/>
        <w:adjustRightInd/>
        <w:spacing w:before="277" w:after="413" w:line="274"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SOBRE LOS HECHOS PROBA</w:t>
      </w:r>
      <w:r>
        <w:rPr>
          <w:rFonts w:ascii="Verdana" w:hAnsi="Verdana" w:cs="Verdana"/>
          <w:b/>
          <w:bCs/>
          <w:sz w:val="22"/>
          <w:szCs w:val="22"/>
          <w:lang w:val="es-ES" w:eastAsia="es-ES"/>
        </w:rPr>
        <w:t xml:space="preserve">DOS: </w:t>
      </w:r>
      <w:r>
        <w:rPr>
          <w:rFonts w:ascii="Verdana" w:hAnsi="Verdana" w:cs="Verdana"/>
          <w:sz w:val="22"/>
          <w:szCs w:val="22"/>
          <w:lang w:val="es-ES" w:eastAsia="es-ES"/>
        </w:rPr>
        <w:t xml:space="preserve">De importancia para la decisión de este asunto, se estiman como debidamente demostrados los siguientes hechos por cuanto así han sido acreditados: </w:t>
      </w:r>
      <w:r>
        <w:rPr>
          <w:rFonts w:ascii="Verdana" w:hAnsi="Verdana" w:cs="Verdana"/>
          <w:b/>
          <w:bCs/>
          <w:sz w:val="22"/>
          <w:szCs w:val="22"/>
          <w:lang w:val="es-ES" w:eastAsia="es-ES"/>
        </w:rPr>
        <w:t xml:space="preserve">A).- </w:t>
      </w:r>
      <w:r>
        <w:rPr>
          <w:rFonts w:ascii="Verdana" w:hAnsi="Verdana" w:cs="Verdana"/>
          <w:sz w:val="22"/>
          <w:szCs w:val="22"/>
          <w:lang w:val="es-ES" w:eastAsia="es-ES"/>
        </w:rPr>
        <w:t>La</w:t>
      </w:r>
    </w:p>
    <w:p w:rsidR="00000000" w:rsidRDefault="005B28A9">
      <w:pPr>
        <w:widowControl/>
        <w:rPr>
          <w:sz w:val="24"/>
          <w:szCs w:val="24"/>
        </w:rPr>
        <w:sectPr w:rsidR="00000000">
          <w:pgSz w:w="12134" w:h="15840"/>
          <w:pgMar w:top="1620" w:right="1959" w:bottom="210" w:left="2095" w:header="720" w:footer="720" w:gutter="0"/>
          <w:cols w:space="720"/>
          <w:noEndnote/>
        </w:sectPr>
      </w:pPr>
    </w:p>
    <w:p w:rsidR="00000000" w:rsidRDefault="005B28A9">
      <w:pPr>
        <w:widowControl/>
        <w:rPr>
          <w:sz w:val="24"/>
          <w:szCs w:val="24"/>
        </w:rPr>
        <w:sectPr w:rsidR="00000000">
          <w:type w:val="continuous"/>
          <w:pgSz w:w="12134" w:h="15840"/>
          <w:pgMar w:top="1620" w:right="1999" w:bottom="210" w:left="7435" w:header="720" w:footer="720" w:gutter="0"/>
          <w:cols w:space="720"/>
          <w:noEndnote/>
        </w:sectPr>
      </w:pPr>
    </w:p>
    <w:p w:rsidR="00000000" w:rsidRDefault="005B28A9">
      <w:pPr>
        <w:kinsoku w:val="0"/>
        <w:overflowPunct w:val="0"/>
        <w:autoSpaceDE/>
        <w:autoSpaceDN/>
        <w:adjustRightInd/>
        <w:spacing w:line="279" w:lineRule="exact"/>
        <w:jc w:val="both"/>
        <w:textAlignment w:val="baseline"/>
        <w:rPr>
          <w:rFonts w:ascii="Verdana" w:hAnsi="Verdana" w:cs="Verdana"/>
          <w:spacing w:val="4"/>
          <w:sz w:val="22"/>
          <w:szCs w:val="22"/>
          <w:lang w:val="es-ES" w:eastAsia="es-ES"/>
        </w:rPr>
      </w:pPr>
      <w:r>
        <w:rPr>
          <w:rFonts w:ascii="Verdana" w:hAnsi="Verdana" w:cs="Verdana"/>
          <w:spacing w:val="4"/>
          <w:sz w:val="18"/>
          <w:szCs w:val="18"/>
          <w:lang w:val="es-ES" w:eastAsia="es-ES"/>
        </w:rPr>
        <w:t>JUNTA DIRECTIVA DEL CONSEJO DE TR</w:t>
      </w:r>
      <w:r>
        <w:rPr>
          <w:rFonts w:ascii="Verdana" w:hAnsi="Verdana" w:cs="Verdana"/>
          <w:spacing w:val="4"/>
          <w:sz w:val="18"/>
          <w:szCs w:val="18"/>
          <w:lang w:val="es-ES" w:eastAsia="es-ES"/>
        </w:rPr>
        <w:t xml:space="preserve">ANSPORTE PÚBLICO, </w:t>
      </w:r>
      <w:r>
        <w:rPr>
          <w:rFonts w:ascii="Verdana" w:hAnsi="Verdana" w:cs="Verdana"/>
          <w:spacing w:val="4"/>
          <w:sz w:val="22"/>
          <w:szCs w:val="22"/>
          <w:lang w:val="es-ES" w:eastAsia="es-ES"/>
        </w:rPr>
        <w:t xml:space="preserve">mediante artículo 7.2, de la Sesión Ordinaria 43-2013, de 26 de junio de 2013 dispuso una serie de modificaciones a la Revisión técnica vehicular de las unidades de Servicio Especial Estable de Taxi y que deberán aplicarse en lo sucesivo </w:t>
      </w:r>
      <w:r>
        <w:rPr>
          <w:rFonts w:ascii="Verdana" w:hAnsi="Verdana" w:cs="Verdana"/>
          <w:spacing w:val="4"/>
          <w:sz w:val="22"/>
          <w:szCs w:val="22"/>
          <w:lang w:val="es-ES" w:eastAsia="es-ES"/>
        </w:rPr>
        <w:t xml:space="preserve">al momento de realizarse dicho procedimiento por parte de RTV: (Léanse folios 59 y 60 del expediente administrativo) </w:t>
      </w:r>
      <w:r>
        <w:rPr>
          <w:rFonts w:ascii="Verdana" w:hAnsi="Verdana" w:cs="Verdana"/>
          <w:b/>
          <w:bCs/>
          <w:spacing w:val="4"/>
          <w:sz w:val="22"/>
          <w:szCs w:val="22"/>
          <w:lang w:val="es-ES" w:eastAsia="es-ES"/>
        </w:rPr>
        <w:t xml:space="preserve">B).- </w:t>
      </w:r>
      <w:r>
        <w:rPr>
          <w:rFonts w:ascii="Verdana" w:hAnsi="Verdana" w:cs="Verdana"/>
          <w:spacing w:val="4"/>
          <w:sz w:val="22"/>
          <w:szCs w:val="22"/>
          <w:lang w:val="es-ES" w:eastAsia="es-ES"/>
        </w:rPr>
        <w:t>La recurrente por medio de su Apoderado señor J</w:t>
      </w:r>
      <w:r w:rsidR="00861CD1">
        <w:rPr>
          <w:rFonts w:ascii="Verdana" w:hAnsi="Verdana" w:cs="Verdana"/>
          <w:spacing w:val="4"/>
          <w:sz w:val="22"/>
          <w:szCs w:val="22"/>
          <w:lang w:val="es-ES" w:eastAsia="es-ES"/>
        </w:rPr>
        <w:t>.A.Q.C.</w:t>
      </w:r>
      <w:r>
        <w:rPr>
          <w:rFonts w:ascii="Verdana" w:hAnsi="Verdana" w:cs="Verdana"/>
          <w:spacing w:val="4"/>
          <w:sz w:val="22"/>
          <w:szCs w:val="22"/>
          <w:lang w:val="es-ES" w:eastAsia="es-ES"/>
        </w:rPr>
        <w:t xml:space="preserve"> interpone recurso de Revocatoria Con Apelación en Subsidio </w:t>
      </w:r>
      <w:r>
        <w:rPr>
          <w:rFonts w:ascii="Verdana" w:hAnsi="Verdana" w:cs="Verdana"/>
          <w:spacing w:val="4"/>
          <w:sz w:val="22"/>
          <w:szCs w:val="22"/>
          <w:lang w:val="es-ES" w:eastAsia="es-ES"/>
        </w:rPr>
        <w:t>y Nulidad concomitante, contra el artículo 7.2 de la Sesión Ordinaria 43-2013 de 26 de junio de 2013 indicando entre otros que se les cambian de manera ilegal las condiciones dadas por directriz del viceministro y se les impone nuevos requisitos que los va</w:t>
      </w:r>
      <w:r>
        <w:rPr>
          <w:rFonts w:ascii="Verdana" w:hAnsi="Verdana" w:cs="Verdana"/>
          <w:spacing w:val="4"/>
          <w:sz w:val="22"/>
          <w:szCs w:val="22"/>
          <w:lang w:val="es-ES" w:eastAsia="es-ES"/>
        </w:rPr>
        <w:t xml:space="preserve">n hacer incurrir en gastos, además se les impide poner el logo de sus empresas en las tapas de sus vehículos como hasta ahora había sido. (Léanse folios 49 al 51 del expediente administrativo) </w:t>
      </w:r>
      <w:r>
        <w:rPr>
          <w:rFonts w:ascii="Verdana" w:hAnsi="Verdana" w:cs="Verdana"/>
          <w:b/>
          <w:bCs/>
          <w:spacing w:val="4"/>
          <w:sz w:val="22"/>
          <w:szCs w:val="22"/>
          <w:lang w:val="es-ES" w:eastAsia="es-ES"/>
        </w:rPr>
        <w:t xml:space="preserve">C).- </w:t>
      </w:r>
      <w:r>
        <w:rPr>
          <w:rFonts w:ascii="Verdana" w:hAnsi="Verdana" w:cs="Verdana"/>
          <w:spacing w:val="4"/>
          <w:sz w:val="22"/>
          <w:szCs w:val="22"/>
          <w:lang w:val="es-ES" w:eastAsia="es-ES"/>
        </w:rPr>
        <w:t xml:space="preserve">Mediante acuerdo 7.2.21 de la Sesión Ordinaria 62-2014 de </w:t>
      </w:r>
      <w:r>
        <w:rPr>
          <w:rFonts w:ascii="Verdana" w:hAnsi="Verdana" w:cs="Verdana"/>
          <w:spacing w:val="4"/>
          <w:sz w:val="22"/>
          <w:szCs w:val="22"/>
          <w:lang w:val="es-ES" w:eastAsia="es-ES"/>
        </w:rPr>
        <w:t>23 de octubre de 2014, la Junta Directiva del Consejo de Transporte Público conoce y avala el informe de la Dirección de Asuntos Jurídicos DAJ-2014001743 de 5 de mayo de 2014 y rechaza en todos sus extremos el recurso presentado así como la nulidad invocad</w:t>
      </w:r>
      <w:r>
        <w:rPr>
          <w:rFonts w:ascii="Verdana" w:hAnsi="Verdana" w:cs="Verdana"/>
          <w:spacing w:val="4"/>
          <w:sz w:val="22"/>
          <w:szCs w:val="22"/>
          <w:lang w:val="es-ES" w:eastAsia="es-ES"/>
        </w:rPr>
        <w:t xml:space="preserve">a, por considerar que el Consejo actuó apegado a la Legalidad según los términos del numeral 7 de la Ley 7969, además de no encontrarse vicio de nulidad alguno.(Léanse folios del 1 al 3 y del 45 al 47 del expediente administrativo) </w:t>
      </w:r>
      <w:r>
        <w:rPr>
          <w:rFonts w:ascii="Verdana" w:hAnsi="Verdana" w:cs="Verdana"/>
          <w:b/>
          <w:bCs/>
          <w:spacing w:val="4"/>
          <w:sz w:val="22"/>
          <w:szCs w:val="22"/>
          <w:lang w:val="es-ES" w:eastAsia="es-ES"/>
        </w:rPr>
        <w:t xml:space="preserve">D).- </w:t>
      </w:r>
      <w:r>
        <w:rPr>
          <w:rFonts w:ascii="Verdana" w:hAnsi="Verdana" w:cs="Verdana"/>
          <w:spacing w:val="4"/>
          <w:sz w:val="22"/>
          <w:szCs w:val="22"/>
          <w:lang w:val="es-ES" w:eastAsia="es-ES"/>
        </w:rPr>
        <w:t>Se tiene como hecho</w:t>
      </w:r>
      <w:r>
        <w:rPr>
          <w:rFonts w:ascii="Verdana" w:hAnsi="Verdana" w:cs="Verdana"/>
          <w:spacing w:val="4"/>
          <w:sz w:val="22"/>
          <w:szCs w:val="22"/>
          <w:lang w:val="es-ES" w:eastAsia="es-ES"/>
        </w:rPr>
        <w:t xml:space="preserve"> probado que la normativa aprobada en el Acuerdo </w:t>
      </w:r>
      <w:r>
        <w:rPr>
          <w:rFonts w:ascii="Verdana" w:hAnsi="Verdana" w:cs="Verdana"/>
          <w:b/>
          <w:bCs/>
          <w:spacing w:val="4"/>
          <w:sz w:val="22"/>
          <w:szCs w:val="22"/>
          <w:lang w:val="es-ES" w:eastAsia="es-ES"/>
        </w:rPr>
        <w:t xml:space="preserve">7.2, de la Sesión Ordinaria 43-2013, de 26 de junio de 2013, </w:t>
      </w:r>
      <w:r>
        <w:rPr>
          <w:rFonts w:ascii="Verdana" w:hAnsi="Verdana" w:cs="Verdana"/>
          <w:spacing w:val="4"/>
          <w:sz w:val="22"/>
          <w:szCs w:val="22"/>
          <w:lang w:val="es-ES" w:eastAsia="es-ES"/>
        </w:rPr>
        <w:t xml:space="preserve">Se aplicará como lo indica el mismo acto </w:t>
      </w:r>
      <w:r>
        <w:rPr>
          <w:rFonts w:ascii="Verdana" w:hAnsi="Verdana" w:cs="Verdana"/>
          <w:i/>
          <w:iCs/>
          <w:spacing w:val="4"/>
          <w:sz w:val="22"/>
          <w:szCs w:val="22"/>
          <w:lang w:val="es-ES" w:eastAsia="es-ES"/>
        </w:rPr>
        <w:t>"Para aquellos vehículos a los que se les solicite cambio de unidad, los que actualmente este autorizados</w:t>
      </w:r>
      <w:r>
        <w:rPr>
          <w:rFonts w:ascii="Verdana" w:hAnsi="Verdana" w:cs="Verdana"/>
          <w:i/>
          <w:iCs/>
          <w:spacing w:val="4"/>
          <w:sz w:val="22"/>
          <w:szCs w:val="22"/>
          <w:lang w:val="es-ES" w:eastAsia="es-ES"/>
        </w:rPr>
        <w:t xml:space="preserve"> y los que sean autorizados por primera vez en este proceso, deberán acatar lo dispuesto sobre la rotulación descrita en este acuerdo." </w:t>
      </w:r>
      <w:r>
        <w:rPr>
          <w:rFonts w:ascii="Verdana" w:hAnsi="Verdana" w:cs="Verdana"/>
          <w:b/>
          <w:bCs/>
          <w:i/>
          <w:iCs/>
          <w:spacing w:val="4"/>
          <w:sz w:val="22"/>
          <w:szCs w:val="22"/>
          <w:u w:val="single"/>
          <w:lang w:val="es-ES" w:eastAsia="es-ES"/>
        </w:rPr>
        <w:t>"Así mismo, al realizarse la  renovación del código de la empresa al cabo de los tres años como dicta la Ley los vehícul</w:t>
      </w:r>
      <w:r>
        <w:rPr>
          <w:rFonts w:ascii="Verdana" w:hAnsi="Verdana" w:cs="Verdana"/>
          <w:b/>
          <w:bCs/>
          <w:i/>
          <w:iCs/>
          <w:spacing w:val="4"/>
          <w:sz w:val="22"/>
          <w:szCs w:val="22"/>
          <w:u w:val="single"/>
          <w:lang w:val="es-ES" w:eastAsia="es-ES"/>
        </w:rPr>
        <w:t xml:space="preserve">os </w:t>
      </w:r>
      <w:r w:rsidR="00861CD1">
        <w:rPr>
          <w:rFonts w:ascii="Verdana" w:hAnsi="Verdana" w:cs="Verdana"/>
          <w:b/>
          <w:bCs/>
          <w:i/>
          <w:iCs/>
          <w:spacing w:val="4"/>
          <w:sz w:val="22"/>
          <w:szCs w:val="22"/>
          <w:u w:val="single"/>
          <w:lang w:val="es-ES" w:eastAsia="es-ES"/>
        </w:rPr>
        <w:t>q</w:t>
      </w:r>
      <w:r>
        <w:rPr>
          <w:rFonts w:ascii="Verdana" w:hAnsi="Verdana" w:cs="Verdana"/>
          <w:b/>
          <w:bCs/>
          <w:i/>
          <w:iCs/>
          <w:spacing w:val="4"/>
          <w:sz w:val="22"/>
          <w:szCs w:val="22"/>
          <w:u w:val="single"/>
          <w:lang w:val="es-ES" w:eastAsia="es-ES"/>
        </w:rPr>
        <w:t>ue se encuentran rotulados con el procedimiento actual, deberán ser rotulados siguiendo  el procedimiento supra citado y teniendo en cuenta la  antigüedad de las unidades según lo dispuesto en la normativa  vigente"</w:t>
      </w:r>
      <w:r>
        <w:rPr>
          <w:rFonts w:ascii="Verdana" w:hAnsi="Verdana" w:cs="Verdana"/>
          <w:spacing w:val="4"/>
          <w:sz w:val="22"/>
          <w:szCs w:val="22"/>
          <w:lang w:val="es-ES" w:eastAsia="es-ES"/>
        </w:rPr>
        <w:t xml:space="preserve"> (Ver folio 50 del expediente administrativo). ( </w:t>
      </w:r>
      <w:proofErr w:type="gramStart"/>
      <w:r>
        <w:rPr>
          <w:rFonts w:ascii="Verdana" w:hAnsi="Verdana" w:cs="Verdana"/>
          <w:spacing w:val="4"/>
          <w:sz w:val="22"/>
          <w:szCs w:val="22"/>
          <w:lang w:val="es-ES" w:eastAsia="es-ES"/>
        </w:rPr>
        <w:t>el</w:t>
      </w:r>
      <w:proofErr w:type="gramEnd"/>
      <w:r>
        <w:rPr>
          <w:rFonts w:ascii="Verdana" w:hAnsi="Verdana" w:cs="Verdana"/>
          <w:spacing w:val="4"/>
          <w:sz w:val="22"/>
          <w:szCs w:val="22"/>
          <w:lang w:val="es-ES" w:eastAsia="es-ES"/>
        </w:rPr>
        <w:t xml:space="preserve"> resaltado es nuestro)</w:t>
      </w:r>
    </w:p>
    <w:p w:rsidR="00000000" w:rsidRDefault="005B28A9">
      <w:pPr>
        <w:numPr>
          <w:ilvl w:val="0"/>
          <w:numId w:val="8"/>
        </w:numPr>
        <w:kinsoku w:val="0"/>
        <w:overflowPunct w:val="0"/>
        <w:autoSpaceDE/>
        <w:autoSpaceDN/>
        <w:adjustRightInd/>
        <w:spacing w:before="290" w:line="268" w:lineRule="exact"/>
        <w:textAlignment w:val="baseline"/>
        <w:rPr>
          <w:rFonts w:ascii="Verdana" w:hAnsi="Verdana" w:cs="Verdana"/>
          <w:b/>
          <w:bCs/>
          <w:spacing w:val="5"/>
          <w:sz w:val="22"/>
          <w:szCs w:val="22"/>
          <w:lang w:val="es-ES" w:eastAsia="es-ES"/>
        </w:rPr>
      </w:pPr>
      <w:r>
        <w:rPr>
          <w:rFonts w:ascii="Verdana" w:hAnsi="Verdana" w:cs="Verdana"/>
          <w:b/>
          <w:bCs/>
          <w:spacing w:val="5"/>
          <w:sz w:val="22"/>
          <w:szCs w:val="22"/>
          <w:lang w:val="es-ES" w:eastAsia="es-ES"/>
        </w:rPr>
        <w:t>HECHOS NO PROBADOS:</w:t>
      </w:r>
    </w:p>
    <w:p w:rsidR="00000000" w:rsidRDefault="005B28A9">
      <w:pPr>
        <w:kinsoku w:val="0"/>
        <w:overflowPunct w:val="0"/>
        <w:autoSpaceDE/>
        <w:autoSpaceDN/>
        <w:adjustRightInd/>
        <w:spacing w:before="261" w:line="292"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No existe ningún hecho improbado de relevancia para la resolución de este asunto.</w:t>
      </w:r>
    </w:p>
    <w:p w:rsidR="00000000" w:rsidRDefault="005B28A9">
      <w:pPr>
        <w:numPr>
          <w:ilvl w:val="0"/>
          <w:numId w:val="8"/>
        </w:numPr>
        <w:kinsoku w:val="0"/>
        <w:overflowPunct w:val="0"/>
        <w:autoSpaceDE/>
        <w:autoSpaceDN/>
        <w:adjustRightInd/>
        <w:spacing w:before="389" w:after="1410" w:line="268" w:lineRule="exact"/>
        <w:textAlignment w:val="baseline"/>
        <w:rPr>
          <w:rFonts w:ascii="Verdana" w:hAnsi="Verdana" w:cs="Verdana"/>
          <w:b/>
          <w:bCs/>
          <w:spacing w:val="4"/>
          <w:sz w:val="22"/>
          <w:szCs w:val="22"/>
          <w:lang w:val="es-ES" w:eastAsia="es-ES"/>
        </w:rPr>
      </w:pPr>
      <w:r>
        <w:rPr>
          <w:rFonts w:ascii="Verdana" w:hAnsi="Verdana" w:cs="Verdana"/>
          <w:b/>
          <w:bCs/>
          <w:spacing w:val="4"/>
          <w:sz w:val="22"/>
          <w:szCs w:val="22"/>
          <w:lang w:val="es-ES" w:eastAsia="es-ES"/>
        </w:rPr>
        <w:t>SOBRE EL FONDO:</w:t>
      </w:r>
    </w:p>
    <w:p w:rsidR="00000000" w:rsidRDefault="005B28A9">
      <w:pPr>
        <w:widowControl/>
        <w:rPr>
          <w:sz w:val="24"/>
          <w:szCs w:val="24"/>
        </w:rPr>
        <w:sectPr w:rsidR="00000000">
          <w:pgSz w:w="12134" w:h="15840"/>
          <w:pgMar w:top="1320" w:right="1918" w:bottom="200" w:left="2130" w:header="720" w:footer="720" w:gutter="0"/>
          <w:cols w:space="720"/>
          <w:noEndnote/>
        </w:sectPr>
      </w:pPr>
    </w:p>
    <w:p w:rsidR="00000000" w:rsidRDefault="005B28A9">
      <w:pPr>
        <w:widowControl/>
        <w:rPr>
          <w:sz w:val="24"/>
          <w:szCs w:val="24"/>
        </w:rPr>
        <w:sectPr w:rsidR="00000000">
          <w:type w:val="continuous"/>
          <w:pgSz w:w="12134" w:h="15840"/>
          <w:pgMar w:top="1320" w:right="1930" w:bottom="200" w:left="7504" w:header="720" w:footer="720" w:gutter="0"/>
          <w:cols w:space="720"/>
          <w:noEndnote/>
        </w:sectPr>
      </w:pPr>
    </w:p>
    <w:p w:rsidR="00000000" w:rsidRDefault="005B28A9">
      <w:pPr>
        <w:kinsoku w:val="0"/>
        <w:overflowPunct w:val="0"/>
        <w:autoSpaceDE/>
        <w:autoSpaceDN/>
        <w:adjustRightInd/>
        <w:spacing w:before="1" w:line="268" w:lineRule="exac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5.1.- OBJETO DEL RECURSO</w:t>
      </w:r>
    </w:p>
    <w:p w:rsidR="00000000" w:rsidRDefault="005B28A9">
      <w:pPr>
        <w:kinsoku w:val="0"/>
        <w:overflowPunct w:val="0"/>
        <w:autoSpaceDE/>
        <w:autoSpaceDN/>
        <w:adjustRightInd/>
        <w:spacing w:before="291" w:line="276" w:lineRule="exact"/>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Las presentes acciones impugnatorias tienen como fin que se declare la il</w:t>
      </w:r>
      <w:r w:rsidR="00861CD1">
        <w:rPr>
          <w:rFonts w:ascii="Verdana" w:hAnsi="Verdana" w:cs="Verdana"/>
          <w:spacing w:val="7"/>
          <w:sz w:val="22"/>
          <w:szCs w:val="22"/>
          <w:lang w:val="es-ES" w:eastAsia="es-ES"/>
        </w:rPr>
        <w:t>e</w:t>
      </w:r>
      <w:r>
        <w:rPr>
          <w:rFonts w:ascii="Verdana" w:hAnsi="Verdana" w:cs="Verdana"/>
          <w:spacing w:val="7"/>
          <w:sz w:val="22"/>
          <w:szCs w:val="22"/>
          <w:lang w:val="es-ES" w:eastAsia="es-ES"/>
        </w:rPr>
        <w:t>galidad del artículo 7.2, de la Sesión Ordinaria 43-2013 de 26 de junio de 2013 y se anulen las nuevas disposiciones para la revisión téc</w:t>
      </w:r>
      <w:r>
        <w:rPr>
          <w:rFonts w:ascii="Verdana" w:hAnsi="Verdana" w:cs="Verdana"/>
          <w:spacing w:val="7"/>
          <w:sz w:val="22"/>
          <w:szCs w:val="22"/>
          <w:lang w:val="es-ES" w:eastAsia="es-ES"/>
        </w:rPr>
        <w:t>nica de los vehículos que se desempeñan en el Servicio Especial Estable de Taxi.</w:t>
      </w:r>
    </w:p>
    <w:p w:rsidR="00000000" w:rsidRDefault="005B28A9">
      <w:pPr>
        <w:kinsoku w:val="0"/>
        <w:overflowPunct w:val="0"/>
        <w:autoSpaceDE/>
        <w:autoSpaceDN/>
        <w:adjustRightInd/>
        <w:spacing w:before="277" w:line="280" w:lineRule="exact"/>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5.2. DE LO ACTUADO POR EL CONSEJO DE TRANSPORTE PÚBLICO.</w:t>
      </w:r>
    </w:p>
    <w:p w:rsidR="00000000" w:rsidRDefault="005B28A9">
      <w:pPr>
        <w:kinsoku w:val="0"/>
        <w:overflowPunct w:val="0"/>
        <w:autoSpaceDE/>
        <w:autoSpaceDN/>
        <w:adjustRightInd/>
        <w:spacing w:before="262" w:line="276" w:lineRule="exact"/>
        <w:jc w:val="both"/>
        <w:textAlignment w:val="baseline"/>
        <w:rPr>
          <w:rFonts w:ascii="Verdana" w:hAnsi="Verdana" w:cs="Verdana"/>
          <w:i/>
          <w:iCs/>
          <w:spacing w:val="4"/>
          <w:sz w:val="22"/>
          <w:szCs w:val="22"/>
          <w:lang w:val="es-ES" w:eastAsia="es-ES"/>
        </w:rPr>
      </w:pPr>
      <w:r>
        <w:rPr>
          <w:rFonts w:ascii="Verdana" w:hAnsi="Verdana" w:cs="Verdana"/>
          <w:spacing w:val="4"/>
          <w:sz w:val="22"/>
          <w:szCs w:val="22"/>
          <w:lang w:val="es-ES" w:eastAsia="es-ES"/>
        </w:rPr>
        <w:t xml:space="preserve">La JUNTA </w:t>
      </w:r>
      <w:r>
        <w:rPr>
          <w:rFonts w:ascii="Verdana" w:hAnsi="Verdana" w:cs="Verdana"/>
          <w:spacing w:val="4"/>
          <w:sz w:val="18"/>
          <w:szCs w:val="18"/>
          <w:lang w:val="es-ES" w:eastAsia="es-ES"/>
        </w:rPr>
        <w:t xml:space="preserve">DIRECTIVA DEL CONSEJO DE TRANSPORTE PÚBLICO, </w:t>
      </w:r>
      <w:r>
        <w:rPr>
          <w:rFonts w:ascii="Verdana" w:hAnsi="Verdana" w:cs="Verdana"/>
          <w:spacing w:val="4"/>
          <w:sz w:val="22"/>
          <w:szCs w:val="22"/>
          <w:lang w:val="es-ES" w:eastAsia="es-ES"/>
        </w:rPr>
        <w:t>mediante artículo 7.2, de la Sesión O</w:t>
      </w:r>
      <w:r>
        <w:rPr>
          <w:rFonts w:ascii="Verdana" w:hAnsi="Verdana" w:cs="Verdana"/>
          <w:spacing w:val="4"/>
          <w:sz w:val="22"/>
          <w:szCs w:val="22"/>
          <w:lang w:val="es-ES" w:eastAsia="es-ES"/>
        </w:rPr>
        <w:t>rdinaria 43-2013, de 26 de junio de 2013 dispuso aprobar las modificaciones presentadas e instar al Consejo de Seguridad Vial para que el departamento correspondiente incluya como falta grave lo dispuesto en este acuerdo, a saber: rotulación no autorizada,</w:t>
      </w:r>
      <w:r>
        <w:rPr>
          <w:rFonts w:ascii="Verdana" w:hAnsi="Verdana" w:cs="Verdana"/>
          <w:spacing w:val="4"/>
          <w:sz w:val="22"/>
          <w:szCs w:val="22"/>
          <w:lang w:val="es-ES" w:eastAsia="es-ES"/>
        </w:rPr>
        <w:t xml:space="preserve"> antigüedad de las unidades, entre otros. Por otro lado el acuerdo aprobado cuenta con una clausula transitoria que indica: </w:t>
      </w:r>
      <w:r>
        <w:rPr>
          <w:rFonts w:ascii="Verdana" w:hAnsi="Verdana" w:cs="Verdana"/>
          <w:i/>
          <w:iCs/>
          <w:spacing w:val="4"/>
          <w:sz w:val="22"/>
          <w:szCs w:val="22"/>
          <w:lang w:val="es-ES" w:eastAsia="es-ES"/>
        </w:rPr>
        <w:t>"Para aquellos vehículos a los que se les solicite cambio de unidad, los que actualmente estén autorizados y los que sean autorizado</w:t>
      </w:r>
      <w:r>
        <w:rPr>
          <w:rFonts w:ascii="Verdana" w:hAnsi="Verdana" w:cs="Verdana"/>
          <w:i/>
          <w:iCs/>
          <w:spacing w:val="4"/>
          <w:sz w:val="22"/>
          <w:szCs w:val="22"/>
          <w:lang w:val="es-ES" w:eastAsia="es-ES"/>
        </w:rPr>
        <w:t xml:space="preserve">s por primera vez en este proceso, deberán acatar lo dispuesto sobre la rotulación descrita en este acuerdo." </w:t>
      </w:r>
      <w:r>
        <w:rPr>
          <w:rFonts w:ascii="Verdana" w:hAnsi="Verdana" w:cs="Verdana"/>
          <w:b/>
          <w:bCs/>
          <w:i/>
          <w:iCs/>
          <w:spacing w:val="4"/>
          <w:sz w:val="22"/>
          <w:szCs w:val="22"/>
          <w:u w:val="single"/>
          <w:lang w:val="es-ES" w:eastAsia="es-ES"/>
        </w:rPr>
        <w:t>"Así mismo, al realizarse la renovación del código de la empresa al cabo de los tres años como dicta la  Ley</w:t>
      </w:r>
      <w:r>
        <w:rPr>
          <w:rFonts w:ascii="Arial Narrow" w:hAnsi="Arial Narrow" w:cs="Arial Narrow"/>
          <w:b/>
          <w:bCs/>
          <w:i/>
          <w:iCs/>
          <w:spacing w:val="4"/>
          <w:sz w:val="22"/>
          <w:szCs w:val="22"/>
          <w:u w:val="single"/>
          <w:vertAlign w:val="superscript"/>
          <w:lang w:val="es-ES" w:eastAsia="es-ES"/>
        </w:rPr>
        <w:t>-</w:t>
      </w:r>
      <w:r>
        <w:rPr>
          <w:rFonts w:ascii="Verdana" w:hAnsi="Verdana" w:cs="Verdana"/>
          <w:b/>
          <w:bCs/>
          <w:i/>
          <w:iCs/>
          <w:spacing w:val="4"/>
          <w:sz w:val="22"/>
          <w:szCs w:val="22"/>
          <w:u w:val="single"/>
          <w:lang w:val="es-ES" w:eastAsia="es-ES"/>
        </w:rPr>
        <w:t xml:space="preserve"> los vehículos que se encuentran rotu</w:t>
      </w:r>
      <w:r>
        <w:rPr>
          <w:rFonts w:ascii="Verdana" w:hAnsi="Verdana" w:cs="Verdana"/>
          <w:b/>
          <w:bCs/>
          <w:i/>
          <w:iCs/>
          <w:spacing w:val="4"/>
          <w:sz w:val="22"/>
          <w:szCs w:val="22"/>
          <w:u w:val="single"/>
          <w:lang w:val="es-ES" w:eastAsia="es-ES"/>
        </w:rPr>
        <w:t>lados con el procedimiento actual, deberán ser rotulados siguiendo el procedimiento supra citado y teniendo en cuenta la  antigüedad de las unidades según lo dispuesto en la normativa  vigente"</w:t>
      </w:r>
      <w:r>
        <w:rPr>
          <w:rFonts w:ascii="Verdana" w:hAnsi="Verdana" w:cs="Verdana"/>
          <w:i/>
          <w:iCs/>
          <w:spacing w:val="4"/>
          <w:sz w:val="22"/>
          <w:szCs w:val="22"/>
          <w:lang w:val="es-ES" w:eastAsia="es-ES"/>
        </w:rPr>
        <w:t xml:space="preserve"> (El resaltado no es del Original)</w:t>
      </w:r>
    </w:p>
    <w:p w:rsidR="00000000" w:rsidRDefault="005B28A9">
      <w:pPr>
        <w:kinsoku w:val="0"/>
        <w:overflowPunct w:val="0"/>
        <w:autoSpaceDE/>
        <w:autoSpaceDN/>
        <w:adjustRightInd/>
        <w:spacing w:before="295" w:line="276" w:lineRule="exact"/>
        <w:jc w:val="both"/>
        <w:textAlignment w:val="baseline"/>
        <w:rPr>
          <w:rFonts w:ascii="Verdana" w:hAnsi="Verdana" w:cs="Verdana"/>
          <w:spacing w:val="6"/>
          <w:sz w:val="22"/>
          <w:szCs w:val="22"/>
          <w:lang w:val="es-ES" w:eastAsia="es-ES"/>
        </w:rPr>
      </w:pPr>
      <w:r>
        <w:rPr>
          <w:rFonts w:ascii="Verdana" w:hAnsi="Verdana" w:cs="Verdana"/>
          <w:spacing w:val="6"/>
          <w:sz w:val="22"/>
          <w:szCs w:val="22"/>
          <w:lang w:val="es-ES" w:eastAsia="es-ES"/>
        </w:rPr>
        <w:t>Dado el recurso de Revocatoria y la Nulidad presentada mediante acuerdo 7.2.21 de la Sesión Ordinaria 62-2014 de 23 de octubre de 2014, la Junta Directiva del Consejo de Transporte Público conoce y avala el informe de la Dirección de Asuntos Jurídicos DAJ-</w:t>
      </w:r>
      <w:r>
        <w:rPr>
          <w:rFonts w:ascii="Verdana" w:hAnsi="Verdana" w:cs="Verdana"/>
          <w:spacing w:val="6"/>
          <w:sz w:val="22"/>
          <w:szCs w:val="22"/>
          <w:lang w:val="es-ES" w:eastAsia="es-ES"/>
        </w:rPr>
        <w:t>2014001743 de 5 de mayo de 2014 y rechaza en todos sus extremos el recurso presentado así como la nulidad invocada, por considerar que el Consejo actuó apegado a la Legalidad según los términos del numeral 7 de la Ley 7969, además de no encontrarse vicio d</w:t>
      </w:r>
      <w:r>
        <w:rPr>
          <w:rFonts w:ascii="Verdana" w:hAnsi="Verdana" w:cs="Verdana"/>
          <w:spacing w:val="6"/>
          <w:sz w:val="22"/>
          <w:szCs w:val="22"/>
          <w:lang w:val="es-ES" w:eastAsia="es-ES"/>
        </w:rPr>
        <w:t>e nulidad alguno.</w:t>
      </w:r>
    </w:p>
    <w:p w:rsidR="00000000" w:rsidRDefault="005B28A9">
      <w:pPr>
        <w:kinsoku w:val="0"/>
        <w:overflowPunct w:val="0"/>
        <w:autoSpaceDE/>
        <w:autoSpaceDN/>
        <w:adjustRightInd/>
        <w:spacing w:before="286" w:line="268" w:lineRule="exac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5.3. DE LOS ALEGATOS DE LA RECURRENTE.</w:t>
      </w:r>
    </w:p>
    <w:p w:rsidR="00000000" w:rsidRDefault="005B28A9">
      <w:pPr>
        <w:kinsoku w:val="0"/>
        <w:overflowPunct w:val="0"/>
        <w:autoSpaceDE/>
        <w:autoSpaceDN/>
        <w:adjustRightInd/>
        <w:spacing w:before="318" w:after="474" w:line="276"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La recurrente por medio de su Apoderado señor </w:t>
      </w:r>
      <w:r>
        <w:rPr>
          <w:rFonts w:ascii="Verdana" w:hAnsi="Verdana" w:cs="Verdana"/>
          <w:b/>
          <w:bCs/>
          <w:spacing w:val="4"/>
          <w:sz w:val="22"/>
          <w:szCs w:val="22"/>
          <w:lang w:val="es-ES" w:eastAsia="es-ES"/>
        </w:rPr>
        <w:t>J</w:t>
      </w:r>
      <w:r w:rsidR="00861CD1">
        <w:rPr>
          <w:rFonts w:ascii="Verdana" w:hAnsi="Verdana" w:cs="Verdana"/>
          <w:b/>
          <w:bCs/>
          <w:spacing w:val="4"/>
          <w:sz w:val="22"/>
          <w:szCs w:val="22"/>
          <w:lang w:val="es-ES" w:eastAsia="es-ES"/>
        </w:rPr>
        <w:t>.A.Q.C.</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interpone recurso de Revocatoria Con Apelación en Subsidio y Nulidad concomitante, contra el artículo 7.2 de la Sesión Ordin</w:t>
      </w:r>
      <w:r>
        <w:rPr>
          <w:rFonts w:ascii="Verdana" w:hAnsi="Verdana" w:cs="Verdana"/>
          <w:spacing w:val="4"/>
          <w:sz w:val="22"/>
          <w:szCs w:val="22"/>
          <w:lang w:val="es-ES" w:eastAsia="es-ES"/>
        </w:rPr>
        <w:t xml:space="preserve">aria 43-2013 de 26 de junio de 2013 indicando que el acuerdo que impugna tiene vicios de ilegalidad, lo que refuta en forma directa en referencia al considerando uno. Su representada ha sido debidamente acreditada con un permiso especial estable de taxi y </w:t>
      </w:r>
      <w:r>
        <w:rPr>
          <w:rFonts w:ascii="Verdana" w:hAnsi="Verdana" w:cs="Verdana"/>
          <w:spacing w:val="4"/>
          <w:sz w:val="22"/>
          <w:szCs w:val="22"/>
          <w:lang w:val="es-ES" w:eastAsia="es-ES"/>
        </w:rPr>
        <w:t>el</w:t>
      </w:r>
    </w:p>
    <w:p w:rsidR="00000000" w:rsidRDefault="005B28A9">
      <w:pPr>
        <w:widowControl/>
        <w:rPr>
          <w:sz w:val="24"/>
          <w:szCs w:val="24"/>
        </w:rPr>
        <w:sectPr w:rsidR="00000000">
          <w:pgSz w:w="12134" w:h="15840"/>
          <w:pgMar w:top="1360" w:right="1959" w:bottom="180" w:left="2089" w:header="720" w:footer="720" w:gutter="0"/>
          <w:cols w:space="720"/>
          <w:noEndnote/>
        </w:sectPr>
      </w:pPr>
    </w:p>
    <w:p w:rsidR="00000000" w:rsidRDefault="005B28A9">
      <w:pPr>
        <w:widowControl/>
        <w:rPr>
          <w:sz w:val="24"/>
          <w:szCs w:val="24"/>
        </w:rPr>
        <w:sectPr w:rsidR="00000000">
          <w:type w:val="continuous"/>
          <w:pgSz w:w="12134" w:h="15840"/>
          <w:pgMar w:top="1360" w:right="2009" w:bottom="180" w:left="7425" w:header="720" w:footer="720" w:gutter="0"/>
          <w:cols w:space="720"/>
          <w:noEndnote/>
        </w:sectPr>
      </w:pPr>
    </w:p>
    <w:p w:rsidR="00000000" w:rsidRDefault="005B28A9">
      <w:pPr>
        <w:kinsoku w:val="0"/>
        <w:overflowPunct w:val="0"/>
        <w:autoSpaceDE/>
        <w:autoSpaceDN/>
        <w:adjustRightInd/>
        <w:spacing w:before="2" w:line="278" w:lineRule="exact"/>
        <w:jc w:val="both"/>
        <w:textAlignment w:val="baseline"/>
        <w:rPr>
          <w:rFonts w:ascii="Verdana" w:hAnsi="Verdana" w:cs="Verdana"/>
          <w:spacing w:val="3"/>
          <w:sz w:val="22"/>
          <w:szCs w:val="22"/>
          <w:lang w:val="es-ES" w:eastAsia="es-ES"/>
        </w:rPr>
      </w:pPr>
      <w:proofErr w:type="gramStart"/>
      <w:r>
        <w:rPr>
          <w:rFonts w:ascii="Verdana" w:hAnsi="Verdana" w:cs="Verdana"/>
          <w:spacing w:val="3"/>
          <w:sz w:val="22"/>
          <w:szCs w:val="22"/>
          <w:lang w:val="es-ES" w:eastAsia="es-ES"/>
        </w:rPr>
        <w:t>señor</w:t>
      </w:r>
      <w:proofErr w:type="gramEnd"/>
      <w:r>
        <w:rPr>
          <w:rFonts w:ascii="Verdana" w:hAnsi="Verdana" w:cs="Verdana"/>
          <w:spacing w:val="3"/>
          <w:sz w:val="22"/>
          <w:szCs w:val="22"/>
          <w:lang w:val="es-ES" w:eastAsia="es-ES"/>
        </w:rPr>
        <w:t xml:space="preserve"> Viceministro, emitió un acuerdo o directriz en la que se daba una serie de definiciones en relación con las condiciones de formalización del permiso y de los códigos de los vehí</w:t>
      </w:r>
      <w:r>
        <w:rPr>
          <w:rFonts w:ascii="Verdana" w:hAnsi="Verdana" w:cs="Verdana"/>
          <w:spacing w:val="3"/>
          <w:sz w:val="22"/>
          <w:szCs w:val="22"/>
          <w:lang w:val="es-ES" w:eastAsia="es-ES"/>
        </w:rPr>
        <w:t>culos acreditados, el cual vino a uniformar la flotilla vehicular SEETAXI. De acuerdo a lo anterior las empresas incurrieron en una serie de gastos de formalización entre los cuales el circulo celeste pintado en ambas puertas delanteras. Sus vehículos fuer</w:t>
      </w:r>
      <w:r>
        <w:rPr>
          <w:rFonts w:ascii="Verdana" w:hAnsi="Verdana" w:cs="Verdana"/>
          <w:spacing w:val="3"/>
          <w:sz w:val="22"/>
          <w:szCs w:val="22"/>
          <w:lang w:val="es-ES" w:eastAsia="es-ES"/>
        </w:rPr>
        <w:t>on inspeccionados y aprobados por el CTP. No ha pasado ni el primer periodo de vigencia del permiso y el acuerdo impugnado, pretende cambiar algunos trazos de la leyenda lo que conlleva pintar nuevamente los mismos y por ende incurrir en gastos. Con las di</w:t>
      </w:r>
      <w:r>
        <w:rPr>
          <w:rFonts w:ascii="Verdana" w:hAnsi="Verdana" w:cs="Verdana"/>
          <w:spacing w:val="3"/>
          <w:sz w:val="22"/>
          <w:szCs w:val="22"/>
          <w:lang w:val="es-ES" w:eastAsia="es-ES"/>
        </w:rPr>
        <w:t>sposiciones anteriores, se permite a las empresas poner su logo su marca comercial en la tapa delantera, lo cual es un derecho de toda empresa y ahora se les prohíbe con el acuerdo impugnado. No se ha emitido el Reglamento de la actividad de SEETAXI, por l</w:t>
      </w:r>
      <w:r>
        <w:rPr>
          <w:rFonts w:ascii="Verdana" w:hAnsi="Verdana" w:cs="Verdana"/>
          <w:spacing w:val="3"/>
          <w:sz w:val="22"/>
          <w:szCs w:val="22"/>
          <w:lang w:val="es-ES" w:eastAsia="es-ES"/>
        </w:rPr>
        <w:t>o que no puede ser que a través de acuerdos de la Junta Directiva se pretenda suplir las potestades reglamentarias.</w:t>
      </w:r>
    </w:p>
    <w:p w:rsidR="00000000" w:rsidRDefault="005B28A9">
      <w:pPr>
        <w:kinsoku w:val="0"/>
        <w:overflowPunct w:val="0"/>
        <w:autoSpaceDE/>
        <w:autoSpaceDN/>
        <w:adjustRightInd/>
        <w:spacing w:before="572" w:line="282" w:lineRule="exact"/>
        <w:textAlignment w:val="baseline"/>
        <w:rPr>
          <w:b/>
          <w:bCs/>
          <w:spacing w:val="13"/>
          <w:sz w:val="24"/>
          <w:szCs w:val="24"/>
          <w:lang w:val="es-ES" w:eastAsia="es-ES"/>
        </w:rPr>
      </w:pPr>
      <w:r>
        <w:rPr>
          <w:b/>
          <w:bCs/>
          <w:spacing w:val="13"/>
          <w:sz w:val="24"/>
          <w:szCs w:val="24"/>
          <w:lang w:val="es-ES" w:eastAsia="es-ES"/>
        </w:rPr>
        <w:t>5.4. DEL PRINCIPIO DE LEGALIDAD.</w:t>
      </w:r>
    </w:p>
    <w:p w:rsidR="00000000" w:rsidRDefault="005B28A9">
      <w:pPr>
        <w:kinsoku w:val="0"/>
        <w:overflowPunct w:val="0"/>
        <w:autoSpaceDE/>
        <w:autoSpaceDN/>
        <w:adjustRightInd/>
        <w:spacing w:before="264" w:line="278" w:lineRule="exact"/>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El transporte remunerado de personas es una competencia del Estado, quien la puede ejercer por sí o a travé</w:t>
      </w:r>
      <w:r>
        <w:rPr>
          <w:rFonts w:ascii="Verdana" w:hAnsi="Verdana" w:cs="Verdana"/>
          <w:spacing w:val="4"/>
          <w:sz w:val="22"/>
          <w:szCs w:val="22"/>
          <w:lang w:val="es-ES" w:eastAsia="es-ES"/>
        </w:rPr>
        <w:t>s de particulares, sea por la vía de la concesión o del permiso, por lo que su naturaleza jurídica es la de un servicio público, y por tanto, se encuentra subordinada al régimen del derecho público, lo que implica el sometimiento de todas las actuaciones a</w:t>
      </w:r>
      <w:r>
        <w:rPr>
          <w:rFonts w:ascii="Verdana" w:hAnsi="Verdana" w:cs="Verdana"/>
          <w:spacing w:val="4"/>
          <w:sz w:val="22"/>
          <w:szCs w:val="22"/>
          <w:lang w:val="es-ES" w:eastAsia="es-ES"/>
        </w:rPr>
        <w:t>l Principio de Legalidad, tanto de la Administración como la del concesionario o permisionario autorizado.</w:t>
      </w:r>
    </w:p>
    <w:p w:rsidR="00000000" w:rsidRDefault="005B28A9">
      <w:pPr>
        <w:kinsoku w:val="0"/>
        <w:overflowPunct w:val="0"/>
        <w:autoSpaceDE/>
        <w:autoSpaceDN/>
        <w:adjustRightInd/>
        <w:spacing w:line="274"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 en su sentencia No. 00002, de las nueve horas, del treinta de enero del dos mil trece, respecto d</w:t>
      </w:r>
      <w:r>
        <w:rPr>
          <w:rFonts w:ascii="Verdana" w:hAnsi="Verdana" w:cs="Verdana"/>
          <w:sz w:val="22"/>
          <w:szCs w:val="22"/>
          <w:lang w:val="es-ES" w:eastAsia="es-ES"/>
        </w:rPr>
        <w:t>el Principio de Legalidad, manifestó:</w:t>
      </w:r>
    </w:p>
    <w:p w:rsidR="00000000" w:rsidRDefault="005B28A9">
      <w:pPr>
        <w:kinsoku w:val="0"/>
        <w:overflowPunct w:val="0"/>
        <w:autoSpaceDE/>
        <w:autoSpaceDN/>
        <w:adjustRightInd/>
        <w:spacing w:before="294" w:after="748" w:line="185" w:lineRule="exact"/>
        <w:ind w:left="360" w:right="360"/>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"Encontramos en los artículos 11 de la Constitución Política y 11 de la Ley General de Administración Pública, que la Administración se encuentra sometida al ordenamiento jurí</w:t>
      </w:r>
      <w:r>
        <w:rPr>
          <w:rFonts w:ascii="Verdana" w:hAnsi="Verdana" w:cs="Verdana"/>
          <w:i/>
          <w:iCs/>
          <w:spacing w:val="3"/>
          <w:sz w:val="15"/>
          <w:szCs w:val="15"/>
          <w:lang w:val="es-ES" w:eastAsia="es-ES"/>
        </w:rPr>
        <w:t>dico y que sus funcionarios solamente pueden desplegar, como manifestación de la voluntad de la administración, aquellos actos que expresamente les están autorizados. El numeral 11 de la Constitución Política, en su párrafo primero, reza: "Los funcionarios</w:t>
      </w:r>
      <w:r>
        <w:rPr>
          <w:rFonts w:ascii="Verdana" w:hAnsi="Verdana" w:cs="Verdana"/>
          <w:i/>
          <w:iCs/>
          <w:spacing w:val="3"/>
          <w:sz w:val="15"/>
          <w:szCs w:val="15"/>
          <w:lang w:val="es-ES" w:eastAsia="es-ES"/>
        </w:rPr>
        <w:t xml:space="preserve"> públicos son simples depositarios de la autoridad. Están obligados a cumplir los deberes que la ley les impone y no pueden arrogarse facultades no concedidas en ella. (...)" y por su parte, en artículo 11 de la LGAP, dispone que " la Administración Públic</w:t>
      </w:r>
      <w:r>
        <w:rPr>
          <w:rFonts w:ascii="Verdana" w:hAnsi="Verdana" w:cs="Verdana"/>
          <w:i/>
          <w:iCs/>
          <w:spacing w:val="3"/>
          <w:sz w:val="15"/>
          <w:szCs w:val="15"/>
          <w:lang w:val="es-ES" w:eastAsia="es-ES"/>
        </w:rPr>
        <w:t>a actuará sometida al ordenamiento jurídico y sólo podrá realizar aquellos actos o prestar aquellos servicios públicos que autorice dicho ordenamiento, según la escala jerárquica de sus fuentes; entonces, "todo acto o comportamiento de la Administración qu</w:t>
      </w:r>
      <w:r>
        <w:rPr>
          <w:rFonts w:ascii="Verdana" w:hAnsi="Verdana" w:cs="Verdana"/>
          <w:i/>
          <w:iCs/>
          <w:spacing w:val="3"/>
          <w:sz w:val="15"/>
          <w:szCs w:val="15"/>
          <w:lang w:val="es-ES" w:eastAsia="es-ES"/>
        </w:rPr>
        <w:t>e incida sobre los derechos del particular debe estar autorizado por el ordenamiento jurídico" (</w:t>
      </w:r>
      <w:proofErr w:type="spellStart"/>
      <w:r>
        <w:rPr>
          <w:rFonts w:ascii="Verdana" w:hAnsi="Verdana" w:cs="Verdana"/>
          <w:i/>
          <w:iCs/>
          <w:spacing w:val="3"/>
          <w:sz w:val="15"/>
          <w:szCs w:val="15"/>
          <w:lang w:val="es-ES" w:eastAsia="es-ES"/>
        </w:rPr>
        <w:t>Ortíz</w:t>
      </w:r>
      <w:proofErr w:type="spellEnd"/>
      <w:r>
        <w:rPr>
          <w:rFonts w:ascii="Verdana" w:hAnsi="Verdana" w:cs="Verdana"/>
          <w:i/>
          <w:iCs/>
          <w:spacing w:val="3"/>
          <w:sz w:val="15"/>
          <w:szCs w:val="15"/>
          <w:lang w:val="es-ES" w:eastAsia="es-ES"/>
        </w:rPr>
        <w:t xml:space="preserve"> </w:t>
      </w:r>
      <w:proofErr w:type="spellStart"/>
      <w:r>
        <w:rPr>
          <w:rFonts w:ascii="Verdana" w:hAnsi="Verdana" w:cs="Verdana"/>
          <w:i/>
          <w:iCs/>
          <w:spacing w:val="3"/>
          <w:sz w:val="15"/>
          <w:szCs w:val="15"/>
          <w:lang w:val="es-ES" w:eastAsia="es-ES"/>
        </w:rPr>
        <w:t>Ortíz</w:t>
      </w:r>
      <w:proofErr w:type="spellEnd"/>
      <w:r>
        <w:rPr>
          <w:rFonts w:ascii="Verdana" w:hAnsi="Verdana" w:cs="Verdana"/>
          <w:i/>
          <w:iCs/>
          <w:spacing w:val="3"/>
          <w:sz w:val="15"/>
          <w:szCs w:val="15"/>
          <w:lang w:val="es-ES" w:eastAsia="es-ES"/>
        </w:rPr>
        <w:t xml:space="preserve">). Agrega el jurista además: "también constituye una garantía de la eficiencia administrativa, pues crea un orden de conducta indispensable para que </w:t>
      </w:r>
      <w:r>
        <w:rPr>
          <w:rFonts w:ascii="Verdana" w:hAnsi="Verdana" w:cs="Verdana"/>
          <w:i/>
          <w:iCs/>
          <w:spacing w:val="3"/>
          <w:sz w:val="15"/>
          <w:szCs w:val="15"/>
          <w:lang w:val="es-ES" w:eastAsia="es-ES"/>
        </w:rPr>
        <w:t>la acción pública realice los fines que persigue, que permite asegurar un mínimo de oportunidad y conveniencia a su gestión". La sujeción de la actuación administrativa al Ordenamiento Jurídico significa que la normase erige en el fundamento previo y neces</w:t>
      </w:r>
      <w:r>
        <w:rPr>
          <w:rFonts w:ascii="Verdana" w:hAnsi="Verdana" w:cs="Verdana"/>
          <w:i/>
          <w:iCs/>
          <w:spacing w:val="3"/>
          <w:sz w:val="15"/>
          <w:szCs w:val="15"/>
          <w:lang w:val="es-ES" w:eastAsia="es-ES"/>
        </w:rPr>
        <w:t>ario de su actividad, y en su fenómeno reflejo, la seguridad jurídica del administrado. De consiguiente, cualquier actuación de la Administración discordante con el bloque de legalidad, constituye una infracción del Ordenamiento Jurídico. Desde esta perspe</w:t>
      </w:r>
      <w:r>
        <w:rPr>
          <w:rFonts w:ascii="Verdana" w:hAnsi="Verdana" w:cs="Verdana"/>
          <w:i/>
          <w:iCs/>
          <w:spacing w:val="3"/>
          <w:sz w:val="15"/>
          <w:szCs w:val="15"/>
          <w:lang w:val="es-ES" w:eastAsia="es-ES"/>
        </w:rPr>
        <w:t>ctiva, toda autoridad o institución pública lo es y solamente puede actuar en la medida en que se encuentre habilitada para hacerlo por el mismo ordenamiento, y normalmente a texto expreso."</w:t>
      </w:r>
    </w:p>
    <w:p w:rsidR="00000000" w:rsidRDefault="005B28A9">
      <w:pPr>
        <w:widowControl/>
        <w:rPr>
          <w:sz w:val="24"/>
          <w:szCs w:val="24"/>
        </w:rPr>
        <w:sectPr w:rsidR="00000000">
          <w:pgSz w:w="12134" w:h="15840"/>
          <w:pgMar w:top="1320" w:right="1952" w:bottom="220" w:left="2096" w:header="720" w:footer="720" w:gutter="0"/>
          <w:cols w:space="720"/>
          <w:noEndnote/>
        </w:sectPr>
      </w:pPr>
    </w:p>
    <w:p w:rsidR="00000000" w:rsidRDefault="005B28A9">
      <w:pPr>
        <w:widowControl/>
        <w:rPr>
          <w:sz w:val="24"/>
          <w:szCs w:val="24"/>
        </w:rPr>
        <w:sectPr w:rsidR="00000000">
          <w:type w:val="continuous"/>
          <w:pgSz w:w="12134" w:h="15840"/>
          <w:pgMar w:top="1320" w:right="1771" w:bottom="220" w:left="7483" w:header="720" w:footer="720" w:gutter="0"/>
          <w:cols w:space="720"/>
          <w:noEndnote/>
        </w:sectPr>
      </w:pPr>
    </w:p>
    <w:p w:rsidR="00000000" w:rsidRDefault="005B28A9">
      <w:pPr>
        <w:kinsoku w:val="0"/>
        <w:overflowPunct w:val="0"/>
        <w:autoSpaceDE/>
        <w:autoSpaceDN/>
        <w:adjustRightInd/>
        <w:spacing w:before="18" w:line="288" w:lineRule="exact"/>
        <w:ind w:left="144" w:right="21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5.</w:t>
      </w:r>
      <w:r>
        <w:rPr>
          <w:rFonts w:ascii="Verdana" w:hAnsi="Verdana" w:cs="Verdana"/>
          <w:b/>
          <w:bCs/>
          <w:sz w:val="22"/>
          <w:szCs w:val="22"/>
          <w:lang w:val="es-ES" w:eastAsia="es-ES"/>
        </w:rPr>
        <w:t>5 DE LAS POTESTADES DEL CONSEJO DE TRANSPORTE PÚBLICO.</w:t>
      </w:r>
    </w:p>
    <w:p w:rsidR="00000000" w:rsidRDefault="005B28A9">
      <w:pPr>
        <w:kinsoku w:val="0"/>
        <w:overflowPunct w:val="0"/>
        <w:autoSpaceDE/>
        <w:autoSpaceDN/>
        <w:adjustRightInd/>
        <w:spacing w:before="540" w:line="282" w:lineRule="exact"/>
        <w:ind w:left="144" w:right="216"/>
        <w:jc w:val="both"/>
        <w:textAlignment w:val="baseline"/>
        <w:rPr>
          <w:rFonts w:ascii="Verdana" w:hAnsi="Verdana" w:cs="Verdana"/>
          <w:b/>
          <w:bCs/>
          <w:spacing w:val="6"/>
          <w:sz w:val="22"/>
          <w:szCs w:val="22"/>
          <w:lang w:val="es-ES" w:eastAsia="es-ES"/>
        </w:rPr>
      </w:pPr>
      <w:r>
        <w:rPr>
          <w:rFonts w:ascii="Verdana" w:hAnsi="Verdana" w:cs="Verdana"/>
          <w:spacing w:val="6"/>
          <w:sz w:val="22"/>
          <w:szCs w:val="22"/>
          <w:lang w:val="es-ES" w:eastAsia="es-ES"/>
        </w:rPr>
        <w:t xml:space="preserve">La Ley Reguladora del Servicio Público de Transporte Remunerado de Personas en Vehículos en la Modalidad de Taxi, No. 7969 del 22 de diciembre de 1999, señala en su </w:t>
      </w:r>
      <w:r>
        <w:rPr>
          <w:rFonts w:ascii="Verdana" w:hAnsi="Verdana" w:cs="Verdana"/>
          <w:i/>
          <w:iCs/>
          <w:spacing w:val="6"/>
          <w:sz w:val="22"/>
          <w:szCs w:val="22"/>
          <w:lang w:val="es-ES" w:eastAsia="es-ES"/>
        </w:rPr>
        <w:t xml:space="preserve">numeral 5), </w:t>
      </w:r>
      <w:r>
        <w:rPr>
          <w:rFonts w:ascii="Verdana" w:hAnsi="Verdana" w:cs="Verdana"/>
          <w:spacing w:val="6"/>
          <w:sz w:val="22"/>
          <w:szCs w:val="22"/>
          <w:lang w:val="es-ES" w:eastAsia="es-ES"/>
        </w:rPr>
        <w:t>que el Conejo de Transpo</w:t>
      </w:r>
      <w:r>
        <w:rPr>
          <w:rFonts w:ascii="Verdana" w:hAnsi="Verdana" w:cs="Verdana"/>
          <w:spacing w:val="6"/>
          <w:sz w:val="22"/>
          <w:szCs w:val="22"/>
          <w:lang w:val="es-ES" w:eastAsia="es-ES"/>
        </w:rPr>
        <w:t xml:space="preserve">rte Público, es un órgano con desconcentración máxima su naturaleza jurídica es la de órgano desconcentrado, especializado en materia de transporte público y adscrito al Ministerio de Obras Públicas y Transportes. </w:t>
      </w:r>
      <w:r>
        <w:rPr>
          <w:rFonts w:ascii="Verdana" w:hAnsi="Verdana" w:cs="Verdana"/>
          <w:b/>
          <w:bCs/>
          <w:spacing w:val="6"/>
          <w:sz w:val="22"/>
          <w:szCs w:val="22"/>
          <w:lang w:val="es-ES" w:eastAsia="es-ES"/>
        </w:rPr>
        <w:t>Se encargará de definir las políticas y ej</w:t>
      </w:r>
      <w:r>
        <w:rPr>
          <w:rFonts w:ascii="Verdana" w:hAnsi="Verdana" w:cs="Verdana"/>
          <w:b/>
          <w:bCs/>
          <w:spacing w:val="6"/>
          <w:sz w:val="22"/>
          <w:szCs w:val="22"/>
          <w:lang w:val="es-ES" w:eastAsia="es-ES"/>
        </w:rPr>
        <w:t>ecutar los planes y programas nacionales relacionados con las materias de su competencia.</w:t>
      </w:r>
    </w:p>
    <w:p w:rsidR="00000000" w:rsidRDefault="005B28A9">
      <w:pPr>
        <w:kinsoku w:val="0"/>
        <w:overflowPunct w:val="0"/>
        <w:autoSpaceDE/>
        <w:autoSpaceDN/>
        <w:adjustRightInd/>
        <w:spacing w:before="285" w:line="273" w:lineRule="exact"/>
        <w:ind w:left="144"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el artículo 7 de la Ley supra indicada el Consejo de Transporte Público tiene las siguientes facultades.</w:t>
      </w:r>
    </w:p>
    <w:p w:rsidR="00000000" w:rsidRDefault="005B28A9">
      <w:pPr>
        <w:kinsoku w:val="0"/>
        <w:overflowPunct w:val="0"/>
        <w:autoSpaceDE/>
        <w:autoSpaceDN/>
        <w:adjustRightInd/>
        <w:spacing w:before="878" w:line="211" w:lineRule="exact"/>
        <w:ind w:left="576"/>
        <w:textAlignment w:val="baseline"/>
        <w:rPr>
          <w:rFonts w:ascii="Verdana" w:hAnsi="Verdana" w:cs="Verdana"/>
          <w:i/>
          <w:iCs/>
          <w:sz w:val="17"/>
          <w:szCs w:val="17"/>
          <w:lang w:val="es-ES" w:eastAsia="es-ES"/>
        </w:rPr>
      </w:pPr>
      <w:r>
        <w:rPr>
          <w:rFonts w:ascii="Verdana" w:hAnsi="Verdana" w:cs="Verdana"/>
          <w:i/>
          <w:iCs/>
          <w:sz w:val="17"/>
          <w:szCs w:val="17"/>
          <w:lang w:val="es-ES" w:eastAsia="es-ES"/>
        </w:rPr>
        <w:t>"ARTÍCULO 7.- Atribuciones del Consejo</w:t>
      </w:r>
    </w:p>
    <w:p w:rsidR="00000000" w:rsidRDefault="005B28A9">
      <w:pPr>
        <w:kinsoku w:val="0"/>
        <w:overflowPunct w:val="0"/>
        <w:autoSpaceDE/>
        <w:autoSpaceDN/>
        <w:adjustRightInd/>
        <w:spacing w:before="25" w:line="211" w:lineRule="exact"/>
        <w:ind w:left="576"/>
        <w:textAlignment w:val="baseline"/>
        <w:rPr>
          <w:rFonts w:ascii="Verdana" w:hAnsi="Verdana" w:cs="Verdana"/>
          <w:i/>
          <w:iCs/>
          <w:sz w:val="17"/>
          <w:szCs w:val="17"/>
          <w:lang w:val="es-ES" w:eastAsia="es-ES"/>
        </w:rPr>
      </w:pPr>
      <w:r>
        <w:rPr>
          <w:rFonts w:ascii="Verdana" w:hAnsi="Verdana" w:cs="Verdana"/>
          <w:i/>
          <w:iCs/>
          <w:sz w:val="17"/>
          <w:szCs w:val="17"/>
          <w:lang w:val="es-ES" w:eastAsia="es-ES"/>
        </w:rPr>
        <w:t>El Consejo, en el ejercicio de sus competencias, tendrá las siguientes atribuciones:</w:t>
      </w:r>
    </w:p>
    <w:p w:rsidR="00000000" w:rsidRDefault="005B28A9">
      <w:pPr>
        <w:numPr>
          <w:ilvl w:val="0"/>
          <w:numId w:val="9"/>
        </w:numPr>
        <w:kinsoku w:val="0"/>
        <w:overflowPunct w:val="0"/>
        <w:autoSpaceDE/>
        <w:autoSpaceDN/>
        <w:adjustRightInd/>
        <w:spacing w:before="207" w:line="211"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Coordinar la aplicación correcta de las políticas de transporte público, su planeamiento, la revisión técnica, el otorgamiento y la administració</w:t>
      </w:r>
      <w:r>
        <w:rPr>
          <w:rFonts w:ascii="Verdana" w:hAnsi="Verdana" w:cs="Verdana"/>
          <w:i/>
          <w:iCs/>
          <w:sz w:val="17"/>
          <w:szCs w:val="17"/>
          <w:lang w:val="es-ES" w:eastAsia="es-ES"/>
        </w:rPr>
        <w:t>n de las concesiones, así como la regulación de los permisos que legalmente procedan.</w:t>
      </w:r>
    </w:p>
    <w:p w:rsidR="00000000" w:rsidRDefault="005B28A9">
      <w:pPr>
        <w:numPr>
          <w:ilvl w:val="0"/>
          <w:numId w:val="9"/>
        </w:numPr>
        <w:kinsoku w:val="0"/>
        <w:overflowPunct w:val="0"/>
        <w:autoSpaceDE/>
        <w:autoSpaceDN/>
        <w:adjustRightInd/>
        <w:spacing w:line="207"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Estudiar y emitir opinión sobre los asuntos sometidos a su conocimiento por cualquier dependencia o institución involucrada en servicios de transporte público, planeamien</w:t>
      </w:r>
      <w:r>
        <w:rPr>
          <w:rFonts w:ascii="Verdana" w:hAnsi="Verdana" w:cs="Verdana"/>
          <w:i/>
          <w:iCs/>
          <w:sz w:val="17"/>
          <w:szCs w:val="17"/>
          <w:lang w:val="es-ES" w:eastAsia="es-ES"/>
        </w:rPr>
        <w:t xml:space="preserve">to, </w:t>
      </w:r>
      <w:r>
        <w:rPr>
          <w:rFonts w:ascii="Verdana" w:hAnsi="Verdana" w:cs="Verdana"/>
          <w:b/>
          <w:bCs/>
          <w:i/>
          <w:iCs/>
          <w:sz w:val="17"/>
          <w:szCs w:val="17"/>
          <w:u w:val="single"/>
          <w:lang w:val="es-ES" w:eastAsia="es-ES"/>
        </w:rPr>
        <w:t>revisión técnica</w:t>
      </w:r>
      <w:r>
        <w:rPr>
          <w:rFonts w:ascii="Verdana" w:hAnsi="Verdana" w:cs="Verdana"/>
          <w:i/>
          <w:iCs/>
          <w:sz w:val="17"/>
          <w:szCs w:val="17"/>
          <w:lang w:val="es-ES" w:eastAsia="es-ES"/>
        </w:rPr>
        <w:t xml:space="preserve"> administración y otorgamiento de concesiones y permisos.</w:t>
      </w:r>
    </w:p>
    <w:p w:rsidR="00000000" w:rsidRDefault="005B28A9">
      <w:pPr>
        <w:numPr>
          <w:ilvl w:val="0"/>
          <w:numId w:val="9"/>
        </w:numPr>
        <w:kinsoku w:val="0"/>
        <w:overflowPunct w:val="0"/>
        <w:autoSpaceDE/>
        <w:autoSpaceDN/>
        <w:adjustRightInd/>
        <w:spacing w:line="206"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 xml:space="preserve">Servir como órgano que efectivamente facilite, en razón de su ejecutividad, la coordinación interinstitucional entre las dependencias del Poder Ejecutivo, el sector empresarial, </w:t>
      </w:r>
      <w:r>
        <w:rPr>
          <w:rFonts w:ascii="Verdana" w:hAnsi="Verdana" w:cs="Verdana"/>
          <w:i/>
          <w:iCs/>
          <w:sz w:val="17"/>
          <w:szCs w:val="17"/>
          <w:lang w:val="es-ES" w:eastAsia="es-ES"/>
        </w:rPr>
        <w:t>los usuarios y los clientes de los servicios de transporte público, los organismos internacionales y otras entidades públicas o privadas que en su gestión se relacionen con los servicios regulados en esta ley.</w:t>
      </w:r>
    </w:p>
    <w:p w:rsidR="00000000" w:rsidRDefault="005B28A9">
      <w:pPr>
        <w:numPr>
          <w:ilvl w:val="0"/>
          <w:numId w:val="10"/>
        </w:numPr>
        <w:kinsoku w:val="0"/>
        <w:overflowPunct w:val="0"/>
        <w:autoSpaceDE/>
        <w:autoSpaceDN/>
        <w:adjustRightInd/>
        <w:spacing w:before="2" w:line="209" w:lineRule="exact"/>
        <w:ind w:right="216"/>
        <w:jc w:val="both"/>
        <w:textAlignment w:val="baseline"/>
        <w:rPr>
          <w:rFonts w:ascii="Verdana" w:hAnsi="Verdana" w:cs="Verdana"/>
          <w:b/>
          <w:bCs/>
          <w:i/>
          <w:iCs/>
          <w:sz w:val="17"/>
          <w:szCs w:val="17"/>
          <w:u w:val="single"/>
          <w:lang w:val="es-ES" w:eastAsia="es-ES"/>
        </w:rPr>
      </w:pPr>
      <w:r>
        <w:rPr>
          <w:rFonts w:ascii="Verdana" w:hAnsi="Verdana" w:cs="Verdana"/>
          <w:b/>
          <w:bCs/>
          <w:i/>
          <w:iCs/>
          <w:sz w:val="17"/>
          <w:szCs w:val="17"/>
          <w:u w:val="single"/>
          <w:lang w:val="es-ES" w:eastAsia="es-ES"/>
        </w:rPr>
        <w:t>Establecer y recomendar normas, procedimie</w:t>
      </w:r>
      <w:r w:rsidR="00861CD1">
        <w:rPr>
          <w:rFonts w:ascii="Verdana" w:hAnsi="Verdana" w:cs="Verdana"/>
          <w:b/>
          <w:bCs/>
          <w:i/>
          <w:iCs/>
          <w:sz w:val="17"/>
          <w:szCs w:val="17"/>
          <w:u w:val="single"/>
          <w:lang w:val="es-ES" w:eastAsia="es-ES"/>
        </w:rPr>
        <w:t>ntos y</w:t>
      </w:r>
      <w:r>
        <w:rPr>
          <w:rFonts w:ascii="Verdana" w:hAnsi="Verdana" w:cs="Verdana"/>
          <w:b/>
          <w:bCs/>
          <w:i/>
          <w:iCs/>
          <w:sz w:val="17"/>
          <w:szCs w:val="17"/>
          <w:u w:val="single"/>
          <w:lang w:val="es-ES" w:eastAsia="es-ES"/>
        </w:rPr>
        <w:t xml:space="preserve"> acciones Que puedan  me</w:t>
      </w:r>
      <w:r w:rsidR="00861CD1">
        <w:rPr>
          <w:rFonts w:ascii="Verdana" w:hAnsi="Verdana" w:cs="Verdana"/>
          <w:b/>
          <w:bCs/>
          <w:i/>
          <w:iCs/>
          <w:sz w:val="17"/>
          <w:szCs w:val="17"/>
          <w:u w:val="single"/>
          <w:lang w:val="es-ES" w:eastAsia="es-ES"/>
        </w:rPr>
        <w:t>jorar las políticas y</w:t>
      </w:r>
      <w:r>
        <w:rPr>
          <w:rFonts w:ascii="Verdana" w:hAnsi="Verdana" w:cs="Verdana"/>
          <w:b/>
          <w:bCs/>
          <w:i/>
          <w:iCs/>
          <w:sz w:val="17"/>
          <w:szCs w:val="17"/>
          <w:u w:val="single"/>
          <w:lang w:val="es-ES" w:eastAsia="es-ES"/>
        </w:rPr>
        <w:t xml:space="preserve"> directrices en materia de transporte público,  planeamiento, revisión técnica, administración </w:t>
      </w:r>
      <w:r w:rsidR="00861CD1">
        <w:rPr>
          <w:rFonts w:ascii="Verdana" w:hAnsi="Verdana" w:cs="Verdana"/>
          <w:b/>
          <w:bCs/>
          <w:i/>
          <w:iCs/>
          <w:sz w:val="17"/>
          <w:szCs w:val="17"/>
          <w:u w:val="single"/>
          <w:lang w:val="es-ES" w:eastAsia="es-ES"/>
        </w:rPr>
        <w:t>y</w:t>
      </w:r>
      <w:r>
        <w:rPr>
          <w:rFonts w:ascii="Verdana" w:hAnsi="Verdana" w:cs="Verdana"/>
          <w:b/>
          <w:bCs/>
          <w:i/>
          <w:iCs/>
          <w:sz w:val="17"/>
          <w:szCs w:val="17"/>
          <w:u w:val="single"/>
          <w:lang w:val="es-ES" w:eastAsia="es-ES"/>
        </w:rPr>
        <w:t xml:space="preserve"> otorgamiento de  concesiones y permisos. </w:t>
      </w:r>
    </w:p>
    <w:p w:rsidR="00000000" w:rsidRDefault="005B28A9">
      <w:pPr>
        <w:numPr>
          <w:ilvl w:val="0"/>
          <w:numId w:val="9"/>
        </w:numPr>
        <w:kinsoku w:val="0"/>
        <w:overflowPunct w:val="0"/>
        <w:autoSpaceDE/>
        <w:autoSpaceDN/>
        <w:adjustRightInd/>
        <w:spacing w:line="208"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Velar porque la actividad del transporte público, su planeamie</w:t>
      </w:r>
      <w:r>
        <w:rPr>
          <w:rFonts w:ascii="Verdana" w:hAnsi="Verdana" w:cs="Verdana"/>
          <w:i/>
          <w:iCs/>
          <w:sz w:val="17"/>
          <w:szCs w:val="17"/>
          <w:lang w:val="es-ES" w:eastAsia="es-ES"/>
        </w:rPr>
        <w:t xml:space="preserve">nto, la </w:t>
      </w:r>
      <w:r>
        <w:rPr>
          <w:rFonts w:ascii="Verdana" w:hAnsi="Verdana" w:cs="Verdana"/>
          <w:b/>
          <w:bCs/>
          <w:i/>
          <w:iCs/>
          <w:sz w:val="17"/>
          <w:szCs w:val="17"/>
          <w:lang w:val="es-ES" w:eastAsia="es-ES"/>
        </w:rPr>
        <w:t xml:space="preserve">revisión técnica, </w:t>
      </w:r>
      <w:r>
        <w:rPr>
          <w:rFonts w:ascii="Verdana" w:hAnsi="Verdana" w:cs="Verdana"/>
          <w:i/>
          <w:iCs/>
          <w:sz w:val="17"/>
          <w:szCs w:val="17"/>
          <w:lang w:val="es-ES" w:eastAsia="es-ES"/>
        </w:rPr>
        <w:t>la administración y el otorgamiento de concesiones, sus sistemas operacionales y el equipamiento requerido, sean acordes con los sistemas tecnológicos más modernos para velar por la calidad de los servicios requeridos por el desar</w:t>
      </w:r>
      <w:r>
        <w:rPr>
          <w:rFonts w:ascii="Verdana" w:hAnsi="Verdana" w:cs="Verdana"/>
          <w:i/>
          <w:iCs/>
          <w:sz w:val="17"/>
          <w:szCs w:val="17"/>
          <w:lang w:val="es-ES" w:eastAsia="es-ES"/>
        </w:rPr>
        <w:t>rollo del transporte público nacional e internacional.</w:t>
      </w:r>
    </w:p>
    <w:p w:rsidR="00000000" w:rsidRDefault="005B28A9">
      <w:pPr>
        <w:numPr>
          <w:ilvl w:val="0"/>
          <w:numId w:val="9"/>
        </w:numPr>
        <w:kinsoku w:val="0"/>
        <w:overflowPunct w:val="0"/>
        <w:autoSpaceDE/>
        <w:autoSpaceDN/>
        <w:adjustRightInd/>
        <w:spacing w:before="5" w:line="211"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Conocer, tramitar y resolver, de oficio o a instancia de parte, las denuncias referentes a los comportamientos activos y omisos que violen las normas de la legislación del transporte público o amenacen</w:t>
      </w:r>
      <w:r>
        <w:rPr>
          <w:rFonts w:ascii="Verdana" w:hAnsi="Verdana" w:cs="Verdana"/>
          <w:i/>
          <w:iCs/>
          <w:sz w:val="17"/>
          <w:szCs w:val="17"/>
          <w:lang w:val="es-ES" w:eastAsia="es-ES"/>
        </w:rPr>
        <w:t xml:space="preserve"> con violarlas.</w:t>
      </w:r>
    </w:p>
    <w:p w:rsidR="00000000" w:rsidRDefault="005B28A9">
      <w:pPr>
        <w:numPr>
          <w:ilvl w:val="0"/>
          <w:numId w:val="9"/>
        </w:numPr>
        <w:kinsoku w:val="0"/>
        <w:overflowPunct w:val="0"/>
        <w:autoSpaceDE/>
        <w:autoSpaceDN/>
        <w:adjustRightInd/>
        <w:spacing w:line="208"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Preparar un plan estratégico cuyo objetivo esencial sea organizar, legal, técnica y administrativamente, el funcionamiento de un plan de desarrollo tecnológico en materia de transporte público.</w:t>
      </w:r>
    </w:p>
    <w:p w:rsidR="00000000" w:rsidRDefault="005B28A9">
      <w:pPr>
        <w:numPr>
          <w:ilvl w:val="0"/>
          <w:numId w:val="9"/>
        </w:numPr>
        <w:kinsoku w:val="0"/>
        <w:overflowPunct w:val="0"/>
        <w:autoSpaceDE/>
        <w:autoSpaceDN/>
        <w:adjustRightInd/>
        <w:spacing w:line="208"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Promover el desarrollo y la capacitación del r</w:t>
      </w:r>
      <w:r>
        <w:rPr>
          <w:rFonts w:ascii="Verdana" w:hAnsi="Verdana" w:cs="Verdana"/>
          <w:i/>
          <w:iCs/>
          <w:sz w:val="17"/>
          <w:szCs w:val="17"/>
          <w:lang w:val="es-ES" w:eastAsia="es-ES"/>
        </w:rPr>
        <w:t>ecurso humano involucrado en la actividad, en concordancia con los requerimientos de un sistema moderno de transporte público.</w:t>
      </w:r>
    </w:p>
    <w:p w:rsidR="00000000" w:rsidRDefault="005B28A9">
      <w:pPr>
        <w:numPr>
          <w:ilvl w:val="0"/>
          <w:numId w:val="9"/>
        </w:numPr>
        <w:kinsoku w:val="0"/>
        <w:overflowPunct w:val="0"/>
        <w:autoSpaceDE/>
        <w:autoSpaceDN/>
        <w:adjustRightInd/>
        <w:spacing w:after="513" w:line="208" w:lineRule="exact"/>
        <w:ind w:right="216"/>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Fijar las paradas terminales e intermedias de todos los servicios de transporte público remunerado de personas.</w:t>
      </w:r>
    </w:p>
    <w:p w:rsidR="00000000" w:rsidRDefault="005B28A9">
      <w:pPr>
        <w:widowControl/>
        <w:rPr>
          <w:sz w:val="24"/>
          <w:szCs w:val="24"/>
        </w:rPr>
        <w:sectPr w:rsidR="00000000">
          <w:pgSz w:w="12134" w:h="15840"/>
          <w:pgMar w:top="1580" w:right="2098" w:bottom="200" w:left="1950" w:header="720" w:footer="720" w:gutter="0"/>
          <w:cols w:space="720"/>
          <w:noEndnote/>
        </w:sectPr>
      </w:pPr>
    </w:p>
    <w:p w:rsidR="00000000" w:rsidRDefault="005B28A9">
      <w:pPr>
        <w:widowControl/>
        <w:rPr>
          <w:sz w:val="24"/>
          <w:szCs w:val="24"/>
        </w:rPr>
        <w:sectPr w:rsidR="00000000">
          <w:type w:val="continuous"/>
          <w:pgSz w:w="12134" w:h="15840"/>
          <w:pgMar w:top="1580" w:right="1843" w:bottom="200" w:left="7411" w:header="720" w:footer="720" w:gutter="0"/>
          <w:cols w:space="720"/>
          <w:noEndnote/>
        </w:sectPr>
      </w:pPr>
    </w:p>
    <w:p w:rsidR="00000000" w:rsidRDefault="005B28A9">
      <w:pPr>
        <w:numPr>
          <w:ilvl w:val="0"/>
          <w:numId w:val="11"/>
        </w:numPr>
        <w:kinsoku w:val="0"/>
        <w:overflowPunct w:val="0"/>
        <w:autoSpaceDE/>
        <w:autoSpaceDN/>
        <w:adjustRightInd/>
        <w:spacing w:line="212" w:lineRule="exact"/>
        <w:ind w:right="360"/>
        <w:jc w:val="both"/>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t>Otorgar permisos por un plazo hasta de doce meses, ante una necesidad no satisfecha y debidamente probada, de servicio público en la modalidad de taxi. Lo anterior se realizará entre quiene</w:t>
      </w:r>
      <w:r>
        <w:rPr>
          <w:rFonts w:ascii="Verdana" w:hAnsi="Verdana" w:cs="Verdana"/>
          <w:i/>
          <w:iCs/>
          <w:spacing w:val="9"/>
          <w:sz w:val="15"/>
          <w:szCs w:val="15"/>
          <w:lang w:val="es-ES" w:eastAsia="es-ES"/>
        </w:rPr>
        <w:t>s se encuentren calificados como elegibles tras los concursos públicos efectuados para optar a una concesión de servicio público de transporte en la</w:t>
      </w:r>
    </w:p>
    <w:p w:rsidR="00000000" w:rsidRDefault="005B28A9">
      <w:pPr>
        <w:kinsoku w:val="0"/>
        <w:overflowPunct w:val="0"/>
        <w:autoSpaceDE/>
        <w:autoSpaceDN/>
        <w:adjustRightInd/>
        <w:spacing w:before="11" w:line="206" w:lineRule="exact"/>
        <w:ind w:left="360" w:right="360"/>
        <w:jc w:val="both"/>
        <w:textAlignment w:val="baseline"/>
        <w:rPr>
          <w:rFonts w:ascii="Verdana" w:hAnsi="Verdana" w:cs="Verdana"/>
          <w:i/>
          <w:iCs/>
          <w:spacing w:val="11"/>
          <w:sz w:val="15"/>
          <w:szCs w:val="15"/>
          <w:lang w:val="es-ES" w:eastAsia="es-ES"/>
        </w:rPr>
      </w:pPr>
      <w:proofErr w:type="gramStart"/>
      <w:r>
        <w:rPr>
          <w:rFonts w:ascii="Verdana" w:hAnsi="Verdana" w:cs="Verdana"/>
          <w:i/>
          <w:iCs/>
          <w:spacing w:val="11"/>
          <w:sz w:val="15"/>
          <w:szCs w:val="15"/>
          <w:lang w:val="es-ES" w:eastAsia="es-ES"/>
        </w:rPr>
        <w:t>modalidad</w:t>
      </w:r>
      <w:proofErr w:type="gramEnd"/>
      <w:r>
        <w:rPr>
          <w:rFonts w:ascii="Verdana" w:hAnsi="Verdana" w:cs="Verdana"/>
          <w:i/>
          <w:iCs/>
          <w:spacing w:val="11"/>
          <w:sz w:val="15"/>
          <w:szCs w:val="15"/>
          <w:lang w:val="es-ES" w:eastAsia="es-ES"/>
        </w:rPr>
        <w:t xml:space="preserve"> de taxi, pero que no hayan resultado concesionarios. Se les dará prioridad a quienes optaron por </w:t>
      </w:r>
      <w:r>
        <w:rPr>
          <w:rFonts w:ascii="Verdana" w:hAnsi="Verdana" w:cs="Verdana"/>
          <w:i/>
          <w:iCs/>
          <w:spacing w:val="11"/>
          <w:sz w:val="15"/>
          <w:szCs w:val="15"/>
          <w:lang w:val="es-ES" w:eastAsia="es-ES"/>
        </w:rPr>
        <w:t>participar en las bases de operación más cercanas al lugar donde se necesita el servicio.</w:t>
      </w:r>
    </w:p>
    <w:p w:rsidR="00000000" w:rsidRDefault="005B28A9">
      <w:pPr>
        <w:numPr>
          <w:ilvl w:val="0"/>
          <w:numId w:val="11"/>
        </w:numPr>
        <w:kinsoku w:val="0"/>
        <w:overflowPunct w:val="0"/>
        <w:autoSpaceDE/>
        <w:autoSpaceDN/>
        <w:adjustRightInd/>
        <w:spacing w:line="206" w:lineRule="exact"/>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Solicitar los reajustes de tarifas de todos los servicios de transporte remunerado</w:t>
      </w:r>
    </w:p>
    <w:p w:rsidR="00000000" w:rsidRDefault="005B28A9">
      <w:pPr>
        <w:kinsoku w:val="0"/>
        <w:overflowPunct w:val="0"/>
        <w:autoSpaceDE/>
        <w:autoSpaceDN/>
        <w:adjustRightInd/>
        <w:spacing w:before="5" w:line="206" w:lineRule="exact"/>
        <w:ind w:left="360"/>
        <w:textAlignment w:val="baseline"/>
        <w:rPr>
          <w:rFonts w:ascii="Verdana" w:hAnsi="Verdana" w:cs="Verdana"/>
          <w:i/>
          <w:iCs/>
          <w:spacing w:val="7"/>
          <w:sz w:val="15"/>
          <w:szCs w:val="15"/>
          <w:lang w:val="es-ES" w:eastAsia="es-ES"/>
        </w:rPr>
      </w:pPr>
      <w:proofErr w:type="gramStart"/>
      <w:r>
        <w:rPr>
          <w:rFonts w:ascii="Verdana" w:hAnsi="Verdana" w:cs="Verdana"/>
          <w:i/>
          <w:iCs/>
          <w:spacing w:val="7"/>
          <w:sz w:val="15"/>
          <w:szCs w:val="15"/>
          <w:lang w:val="es-ES" w:eastAsia="es-ES"/>
        </w:rPr>
        <w:t>de</w:t>
      </w:r>
      <w:proofErr w:type="gramEnd"/>
      <w:r>
        <w:rPr>
          <w:rFonts w:ascii="Verdana" w:hAnsi="Verdana" w:cs="Verdana"/>
          <w:i/>
          <w:iCs/>
          <w:spacing w:val="7"/>
          <w:sz w:val="15"/>
          <w:szCs w:val="15"/>
          <w:lang w:val="es-ES" w:eastAsia="es-ES"/>
        </w:rPr>
        <w:t xml:space="preserve"> personas.</w:t>
      </w:r>
    </w:p>
    <w:p w:rsidR="00000000" w:rsidRDefault="005B28A9">
      <w:pPr>
        <w:kinsoku w:val="0"/>
        <w:overflowPunct w:val="0"/>
        <w:autoSpaceDE/>
        <w:autoSpaceDN/>
        <w:adjustRightInd/>
        <w:spacing w:before="1" w:line="206" w:lineRule="exact"/>
        <w:ind w:left="360"/>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I) Aprobar sus planes operativos anuales.</w:t>
      </w:r>
    </w:p>
    <w:p w:rsidR="00000000" w:rsidRDefault="005B28A9">
      <w:pPr>
        <w:kinsoku w:val="0"/>
        <w:overflowPunct w:val="0"/>
        <w:autoSpaceDE/>
        <w:autoSpaceDN/>
        <w:adjustRightInd/>
        <w:spacing w:line="206" w:lineRule="exact"/>
        <w:jc w:val="center"/>
        <w:textAlignment w:val="baseline"/>
        <w:rPr>
          <w:rFonts w:ascii="Verdana" w:hAnsi="Verdana" w:cs="Verdana"/>
          <w:i/>
          <w:iCs/>
          <w:spacing w:val="20"/>
          <w:sz w:val="15"/>
          <w:szCs w:val="15"/>
          <w:lang w:val="es-ES" w:eastAsia="es-ES"/>
        </w:rPr>
      </w:pPr>
      <w:r>
        <w:rPr>
          <w:rFonts w:ascii="Verdana" w:hAnsi="Verdana" w:cs="Verdana"/>
          <w:i/>
          <w:iCs/>
          <w:spacing w:val="20"/>
          <w:sz w:val="15"/>
          <w:szCs w:val="15"/>
          <w:lang w:val="es-ES" w:eastAsia="es-ES"/>
        </w:rPr>
        <w:t>m) Proponer al Ministerio de Obras Públicas y Transportes sus presupuestos</w:t>
      </w:r>
    </w:p>
    <w:p w:rsidR="00000000" w:rsidRDefault="005B28A9">
      <w:pPr>
        <w:kinsoku w:val="0"/>
        <w:overflowPunct w:val="0"/>
        <w:autoSpaceDE/>
        <w:autoSpaceDN/>
        <w:adjustRightInd/>
        <w:spacing w:before="1" w:line="206" w:lineRule="exact"/>
        <w:ind w:left="360"/>
        <w:textAlignment w:val="baseline"/>
        <w:rPr>
          <w:rFonts w:ascii="Verdana" w:hAnsi="Verdana" w:cs="Verdana"/>
          <w:i/>
          <w:iCs/>
          <w:spacing w:val="10"/>
          <w:sz w:val="15"/>
          <w:szCs w:val="15"/>
          <w:lang w:val="es-ES" w:eastAsia="es-ES"/>
        </w:rPr>
      </w:pPr>
      <w:proofErr w:type="gramStart"/>
      <w:r>
        <w:rPr>
          <w:rFonts w:ascii="Verdana" w:hAnsi="Verdana" w:cs="Verdana"/>
          <w:i/>
          <w:iCs/>
          <w:spacing w:val="10"/>
          <w:sz w:val="15"/>
          <w:szCs w:val="15"/>
          <w:lang w:val="es-ES" w:eastAsia="es-ES"/>
        </w:rPr>
        <w:t>anuales</w:t>
      </w:r>
      <w:proofErr w:type="gramEnd"/>
      <w:r>
        <w:rPr>
          <w:rFonts w:ascii="Verdana" w:hAnsi="Verdana" w:cs="Verdana"/>
          <w:i/>
          <w:iCs/>
          <w:spacing w:val="10"/>
          <w:sz w:val="15"/>
          <w:szCs w:val="15"/>
          <w:lang w:val="es-ES" w:eastAsia="es-ES"/>
        </w:rPr>
        <w:t xml:space="preserve">. ( </w:t>
      </w:r>
      <w:proofErr w:type="gramStart"/>
      <w:r>
        <w:rPr>
          <w:rFonts w:ascii="Verdana" w:hAnsi="Verdana" w:cs="Verdana"/>
          <w:i/>
          <w:iCs/>
          <w:spacing w:val="10"/>
          <w:sz w:val="15"/>
          <w:szCs w:val="15"/>
          <w:lang w:val="es-ES" w:eastAsia="es-ES"/>
        </w:rPr>
        <w:t>el</w:t>
      </w:r>
      <w:proofErr w:type="gramEnd"/>
      <w:r>
        <w:rPr>
          <w:rFonts w:ascii="Verdana" w:hAnsi="Verdana" w:cs="Verdana"/>
          <w:i/>
          <w:iCs/>
          <w:spacing w:val="10"/>
          <w:sz w:val="15"/>
          <w:szCs w:val="15"/>
          <w:lang w:val="es-ES" w:eastAsia="es-ES"/>
        </w:rPr>
        <w:t xml:space="preserve"> resaltado es nuestro)"</w:t>
      </w:r>
    </w:p>
    <w:p w:rsidR="00000000" w:rsidRDefault="005B28A9">
      <w:pPr>
        <w:kinsoku w:val="0"/>
        <w:overflowPunct w:val="0"/>
        <w:autoSpaceDE/>
        <w:autoSpaceDN/>
        <w:adjustRightInd/>
        <w:spacing w:before="546" w:line="281" w:lineRule="exact"/>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La Sala Primera de la Corte Suprema de Justicia en su sentencia nú</w:t>
      </w:r>
      <w:r>
        <w:rPr>
          <w:rFonts w:ascii="Verdana" w:hAnsi="Verdana" w:cs="Verdana"/>
          <w:spacing w:val="3"/>
          <w:sz w:val="22"/>
          <w:szCs w:val="22"/>
          <w:lang w:val="es-ES" w:eastAsia="es-ES"/>
        </w:rPr>
        <w:t>mero 00283 de las nueve horas veinticinco minutos del 6 de marzo de d</w:t>
      </w:r>
      <w:r w:rsidR="00861CD1">
        <w:rPr>
          <w:rFonts w:ascii="Verdana" w:hAnsi="Verdana" w:cs="Verdana"/>
          <w:spacing w:val="3"/>
          <w:sz w:val="22"/>
          <w:szCs w:val="22"/>
          <w:lang w:val="es-ES" w:eastAsia="es-ES"/>
        </w:rPr>
        <w:t>o</w:t>
      </w:r>
      <w:r>
        <w:rPr>
          <w:rFonts w:ascii="Verdana" w:hAnsi="Verdana" w:cs="Verdana"/>
          <w:spacing w:val="3"/>
          <w:sz w:val="22"/>
          <w:szCs w:val="22"/>
          <w:lang w:val="es-ES" w:eastAsia="es-ES"/>
        </w:rPr>
        <w:t>s mil catorce indica respecto del Consejo de transporte Público lo siguiente:</w:t>
      </w:r>
    </w:p>
    <w:p w:rsidR="00000000" w:rsidRDefault="005B28A9">
      <w:pPr>
        <w:kinsoku w:val="0"/>
        <w:overflowPunct w:val="0"/>
        <w:autoSpaceDE/>
        <w:autoSpaceDN/>
        <w:adjustRightInd/>
        <w:spacing w:before="558" w:line="180" w:lineRule="exact"/>
        <w:ind w:left="360"/>
        <w:jc w:val="both"/>
        <w:textAlignment w:val="baseline"/>
        <w:rPr>
          <w:rFonts w:ascii="Verdana" w:hAnsi="Verdana" w:cs="Verdana"/>
          <w:sz w:val="24"/>
          <w:szCs w:val="24"/>
          <w:lang w:eastAsia="en-US"/>
        </w:rPr>
      </w:pPr>
      <w:r>
        <w:rPr>
          <w:rFonts w:ascii="Verdana" w:hAnsi="Verdana" w:cs="Verdana"/>
          <w:spacing w:val="2"/>
          <w:sz w:val="15"/>
          <w:szCs w:val="15"/>
          <w:lang w:val="es-ES" w:eastAsia="es-ES"/>
        </w:rPr>
        <w:t>"V.</w:t>
      </w:r>
      <w:r>
        <w:rPr>
          <w:rFonts w:ascii="Verdana" w:hAnsi="Verdana" w:cs="Verdana"/>
          <w:spacing w:val="2"/>
          <w:sz w:val="15"/>
          <w:szCs w:val="15"/>
          <w:lang w:val="es-ES" w:eastAsia="es-ES"/>
        </w:rPr>
        <w:noBreakHyphen/>
      </w:r>
    </w:p>
    <w:p w:rsidR="00000000" w:rsidRDefault="005B28A9">
      <w:pPr>
        <w:kinsoku w:val="0"/>
        <w:overflowPunct w:val="0"/>
        <w:autoSpaceDE/>
        <w:autoSpaceDN/>
        <w:adjustRightInd/>
        <w:spacing w:line="192" w:lineRule="exact"/>
        <w:ind w:left="360"/>
        <w:jc w:val="both"/>
        <w:textAlignment w:val="baseline"/>
        <w:rPr>
          <w:rFonts w:ascii="Verdana" w:hAnsi="Verdana" w:cs="Verdana"/>
          <w:sz w:val="24"/>
          <w:szCs w:val="24"/>
          <w:lang w:eastAsia="en-US"/>
        </w:rPr>
      </w:pPr>
      <w:r>
        <w:rPr>
          <w:rFonts w:ascii="Verdana" w:hAnsi="Verdana" w:cs="Verdana"/>
          <w:spacing w:val="2"/>
          <w:sz w:val="15"/>
          <w:szCs w:val="15"/>
          <w:lang w:val="es-ES" w:eastAsia="es-ES"/>
        </w:rPr>
        <w:t xml:space="preserve">La Ley no. 7969, en lo que interesa señala: </w:t>
      </w:r>
      <w:r>
        <w:rPr>
          <w:rFonts w:ascii="Arial" w:hAnsi="Arial" w:cs="Arial"/>
          <w:b/>
          <w:bCs/>
          <w:i/>
          <w:iCs/>
          <w:spacing w:val="2"/>
          <w:sz w:val="16"/>
          <w:szCs w:val="16"/>
          <w:lang w:val="es-ES" w:eastAsia="es-ES"/>
        </w:rPr>
        <w:t>"ARTÍCULO 5.</w:t>
      </w:r>
      <w:r>
        <w:rPr>
          <w:rFonts w:ascii="Arial" w:hAnsi="Arial" w:cs="Arial"/>
          <w:b/>
          <w:bCs/>
          <w:i/>
          <w:iCs/>
          <w:spacing w:val="2"/>
          <w:sz w:val="16"/>
          <w:szCs w:val="16"/>
          <w:lang w:val="es-ES" w:eastAsia="es-ES"/>
        </w:rPr>
        <w:noBreakHyphen/>
      </w:r>
    </w:p>
    <w:p w:rsidR="00000000" w:rsidRDefault="005B28A9">
      <w:pPr>
        <w:kinsoku w:val="0"/>
        <w:overflowPunct w:val="0"/>
        <w:autoSpaceDE/>
        <w:autoSpaceDN/>
        <w:adjustRightInd/>
        <w:spacing w:line="188" w:lineRule="exact"/>
        <w:ind w:left="360" w:right="360"/>
        <w:jc w:val="both"/>
        <w:textAlignment w:val="baseline"/>
        <w:rPr>
          <w:rFonts w:ascii="Verdana" w:hAnsi="Verdana" w:cs="Verdana"/>
          <w:sz w:val="24"/>
          <w:szCs w:val="24"/>
          <w:lang w:eastAsia="en-US"/>
        </w:rPr>
      </w:pPr>
      <w:r>
        <w:rPr>
          <w:rFonts w:ascii="Arial" w:hAnsi="Arial" w:cs="Arial"/>
          <w:b/>
          <w:bCs/>
          <w:i/>
          <w:iCs/>
          <w:sz w:val="16"/>
          <w:szCs w:val="16"/>
          <w:lang w:val="es-ES" w:eastAsia="es-ES"/>
        </w:rPr>
        <w:t>Creación. Créase el Consejo de Transporte Pú</w:t>
      </w:r>
      <w:r>
        <w:rPr>
          <w:rFonts w:ascii="Arial" w:hAnsi="Arial" w:cs="Arial"/>
          <w:b/>
          <w:bCs/>
          <w:i/>
          <w:iCs/>
          <w:sz w:val="16"/>
          <w:szCs w:val="16"/>
          <w:lang w:val="es-ES" w:eastAsia="es-ES"/>
        </w:rPr>
        <w:t xml:space="preserve">blico, en adelante el Consejo, como </w:t>
      </w:r>
      <w:r>
        <w:rPr>
          <w:rFonts w:ascii="Verdana" w:hAnsi="Verdana" w:cs="Verdana"/>
          <w:i/>
          <w:iCs/>
          <w:sz w:val="15"/>
          <w:szCs w:val="15"/>
          <w:lang w:val="es-ES" w:eastAsia="es-ES"/>
        </w:rPr>
        <w:t xml:space="preserve">órgano con desconcentración </w:t>
      </w:r>
      <w:r>
        <w:rPr>
          <w:rFonts w:ascii="Arial" w:hAnsi="Arial" w:cs="Arial"/>
          <w:b/>
          <w:bCs/>
          <w:i/>
          <w:iCs/>
          <w:sz w:val="16"/>
          <w:szCs w:val="16"/>
          <w:lang w:val="es-ES" w:eastAsia="es-ES"/>
        </w:rPr>
        <w:t>máxima, con personería jurídica instrumental (...) ARTÍCULO 6.</w:t>
      </w:r>
      <w:r>
        <w:rPr>
          <w:rFonts w:ascii="Arial" w:hAnsi="Arial" w:cs="Arial"/>
          <w:b/>
          <w:bCs/>
          <w:i/>
          <w:iCs/>
          <w:sz w:val="16"/>
          <w:szCs w:val="16"/>
          <w:lang w:val="es-ES" w:eastAsia="es-ES"/>
        </w:rPr>
        <w:noBreakHyphen/>
      </w:r>
    </w:p>
    <w:p w:rsidR="00000000" w:rsidRDefault="005B28A9">
      <w:pPr>
        <w:kinsoku w:val="0"/>
        <w:overflowPunct w:val="0"/>
        <w:autoSpaceDE/>
        <w:autoSpaceDN/>
        <w:adjustRightInd/>
        <w:spacing w:before="10" w:line="183" w:lineRule="exact"/>
        <w:ind w:left="360" w:right="360"/>
        <w:jc w:val="both"/>
        <w:textAlignment w:val="baseline"/>
        <w:rPr>
          <w:rFonts w:ascii="Verdana" w:hAnsi="Verdana" w:cs="Verdana"/>
          <w:sz w:val="24"/>
          <w:szCs w:val="24"/>
          <w:lang w:eastAsia="en-US"/>
        </w:rPr>
      </w:pPr>
      <w:r>
        <w:rPr>
          <w:rFonts w:ascii="Arial" w:hAnsi="Arial" w:cs="Arial"/>
          <w:b/>
          <w:bCs/>
          <w:i/>
          <w:iCs/>
          <w:sz w:val="16"/>
          <w:szCs w:val="16"/>
          <w:lang w:val="es-ES" w:eastAsia="es-ES"/>
        </w:rPr>
        <w:t xml:space="preserve">Naturaleza. La naturaleza jurídica </w:t>
      </w:r>
      <w:r>
        <w:rPr>
          <w:rFonts w:ascii="Verdana" w:hAnsi="Verdana" w:cs="Verdana"/>
          <w:i/>
          <w:iCs/>
          <w:sz w:val="15"/>
          <w:szCs w:val="15"/>
          <w:lang w:val="es-ES" w:eastAsia="es-ES"/>
        </w:rPr>
        <w:t xml:space="preserve">del Consejo será </w:t>
      </w:r>
      <w:r>
        <w:rPr>
          <w:rFonts w:ascii="Arial" w:hAnsi="Arial" w:cs="Arial"/>
          <w:b/>
          <w:bCs/>
          <w:i/>
          <w:iCs/>
          <w:sz w:val="16"/>
          <w:szCs w:val="16"/>
          <w:lang w:val="es-ES" w:eastAsia="es-ES"/>
        </w:rPr>
        <w:t xml:space="preserve">de órgano desconcentrado, </w:t>
      </w:r>
      <w:r>
        <w:rPr>
          <w:rFonts w:ascii="Verdana" w:hAnsi="Verdana" w:cs="Verdana"/>
          <w:i/>
          <w:iCs/>
          <w:sz w:val="15"/>
          <w:szCs w:val="15"/>
          <w:lang w:val="es-ES" w:eastAsia="es-ES"/>
        </w:rPr>
        <w:t xml:space="preserve">especializado en materia </w:t>
      </w:r>
      <w:r>
        <w:rPr>
          <w:rFonts w:ascii="Arial" w:hAnsi="Arial" w:cs="Arial"/>
          <w:b/>
          <w:bCs/>
          <w:i/>
          <w:iCs/>
          <w:sz w:val="16"/>
          <w:szCs w:val="16"/>
          <w:lang w:val="es-ES" w:eastAsia="es-ES"/>
        </w:rPr>
        <w:t xml:space="preserve">de transporte público </w:t>
      </w:r>
      <w:r>
        <w:rPr>
          <w:rFonts w:ascii="Verdana" w:hAnsi="Verdana" w:cs="Verdana"/>
          <w:i/>
          <w:iCs/>
          <w:sz w:val="15"/>
          <w:szCs w:val="15"/>
          <w:lang w:val="es-ES" w:eastAsia="es-ES"/>
        </w:rPr>
        <w:t>y a</w:t>
      </w:r>
      <w:r>
        <w:rPr>
          <w:rFonts w:ascii="Verdana" w:hAnsi="Verdana" w:cs="Verdana"/>
          <w:i/>
          <w:iCs/>
          <w:sz w:val="15"/>
          <w:szCs w:val="15"/>
          <w:lang w:val="es-ES" w:eastAsia="es-ES"/>
        </w:rPr>
        <w:t xml:space="preserve">dscrito al Ministerio </w:t>
      </w:r>
      <w:r>
        <w:rPr>
          <w:rFonts w:ascii="Arial" w:hAnsi="Arial" w:cs="Arial"/>
          <w:b/>
          <w:bCs/>
          <w:i/>
          <w:iCs/>
          <w:sz w:val="16"/>
          <w:szCs w:val="16"/>
          <w:lang w:val="es-ES" w:eastAsia="es-ES"/>
        </w:rPr>
        <w:t xml:space="preserve">de Obras Públicas </w:t>
      </w:r>
      <w:r>
        <w:rPr>
          <w:rFonts w:ascii="Verdana" w:hAnsi="Verdana" w:cs="Verdana"/>
          <w:i/>
          <w:iCs/>
          <w:sz w:val="15"/>
          <w:szCs w:val="15"/>
          <w:lang w:val="es-ES" w:eastAsia="es-ES"/>
        </w:rPr>
        <w:t xml:space="preserve">y Transportes. Se encargará </w:t>
      </w:r>
      <w:r>
        <w:rPr>
          <w:rFonts w:ascii="Arial" w:hAnsi="Arial" w:cs="Arial"/>
          <w:b/>
          <w:bCs/>
          <w:i/>
          <w:iCs/>
          <w:sz w:val="16"/>
          <w:szCs w:val="16"/>
          <w:lang w:val="es-ES" w:eastAsia="es-ES"/>
        </w:rPr>
        <w:t xml:space="preserve">de definir las políticas y ejecutar </w:t>
      </w:r>
      <w:r>
        <w:rPr>
          <w:rFonts w:ascii="Verdana" w:hAnsi="Verdana" w:cs="Verdana"/>
          <w:i/>
          <w:iCs/>
          <w:sz w:val="15"/>
          <w:szCs w:val="15"/>
          <w:lang w:val="es-ES" w:eastAsia="es-ES"/>
        </w:rPr>
        <w:t xml:space="preserve">los planes y </w:t>
      </w:r>
      <w:r>
        <w:rPr>
          <w:rFonts w:ascii="Arial" w:hAnsi="Arial" w:cs="Arial"/>
          <w:b/>
          <w:bCs/>
          <w:i/>
          <w:iCs/>
          <w:sz w:val="16"/>
          <w:szCs w:val="16"/>
          <w:lang w:val="es-ES" w:eastAsia="es-ES"/>
        </w:rPr>
        <w:t xml:space="preserve">programas nacionales </w:t>
      </w:r>
      <w:r>
        <w:rPr>
          <w:rFonts w:ascii="Verdana" w:hAnsi="Verdana" w:cs="Verdana"/>
          <w:i/>
          <w:iCs/>
          <w:sz w:val="15"/>
          <w:szCs w:val="15"/>
          <w:lang w:val="es-ES" w:eastAsia="es-ES"/>
        </w:rPr>
        <w:t xml:space="preserve">relacionados con las materias de </w:t>
      </w:r>
      <w:r>
        <w:rPr>
          <w:rFonts w:ascii="Arial" w:hAnsi="Arial" w:cs="Arial"/>
          <w:b/>
          <w:bCs/>
          <w:i/>
          <w:iCs/>
          <w:sz w:val="16"/>
          <w:szCs w:val="16"/>
          <w:lang w:val="es-ES" w:eastAsia="es-ES"/>
        </w:rPr>
        <w:t xml:space="preserve">su competencia; </w:t>
      </w:r>
      <w:r>
        <w:rPr>
          <w:rFonts w:ascii="Verdana" w:hAnsi="Verdana" w:cs="Verdana"/>
          <w:i/>
          <w:iCs/>
          <w:sz w:val="15"/>
          <w:szCs w:val="15"/>
          <w:lang w:val="es-ES" w:eastAsia="es-ES"/>
        </w:rPr>
        <w:t xml:space="preserve">para tal efecto, deberá </w:t>
      </w:r>
      <w:r>
        <w:rPr>
          <w:rFonts w:ascii="Arial" w:hAnsi="Arial" w:cs="Arial"/>
          <w:b/>
          <w:bCs/>
          <w:i/>
          <w:iCs/>
          <w:sz w:val="16"/>
          <w:szCs w:val="16"/>
          <w:lang w:val="es-ES" w:eastAsia="es-ES"/>
        </w:rPr>
        <w:t xml:space="preserve">coordinar sus </w:t>
      </w:r>
      <w:r>
        <w:rPr>
          <w:rFonts w:ascii="Verdana" w:hAnsi="Verdana" w:cs="Verdana"/>
          <w:i/>
          <w:iCs/>
          <w:sz w:val="15"/>
          <w:szCs w:val="15"/>
          <w:lang w:val="es-ES" w:eastAsia="es-ES"/>
        </w:rPr>
        <w:t>actividades con las institucion</w:t>
      </w:r>
      <w:r>
        <w:rPr>
          <w:rFonts w:ascii="Verdana" w:hAnsi="Verdana" w:cs="Verdana"/>
          <w:i/>
          <w:iCs/>
          <w:sz w:val="15"/>
          <w:szCs w:val="15"/>
          <w:lang w:val="es-ES" w:eastAsia="es-ES"/>
        </w:rPr>
        <w:t xml:space="preserve">es y </w:t>
      </w:r>
      <w:r>
        <w:rPr>
          <w:rFonts w:ascii="Arial" w:hAnsi="Arial" w:cs="Arial"/>
          <w:b/>
          <w:bCs/>
          <w:i/>
          <w:iCs/>
          <w:sz w:val="16"/>
          <w:szCs w:val="16"/>
          <w:lang w:val="es-ES" w:eastAsia="es-ES"/>
        </w:rPr>
        <w:t xml:space="preserve">los organismos </w:t>
      </w:r>
      <w:r>
        <w:rPr>
          <w:rFonts w:ascii="Verdana" w:hAnsi="Verdana" w:cs="Verdana"/>
          <w:i/>
          <w:iCs/>
          <w:sz w:val="15"/>
          <w:szCs w:val="15"/>
          <w:lang w:val="es-ES" w:eastAsia="es-ES"/>
        </w:rPr>
        <w:t xml:space="preserve">públicos con atribuciones </w:t>
      </w:r>
      <w:r>
        <w:rPr>
          <w:rFonts w:ascii="Arial" w:hAnsi="Arial" w:cs="Arial"/>
          <w:b/>
          <w:bCs/>
          <w:i/>
          <w:iCs/>
          <w:sz w:val="16"/>
          <w:szCs w:val="16"/>
          <w:lang w:val="es-ES" w:eastAsia="es-ES"/>
        </w:rPr>
        <w:t xml:space="preserve">concurrentes o </w:t>
      </w:r>
      <w:r>
        <w:rPr>
          <w:rFonts w:ascii="Verdana" w:hAnsi="Verdana" w:cs="Verdana"/>
          <w:i/>
          <w:iCs/>
          <w:sz w:val="15"/>
          <w:szCs w:val="15"/>
          <w:lang w:val="es-ES" w:eastAsia="es-ES"/>
        </w:rPr>
        <w:t xml:space="preserve">conexas a las del Consejo (...). </w:t>
      </w:r>
      <w:r>
        <w:rPr>
          <w:rFonts w:ascii="Arial" w:hAnsi="Arial" w:cs="Arial"/>
          <w:b/>
          <w:bCs/>
          <w:i/>
          <w:iCs/>
          <w:sz w:val="16"/>
          <w:szCs w:val="16"/>
          <w:lang w:val="es-ES" w:eastAsia="es-ES"/>
        </w:rPr>
        <w:t xml:space="preserve">Para cumplir sus fines, </w:t>
      </w:r>
      <w:r>
        <w:rPr>
          <w:rFonts w:ascii="Verdana" w:hAnsi="Verdana" w:cs="Verdana"/>
          <w:i/>
          <w:iCs/>
          <w:sz w:val="15"/>
          <w:szCs w:val="15"/>
          <w:lang w:val="es-ES" w:eastAsia="es-ES"/>
        </w:rPr>
        <w:t xml:space="preserve">el Consejo podrá </w:t>
      </w:r>
      <w:r>
        <w:rPr>
          <w:rFonts w:ascii="Arial" w:hAnsi="Arial" w:cs="Arial"/>
          <w:b/>
          <w:bCs/>
          <w:i/>
          <w:iCs/>
          <w:sz w:val="16"/>
          <w:szCs w:val="16"/>
          <w:lang w:val="es-ES" w:eastAsia="es-ES"/>
        </w:rPr>
        <w:t xml:space="preserve">celebrar toda clase de </w:t>
      </w:r>
      <w:r>
        <w:rPr>
          <w:rFonts w:ascii="Verdana" w:hAnsi="Verdana" w:cs="Verdana"/>
          <w:i/>
          <w:iCs/>
          <w:sz w:val="15"/>
          <w:szCs w:val="15"/>
          <w:lang w:val="es-ES" w:eastAsia="es-ES"/>
        </w:rPr>
        <w:t xml:space="preserve">actos, contratos y convenios con </w:t>
      </w:r>
      <w:r>
        <w:rPr>
          <w:rFonts w:ascii="Arial" w:hAnsi="Arial" w:cs="Arial"/>
          <w:b/>
          <w:bCs/>
          <w:i/>
          <w:iCs/>
          <w:sz w:val="16"/>
          <w:szCs w:val="16"/>
          <w:lang w:val="es-ES" w:eastAsia="es-ES"/>
        </w:rPr>
        <w:t xml:space="preserve">entidades y personas </w:t>
      </w:r>
      <w:r>
        <w:rPr>
          <w:rFonts w:ascii="Verdana" w:hAnsi="Verdana" w:cs="Verdana"/>
          <w:i/>
          <w:iCs/>
          <w:sz w:val="15"/>
          <w:szCs w:val="15"/>
          <w:lang w:val="es-ES" w:eastAsia="es-ES"/>
        </w:rPr>
        <w:t xml:space="preserve">tanto públicas como </w:t>
      </w:r>
      <w:r>
        <w:rPr>
          <w:rFonts w:ascii="Arial" w:hAnsi="Arial" w:cs="Arial"/>
          <w:b/>
          <w:bCs/>
          <w:i/>
          <w:iCs/>
          <w:sz w:val="16"/>
          <w:szCs w:val="16"/>
          <w:lang w:val="es-ES" w:eastAsia="es-ES"/>
        </w:rPr>
        <w:t>privadas (...). ARTÍCULO</w:t>
      </w:r>
      <w:r>
        <w:rPr>
          <w:rFonts w:ascii="Arial" w:hAnsi="Arial" w:cs="Arial"/>
          <w:b/>
          <w:bCs/>
          <w:i/>
          <w:iCs/>
          <w:sz w:val="16"/>
          <w:szCs w:val="16"/>
          <w:lang w:val="es-ES" w:eastAsia="es-ES"/>
        </w:rPr>
        <w:t xml:space="preserve"> 7.</w:t>
      </w:r>
      <w:r>
        <w:rPr>
          <w:rFonts w:ascii="Arial" w:hAnsi="Arial" w:cs="Arial"/>
          <w:b/>
          <w:bCs/>
          <w:i/>
          <w:iCs/>
          <w:sz w:val="16"/>
          <w:szCs w:val="16"/>
          <w:lang w:val="es-ES" w:eastAsia="es-ES"/>
        </w:rPr>
        <w:noBreakHyphen/>
      </w:r>
    </w:p>
    <w:p w:rsidR="00000000" w:rsidRDefault="005B28A9">
      <w:pPr>
        <w:kinsoku w:val="0"/>
        <w:overflowPunct w:val="0"/>
        <w:autoSpaceDE/>
        <w:autoSpaceDN/>
        <w:adjustRightInd/>
        <w:spacing w:before="27" w:after="470" w:line="185" w:lineRule="exact"/>
        <w:ind w:left="360" w:right="288"/>
        <w:jc w:val="both"/>
        <w:textAlignment w:val="baseline"/>
        <w:rPr>
          <w:rFonts w:ascii="Verdana" w:hAnsi="Verdana" w:cs="Verdana"/>
          <w:sz w:val="24"/>
          <w:szCs w:val="24"/>
          <w:lang w:eastAsia="en-US"/>
        </w:rPr>
      </w:pPr>
      <w:r>
        <w:rPr>
          <w:rFonts w:ascii="Arial" w:hAnsi="Arial" w:cs="Arial"/>
          <w:b/>
          <w:bCs/>
          <w:i/>
          <w:iCs/>
          <w:spacing w:val="1"/>
          <w:sz w:val="16"/>
          <w:szCs w:val="16"/>
          <w:lang w:val="es-ES" w:eastAsia="es-ES"/>
        </w:rPr>
        <w:t xml:space="preserve">Atribuciones del Consejo. El Consejo, en el </w:t>
      </w:r>
      <w:r>
        <w:rPr>
          <w:rFonts w:ascii="Verdana" w:hAnsi="Verdana" w:cs="Verdana"/>
          <w:i/>
          <w:iCs/>
          <w:spacing w:val="1"/>
          <w:sz w:val="15"/>
          <w:szCs w:val="15"/>
          <w:lang w:val="es-ES" w:eastAsia="es-ES"/>
        </w:rPr>
        <w:t xml:space="preserve">ejercicio </w:t>
      </w:r>
      <w:r>
        <w:rPr>
          <w:rFonts w:ascii="Arial" w:hAnsi="Arial" w:cs="Arial"/>
          <w:b/>
          <w:bCs/>
          <w:i/>
          <w:iCs/>
          <w:spacing w:val="1"/>
          <w:sz w:val="16"/>
          <w:szCs w:val="16"/>
          <w:lang w:val="es-ES" w:eastAsia="es-ES"/>
        </w:rPr>
        <w:t xml:space="preserve">de sus competencias, </w:t>
      </w:r>
      <w:r>
        <w:rPr>
          <w:rFonts w:ascii="Verdana" w:hAnsi="Verdana" w:cs="Verdana"/>
          <w:i/>
          <w:iCs/>
          <w:spacing w:val="1"/>
          <w:sz w:val="15"/>
          <w:szCs w:val="15"/>
          <w:lang w:val="es-ES" w:eastAsia="es-ES"/>
        </w:rPr>
        <w:t xml:space="preserve">tendrá las siguientes </w:t>
      </w:r>
      <w:r>
        <w:rPr>
          <w:rFonts w:ascii="Arial" w:hAnsi="Arial" w:cs="Arial"/>
          <w:b/>
          <w:bCs/>
          <w:i/>
          <w:iCs/>
          <w:spacing w:val="1"/>
          <w:sz w:val="16"/>
          <w:szCs w:val="16"/>
          <w:lang w:val="es-ES" w:eastAsia="es-ES"/>
        </w:rPr>
        <w:t xml:space="preserve">atribuciones: a) Coordinar </w:t>
      </w:r>
      <w:r>
        <w:rPr>
          <w:rFonts w:ascii="Verdana" w:hAnsi="Verdana" w:cs="Verdana"/>
          <w:i/>
          <w:iCs/>
          <w:spacing w:val="1"/>
          <w:sz w:val="15"/>
          <w:szCs w:val="15"/>
          <w:lang w:val="es-ES" w:eastAsia="es-ES"/>
        </w:rPr>
        <w:t xml:space="preserve">la aplicación </w:t>
      </w:r>
      <w:r>
        <w:rPr>
          <w:rFonts w:ascii="Arial" w:hAnsi="Arial" w:cs="Arial"/>
          <w:b/>
          <w:bCs/>
          <w:i/>
          <w:iCs/>
          <w:spacing w:val="1"/>
          <w:sz w:val="16"/>
          <w:szCs w:val="16"/>
          <w:lang w:val="es-ES" w:eastAsia="es-ES"/>
        </w:rPr>
        <w:t xml:space="preserve">correcta de las políticas </w:t>
      </w:r>
      <w:r>
        <w:rPr>
          <w:rFonts w:ascii="Verdana" w:hAnsi="Verdana" w:cs="Verdana"/>
          <w:i/>
          <w:iCs/>
          <w:spacing w:val="1"/>
          <w:sz w:val="15"/>
          <w:szCs w:val="15"/>
          <w:lang w:val="es-ES" w:eastAsia="es-ES"/>
        </w:rPr>
        <w:t xml:space="preserve">de transporte público, su </w:t>
      </w:r>
      <w:r>
        <w:rPr>
          <w:rFonts w:ascii="Arial" w:hAnsi="Arial" w:cs="Arial"/>
          <w:b/>
          <w:bCs/>
          <w:i/>
          <w:iCs/>
          <w:spacing w:val="1"/>
          <w:sz w:val="16"/>
          <w:szCs w:val="16"/>
          <w:lang w:val="es-ES" w:eastAsia="es-ES"/>
        </w:rPr>
        <w:t xml:space="preserve">planeamiento, </w:t>
      </w:r>
      <w:r>
        <w:rPr>
          <w:rFonts w:ascii="Verdana" w:hAnsi="Verdana" w:cs="Verdana"/>
          <w:i/>
          <w:iCs/>
          <w:spacing w:val="1"/>
          <w:sz w:val="15"/>
          <w:szCs w:val="15"/>
          <w:lang w:val="es-ES" w:eastAsia="es-ES"/>
        </w:rPr>
        <w:t xml:space="preserve">la revisión técnica, el otorgamiento </w:t>
      </w:r>
      <w:r>
        <w:rPr>
          <w:rFonts w:ascii="Arial" w:hAnsi="Arial" w:cs="Arial"/>
          <w:b/>
          <w:bCs/>
          <w:i/>
          <w:iCs/>
          <w:spacing w:val="1"/>
          <w:sz w:val="16"/>
          <w:szCs w:val="16"/>
          <w:lang w:val="es-ES" w:eastAsia="es-ES"/>
        </w:rPr>
        <w:t>y la admin</w:t>
      </w:r>
      <w:r>
        <w:rPr>
          <w:rFonts w:ascii="Arial" w:hAnsi="Arial" w:cs="Arial"/>
          <w:b/>
          <w:bCs/>
          <w:i/>
          <w:iCs/>
          <w:spacing w:val="1"/>
          <w:sz w:val="16"/>
          <w:szCs w:val="16"/>
          <w:lang w:val="es-ES" w:eastAsia="es-ES"/>
        </w:rPr>
        <w:t xml:space="preserve">istración </w:t>
      </w:r>
      <w:r>
        <w:rPr>
          <w:rFonts w:ascii="Verdana" w:hAnsi="Verdana" w:cs="Verdana"/>
          <w:i/>
          <w:iCs/>
          <w:spacing w:val="1"/>
          <w:sz w:val="15"/>
          <w:szCs w:val="15"/>
          <w:lang w:val="es-ES" w:eastAsia="es-ES"/>
        </w:rPr>
        <w:t xml:space="preserve">de las concesiones, así </w:t>
      </w:r>
      <w:r>
        <w:rPr>
          <w:rFonts w:ascii="Arial" w:hAnsi="Arial" w:cs="Arial"/>
          <w:b/>
          <w:bCs/>
          <w:i/>
          <w:iCs/>
          <w:spacing w:val="1"/>
          <w:sz w:val="16"/>
          <w:szCs w:val="16"/>
          <w:lang w:val="es-ES" w:eastAsia="es-ES"/>
        </w:rPr>
        <w:t xml:space="preserve">como la regulación de </w:t>
      </w:r>
      <w:r>
        <w:rPr>
          <w:rFonts w:ascii="Verdana" w:hAnsi="Verdana" w:cs="Verdana"/>
          <w:i/>
          <w:iCs/>
          <w:spacing w:val="1"/>
          <w:sz w:val="15"/>
          <w:szCs w:val="15"/>
          <w:lang w:val="es-ES" w:eastAsia="es-ES"/>
        </w:rPr>
        <w:t xml:space="preserve">los permisos que </w:t>
      </w:r>
      <w:r>
        <w:rPr>
          <w:rFonts w:ascii="Arial" w:hAnsi="Arial" w:cs="Arial"/>
          <w:b/>
          <w:bCs/>
          <w:i/>
          <w:iCs/>
          <w:spacing w:val="1"/>
          <w:sz w:val="16"/>
          <w:szCs w:val="16"/>
          <w:lang w:val="es-ES" w:eastAsia="es-ES"/>
        </w:rPr>
        <w:t xml:space="preserve">legalmente procedan, / </w:t>
      </w:r>
      <w:r>
        <w:rPr>
          <w:rFonts w:ascii="Verdana" w:hAnsi="Verdana" w:cs="Verdana"/>
          <w:i/>
          <w:iCs/>
          <w:spacing w:val="1"/>
          <w:sz w:val="15"/>
          <w:szCs w:val="15"/>
          <w:lang w:val="es-ES" w:eastAsia="es-ES"/>
        </w:rPr>
        <w:t xml:space="preserve">b) Estudiar y emitir opinión </w:t>
      </w:r>
      <w:r>
        <w:rPr>
          <w:rFonts w:ascii="Arial" w:hAnsi="Arial" w:cs="Arial"/>
          <w:b/>
          <w:bCs/>
          <w:i/>
          <w:iCs/>
          <w:spacing w:val="1"/>
          <w:sz w:val="16"/>
          <w:szCs w:val="16"/>
          <w:lang w:val="es-ES" w:eastAsia="es-ES"/>
        </w:rPr>
        <w:t xml:space="preserve">sobre los asuntos sometidos a su conocimiento por cualquier dependencia o </w:t>
      </w:r>
      <w:r>
        <w:rPr>
          <w:rFonts w:ascii="Verdana" w:hAnsi="Verdana" w:cs="Verdana"/>
          <w:i/>
          <w:iCs/>
          <w:spacing w:val="1"/>
          <w:sz w:val="15"/>
          <w:szCs w:val="15"/>
          <w:lang w:val="es-ES" w:eastAsia="es-ES"/>
        </w:rPr>
        <w:t xml:space="preserve">institución </w:t>
      </w:r>
      <w:r>
        <w:rPr>
          <w:rFonts w:ascii="Arial" w:hAnsi="Arial" w:cs="Arial"/>
          <w:b/>
          <w:bCs/>
          <w:i/>
          <w:iCs/>
          <w:spacing w:val="1"/>
          <w:sz w:val="16"/>
          <w:szCs w:val="16"/>
          <w:lang w:val="es-ES" w:eastAsia="es-ES"/>
        </w:rPr>
        <w:t>involucrada en servicios de transporte pú</w:t>
      </w:r>
      <w:r>
        <w:rPr>
          <w:rFonts w:ascii="Arial" w:hAnsi="Arial" w:cs="Arial"/>
          <w:b/>
          <w:bCs/>
          <w:i/>
          <w:iCs/>
          <w:spacing w:val="1"/>
          <w:sz w:val="16"/>
          <w:szCs w:val="16"/>
          <w:lang w:val="es-ES" w:eastAsia="es-ES"/>
        </w:rPr>
        <w:t xml:space="preserve">blico, planeamiento, </w:t>
      </w:r>
      <w:r>
        <w:rPr>
          <w:rFonts w:ascii="Verdana" w:hAnsi="Verdana" w:cs="Verdana"/>
          <w:i/>
          <w:iCs/>
          <w:spacing w:val="1"/>
          <w:sz w:val="15"/>
          <w:szCs w:val="15"/>
          <w:lang w:val="es-ES" w:eastAsia="es-ES"/>
        </w:rPr>
        <w:t xml:space="preserve">revisión técnica, administración </w:t>
      </w:r>
      <w:r>
        <w:rPr>
          <w:rFonts w:ascii="Arial" w:hAnsi="Arial" w:cs="Arial"/>
          <w:b/>
          <w:bCs/>
          <w:i/>
          <w:iCs/>
          <w:spacing w:val="1"/>
          <w:sz w:val="16"/>
          <w:szCs w:val="16"/>
          <w:lang w:val="es-ES" w:eastAsia="es-ES"/>
        </w:rPr>
        <w:t xml:space="preserve">y otorgamiento </w:t>
      </w:r>
      <w:r>
        <w:rPr>
          <w:rFonts w:ascii="Verdana" w:hAnsi="Verdana" w:cs="Verdana"/>
          <w:i/>
          <w:iCs/>
          <w:spacing w:val="1"/>
          <w:sz w:val="15"/>
          <w:szCs w:val="15"/>
          <w:lang w:val="es-ES" w:eastAsia="es-ES"/>
        </w:rPr>
        <w:t xml:space="preserve">de concesiones y permisos. / c) </w:t>
      </w:r>
      <w:r>
        <w:rPr>
          <w:rFonts w:ascii="Arial" w:hAnsi="Arial" w:cs="Arial"/>
          <w:b/>
          <w:bCs/>
          <w:i/>
          <w:iCs/>
          <w:spacing w:val="1"/>
          <w:sz w:val="16"/>
          <w:szCs w:val="16"/>
          <w:lang w:val="es-ES" w:eastAsia="es-ES"/>
        </w:rPr>
        <w:t xml:space="preserve">Servir </w:t>
      </w:r>
      <w:r>
        <w:rPr>
          <w:rFonts w:ascii="Verdana" w:hAnsi="Verdana" w:cs="Verdana"/>
          <w:i/>
          <w:iCs/>
          <w:spacing w:val="1"/>
          <w:sz w:val="15"/>
          <w:szCs w:val="15"/>
          <w:lang w:val="es-ES" w:eastAsia="es-ES"/>
        </w:rPr>
        <w:t xml:space="preserve">como órgano que efectivamente </w:t>
      </w:r>
      <w:r>
        <w:rPr>
          <w:rFonts w:ascii="Arial" w:hAnsi="Arial" w:cs="Arial"/>
          <w:b/>
          <w:bCs/>
          <w:i/>
          <w:iCs/>
          <w:spacing w:val="1"/>
          <w:sz w:val="16"/>
          <w:szCs w:val="16"/>
          <w:lang w:val="es-ES" w:eastAsia="es-ES"/>
        </w:rPr>
        <w:t xml:space="preserve">facilite, en razón de su </w:t>
      </w:r>
      <w:r>
        <w:rPr>
          <w:rFonts w:ascii="Verdana" w:hAnsi="Verdana" w:cs="Verdana"/>
          <w:i/>
          <w:iCs/>
          <w:spacing w:val="1"/>
          <w:sz w:val="15"/>
          <w:szCs w:val="15"/>
          <w:lang w:val="es-ES" w:eastAsia="es-ES"/>
        </w:rPr>
        <w:t xml:space="preserve">ejecutividad, la coordinación interinstitucional entre las dependencias </w:t>
      </w:r>
      <w:r>
        <w:rPr>
          <w:rFonts w:ascii="Arial" w:hAnsi="Arial" w:cs="Arial"/>
          <w:b/>
          <w:bCs/>
          <w:i/>
          <w:iCs/>
          <w:spacing w:val="1"/>
          <w:sz w:val="16"/>
          <w:szCs w:val="16"/>
          <w:lang w:val="es-ES" w:eastAsia="es-ES"/>
        </w:rPr>
        <w:t xml:space="preserve">del Poder Ejecutivo, </w:t>
      </w:r>
      <w:r>
        <w:rPr>
          <w:rFonts w:ascii="Verdana" w:hAnsi="Verdana" w:cs="Verdana"/>
          <w:i/>
          <w:iCs/>
          <w:spacing w:val="1"/>
          <w:sz w:val="15"/>
          <w:szCs w:val="15"/>
          <w:lang w:val="es-ES" w:eastAsia="es-ES"/>
        </w:rPr>
        <w:t xml:space="preserve">el sector empresarial, los usuarios y los clientes de los servicios de </w:t>
      </w:r>
      <w:r>
        <w:rPr>
          <w:rFonts w:ascii="Arial" w:hAnsi="Arial" w:cs="Arial"/>
          <w:b/>
          <w:bCs/>
          <w:i/>
          <w:iCs/>
          <w:spacing w:val="1"/>
          <w:sz w:val="16"/>
          <w:szCs w:val="16"/>
          <w:lang w:val="es-ES" w:eastAsia="es-ES"/>
        </w:rPr>
        <w:t xml:space="preserve">transporte público, los </w:t>
      </w:r>
      <w:r>
        <w:rPr>
          <w:rFonts w:ascii="Verdana" w:hAnsi="Verdana" w:cs="Verdana"/>
          <w:i/>
          <w:iCs/>
          <w:spacing w:val="1"/>
          <w:sz w:val="15"/>
          <w:szCs w:val="15"/>
          <w:lang w:val="es-ES" w:eastAsia="es-ES"/>
        </w:rPr>
        <w:t xml:space="preserve">organismos internacionales y otras entidades públicas o privadas que </w:t>
      </w:r>
      <w:r>
        <w:rPr>
          <w:rFonts w:ascii="Arial" w:hAnsi="Arial" w:cs="Arial"/>
          <w:b/>
          <w:bCs/>
          <w:i/>
          <w:iCs/>
          <w:spacing w:val="1"/>
          <w:sz w:val="16"/>
          <w:szCs w:val="16"/>
          <w:lang w:val="es-ES" w:eastAsia="es-ES"/>
        </w:rPr>
        <w:t xml:space="preserve">en su gestión </w:t>
      </w:r>
      <w:r>
        <w:rPr>
          <w:rFonts w:ascii="Verdana" w:hAnsi="Verdana" w:cs="Verdana"/>
          <w:i/>
          <w:iCs/>
          <w:spacing w:val="1"/>
          <w:sz w:val="15"/>
          <w:szCs w:val="15"/>
          <w:lang w:val="es-ES" w:eastAsia="es-ES"/>
        </w:rPr>
        <w:t xml:space="preserve">se relacionen con los servicios regulados en esta ley. / d) Establecer y </w:t>
      </w:r>
      <w:r>
        <w:rPr>
          <w:rFonts w:ascii="Arial" w:hAnsi="Arial" w:cs="Arial"/>
          <w:b/>
          <w:bCs/>
          <w:i/>
          <w:iCs/>
          <w:spacing w:val="1"/>
          <w:sz w:val="16"/>
          <w:szCs w:val="16"/>
          <w:lang w:val="es-ES" w:eastAsia="es-ES"/>
        </w:rPr>
        <w:t>recom</w:t>
      </w:r>
      <w:r>
        <w:rPr>
          <w:rFonts w:ascii="Arial" w:hAnsi="Arial" w:cs="Arial"/>
          <w:b/>
          <w:bCs/>
          <w:i/>
          <w:iCs/>
          <w:spacing w:val="1"/>
          <w:sz w:val="16"/>
          <w:szCs w:val="16"/>
          <w:lang w:val="es-ES" w:eastAsia="es-ES"/>
        </w:rPr>
        <w:t xml:space="preserve">endar normas, </w:t>
      </w:r>
      <w:r>
        <w:rPr>
          <w:rFonts w:ascii="Verdana" w:hAnsi="Verdana" w:cs="Verdana"/>
          <w:i/>
          <w:iCs/>
          <w:spacing w:val="1"/>
          <w:sz w:val="15"/>
          <w:szCs w:val="15"/>
          <w:lang w:val="es-ES" w:eastAsia="es-ES"/>
        </w:rPr>
        <w:t xml:space="preserve">procedimientos y acciones que puedan mejorar las políticas y directrices en </w:t>
      </w:r>
      <w:r>
        <w:rPr>
          <w:rFonts w:ascii="Arial" w:hAnsi="Arial" w:cs="Arial"/>
          <w:b/>
          <w:bCs/>
          <w:i/>
          <w:iCs/>
          <w:spacing w:val="1"/>
          <w:sz w:val="16"/>
          <w:szCs w:val="16"/>
          <w:lang w:val="es-ES" w:eastAsia="es-ES"/>
        </w:rPr>
        <w:t xml:space="preserve">materia de transporte </w:t>
      </w:r>
      <w:r>
        <w:rPr>
          <w:rFonts w:ascii="Verdana" w:hAnsi="Verdana" w:cs="Verdana"/>
          <w:i/>
          <w:iCs/>
          <w:spacing w:val="1"/>
          <w:sz w:val="15"/>
          <w:szCs w:val="15"/>
          <w:lang w:val="es-ES" w:eastAsia="es-ES"/>
        </w:rPr>
        <w:t xml:space="preserve">público, planeamiento, revisión técnica, administración y otorgamiento de concesiones y permisos. / e) Velar porque </w:t>
      </w:r>
      <w:r>
        <w:rPr>
          <w:rFonts w:ascii="Arial" w:hAnsi="Arial" w:cs="Arial"/>
          <w:b/>
          <w:bCs/>
          <w:i/>
          <w:iCs/>
          <w:spacing w:val="1"/>
          <w:sz w:val="16"/>
          <w:szCs w:val="16"/>
          <w:lang w:val="es-ES" w:eastAsia="es-ES"/>
        </w:rPr>
        <w:t xml:space="preserve">la actividad </w:t>
      </w:r>
      <w:r>
        <w:rPr>
          <w:rFonts w:ascii="Verdana" w:hAnsi="Verdana" w:cs="Verdana"/>
          <w:i/>
          <w:iCs/>
          <w:spacing w:val="1"/>
          <w:sz w:val="15"/>
          <w:szCs w:val="15"/>
          <w:lang w:val="es-ES" w:eastAsia="es-ES"/>
        </w:rPr>
        <w:t xml:space="preserve">del transporte </w:t>
      </w:r>
      <w:r>
        <w:rPr>
          <w:rFonts w:ascii="Verdana" w:hAnsi="Verdana" w:cs="Verdana"/>
          <w:i/>
          <w:iCs/>
          <w:spacing w:val="1"/>
          <w:sz w:val="15"/>
          <w:szCs w:val="15"/>
          <w:lang w:val="es-ES" w:eastAsia="es-ES"/>
        </w:rPr>
        <w:t xml:space="preserve">público, su planeamiento, </w:t>
      </w:r>
      <w:r>
        <w:rPr>
          <w:rFonts w:ascii="Arial" w:hAnsi="Arial" w:cs="Arial"/>
          <w:b/>
          <w:bCs/>
          <w:i/>
          <w:iCs/>
          <w:spacing w:val="1"/>
          <w:sz w:val="16"/>
          <w:szCs w:val="16"/>
          <w:lang w:val="es-ES" w:eastAsia="es-ES"/>
        </w:rPr>
        <w:t xml:space="preserve">la revisión técnica, </w:t>
      </w:r>
      <w:r>
        <w:rPr>
          <w:rFonts w:ascii="Verdana" w:hAnsi="Verdana" w:cs="Verdana"/>
          <w:i/>
          <w:iCs/>
          <w:spacing w:val="1"/>
          <w:sz w:val="15"/>
          <w:szCs w:val="15"/>
          <w:lang w:val="es-ES" w:eastAsia="es-ES"/>
        </w:rPr>
        <w:t xml:space="preserve">la administración y el otorgamiento de concesiones, sus sistemas operacionales y el equipamiento requerido, sean acordes con los sistemas tecnológicos </w:t>
      </w:r>
      <w:r>
        <w:rPr>
          <w:rFonts w:ascii="Arial" w:hAnsi="Arial" w:cs="Arial"/>
          <w:b/>
          <w:bCs/>
          <w:i/>
          <w:iCs/>
          <w:spacing w:val="1"/>
          <w:sz w:val="16"/>
          <w:szCs w:val="16"/>
          <w:lang w:val="es-ES" w:eastAsia="es-ES"/>
        </w:rPr>
        <w:t xml:space="preserve">más modernos </w:t>
      </w:r>
      <w:r>
        <w:rPr>
          <w:rFonts w:ascii="Verdana" w:hAnsi="Verdana" w:cs="Verdana"/>
          <w:i/>
          <w:iCs/>
          <w:spacing w:val="1"/>
          <w:sz w:val="15"/>
          <w:szCs w:val="15"/>
          <w:lang w:val="es-ES" w:eastAsia="es-ES"/>
        </w:rPr>
        <w:t>para velar por la calidad de los servicios re</w:t>
      </w:r>
      <w:r>
        <w:rPr>
          <w:rFonts w:ascii="Verdana" w:hAnsi="Verdana" w:cs="Verdana"/>
          <w:i/>
          <w:iCs/>
          <w:spacing w:val="1"/>
          <w:sz w:val="15"/>
          <w:szCs w:val="15"/>
          <w:lang w:val="es-ES" w:eastAsia="es-ES"/>
        </w:rPr>
        <w:t xml:space="preserve">queridos por el desarrollo </w:t>
      </w:r>
      <w:r>
        <w:rPr>
          <w:rFonts w:ascii="Arial" w:hAnsi="Arial" w:cs="Arial"/>
          <w:b/>
          <w:bCs/>
          <w:i/>
          <w:iCs/>
          <w:spacing w:val="1"/>
          <w:sz w:val="16"/>
          <w:szCs w:val="16"/>
          <w:lang w:val="es-ES" w:eastAsia="es-ES"/>
        </w:rPr>
        <w:t xml:space="preserve">del transporte público nacional </w:t>
      </w:r>
      <w:r>
        <w:rPr>
          <w:rFonts w:ascii="Verdana" w:hAnsi="Verdana" w:cs="Verdana"/>
          <w:i/>
          <w:iCs/>
          <w:spacing w:val="1"/>
          <w:sz w:val="15"/>
          <w:szCs w:val="15"/>
          <w:lang w:val="es-ES" w:eastAsia="es-ES"/>
        </w:rPr>
        <w:t xml:space="preserve">e internacional. / f) Conocer, tramitar y resolver, de oficio o a </w:t>
      </w:r>
      <w:r>
        <w:rPr>
          <w:rFonts w:ascii="Arial" w:hAnsi="Arial" w:cs="Arial"/>
          <w:b/>
          <w:bCs/>
          <w:i/>
          <w:iCs/>
          <w:spacing w:val="1"/>
          <w:sz w:val="16"/>
          <w:szCs w:val="16"/>
          <w:lang w:val="es-ES" w:eastAsia="es-ES"/>
        </w:rPr>
        <w:t xml:space="preserve">instancia de parte, las denuncias referentes a los comportamientos </w:t>
      </w:r>
      <w:r>
        <w:rPr>
          <w:rFonts w:ascii="Verdana" w:hAnsi="Verdana" w:cs="Verdana"/>
          <w:i/>
          <w:iCs/>
          <w:spacing w:val="1"/>
          <w:sz w:val="15"/>
          <w:szCs w:val="15"/>
          <w:lang w:val="es-ES" w:eastAsia="es-ES"/>
        </w:rPr>
        <w:t xml:space="preserve">activos y omisos que violen </w:t>
      </w:r>
      <w:r>
        <w:rPr>
          <w:rFonts w:ascii="Arial" w:hAnsi="Arial" w:cs="Arial"/>
          <w:b/>
          <w:bCs/>
          <w:i/>
          <w:iCs/>
          <w:spacing w:val="1"/>
          <w:sz w:val="16"/>
          <w:szCs w:val="16"/>
          <w:lang w:val="es-ES" w:eastAsia="es-ES"/>
        </w:rPr>
        <w:t>las normas de la legislación del tra</w:t>
      </w:r>
      <w:r>
        <w:rPr>
          <w:rFonts w:ascii="Arial" w:hAnsi="Arial" w:cs="Arial"/>
          <w:b/>
          <w:bCs/>
          <w:i/>
          <w:iCs/>
          <w:spacing w:val="1"/>
          <w:sz w:val="16"/>
          <w:szCs w:val="16"/>
          <w:lang w:val="es-ES" w:eastAsia="es-ES"/>
        </w:rPr>
        <w:t xml:space="preserve">nsporte público o amenacen </w:t>
      </w:r>
      <w:r>
        <w:rPr>
          <w:rFonts w:ascii="Verdana" w:hAnsi="Verdana" w:cs="Verdana"/>
          <w:i/>
          <w:iCs/>
          <w:spacing w:val="1"/>
          <w:sz w:val="15"/>
          <w:szCs w:val="15"/>
          <w:lang w:val="es-ES" w:eastAsia="es-ES"/>
        </w:rPr>
        <w:t xml:space="preserve">con violarlas. / g) Preparar un </w:t>
      </w:r>
      <w:r>
        <w:rPr>
          <w:rFonts w:ascii="Arial" w:hAnsi="Arial" w:cs="Arial"/>
          <w:b/>
          <w:bCs/>
          <w:i/>
          <w:iCs/>
          <w:spacing w:val="1"/>
          <w:sz w:val="16"/>
          <w:szCs w:val="16"/>
          <w:lang w:val="es-ES" w:eastAsia="es-ES"/>
        </w:rPr>
        <w:t xml:space="preserve">plan estratégico cuyo objetivo esencial sea organizar, </w:t>
      </w:r>
      <w:r>
        <w:rPr>
          <w:rFonts w:ascii="Verdana" w:hAnsi="Verdana" w:cs="Verdana"/>
          <w:i/>
          <w:iCs/>
          <w:spacing w:val="1"/>
          <w:sz w:val="15"/>
          <w:szCs w:val="15"/>
          <w:lang w:val="es-ES" w:eastAsia="es-ES"/>
        </w:rPr>
        <w:t xml:space="preserve">legal, técnica y administrativamente, </w:t>
      </w:r>
      <w:r>
        <w:rPr>
          <w:rFonts w:ascii="Arial" w:hAnsi="Arial" w:cs="Arial"/>
          <w:b/>
          <w:bCs/>
          <w:i/>
          <w:iCs/>
          <w:spacing w:val="1"/>
          <w:sz w:val="16"/>
          <w:szCs w:val="16"/>
          <w:lang w:val="es-ES" w:eastAsia="es-ES"/>
        </w:rPr>
        <w:t xml:space="preserve">el funcionamiento de un plan de desarrollo tecnológico en </w:t>
      </w:r>
      <w:r>
        <w:rPr>
          <w:rFonts w:ascii="Verdana" w:hAnsi="Verdana" w:cs="Verdana"/>
          <w:i/>
          <w:iCs/>
          <w:spacing w:val="1"/>
          <w:sz w:val="15"/>
          <w:szCs w:val="15"/>
          <w:lang w:val="es-ES" w:eastAsia="es-ES"/>
        </w:rPr>
        <w:t xml:space="preserve">materia de transporte </w:t>
      </w:r>
      <w:r>
        <w:rPr>
          <w:rFonts w:ascii="Arial" w:hAnsi="Arial" w:cs="Arial"/>
          <w:b/>
          <w:bCs/>
          <w:i/>
          <w:iCs/>
          <w:spacing w:val="1"/>
          <w:sz w:val="16"/>
          <w:szCs w:val="16"/>
          <w:lang w:val="es-ES" w:eastAsia="es-ES"/>
        </w:rPr>
        <w:t xml:space="preserve">público. / h) </w:t>
      </w:r>
      <w:r>
        <w:rPr>
          <w:rFonts w:ascii="Verdana" w:hAnsi="Verdana" w:cs="Verdana"/>
          <w:b/>
          <w:bCs/>
          <w:i/>
          <w:iCs/>
          <w:spacing w:val="1"/>
          <w:sz w:val="15"/>
          <w:szCs w:val="15"/>
          <w:u w:val="single"/>
          <w:lang w:val="es-ES" w:eastAsia="es-ES"/>
        </w:rPr>
        <w:t>Promover e</w:t>
      </w:r>
      <w:r>
        <w:rPr>
          <w:rFonts w:ascii="Verdana" w:hAnsi="Verdana" w:cs="Verdana"/>
          <w:b/>
          <w:bCs/>
          <w:i/>
          <w:iCs/>
          <w:spacing w:val="1"/>
          <w:sz w:val="15"/>
          <w:szCs w:val="15"/>
          <w:u w:val="single"/>
          <w:lang w:val="es-ES" w:eastAsia="es-ES"/>
        </w:rPr>
        <w:t xml:space="preserve">l desarrollo v la capacitación del </w:t>
      </w:r>
      <w:r>
        <w:rPr>
          <w:rFonts w:ascii="Arial" w:hAnsi="Arial" w:cs="Arial"/>
          <w:i/>
          <w:iCs/>
          <w:spacing w:val="1"/>
          <w:sz w:val="16"/>
          <w:szCs w:val="16"/>
          <w:u w:val="single"/>
          <w:lang w:val="es-ES" w:eastAsia="es-ES"/>
        </w:rPr>
        <w:t xml:space="preserve">recurso humano  involucrado en </w:t>
      </w:r>
      <w:r>
        <w:rPr>
          <w:rFonts w:ascii="Verdana" w:hAnsi="Verdana" w:cs="Verdana"/>
          <w:b/>
          <w:bCs/>
          <w:i/>
          <w:iCs/>
          <w:spacing w:val="1"/>
          <w:sz w:val="15"/>
          <w:szCs w:val="15"/>
          <w:u w:val="single"/>
          <w:lang w:val="es-ES" w:eastAsia="es-ES"/>
        </w:rPr>
        <w:t xml:space="preserve">la actividad, </w:t>
      </w:r>
      <w:r>
        <w:rPr>
          <w:rFonts w:ascii="Arial" w:hAnsi="Arial" w:cs="Arial"/>
          <w:i/>
          <w:iCs/>
          <w:spacing w:val="1"/>
          <w:sz w:val="16"/>
          <w:szCs w:val="16"/>
          <w:u w:val="single"/>
          <w:lang w:val="es-ES" w:eastAsia="es-ES"/>
        </w:rPr>
        <w:t xml:space="preserve">en concordancia con los </w:t>
      </w:r>
      <w:r>
        <w:rPr>
          <w:rFonts w:ascii="Verdana" w:hAnsi="Verdana" w:cs="Verdana"/>
          <w:b/>
          <w:bCs/>
          <w:i/>
          <w:iCs/>
          <w:spacing w:val="1"/>
          <w:sz w:val="15"/>
          <w:szCs w:val="15"/>
          <w:u w:val="single"/>
          <w:lang w:val="es-ES" w:eastAsia="es-ES"/>
        </w:rPr>
        <w:t xml:space="preserve">requerimientos de </w:t>
      </w:r>
      <w:r>
        <w:rPr>
          <w:rFonts w:ascii="Arial" w:hAnsi="Arial" w:cs="Arial"/>
          <w:i/>
          <w:iCs/>
          <w:spacing w:val="1"/>
          <w:sz w:val="16"/>
          <w:szCs w:val="16"/>
          <w:u w:val="single"/>
          <w:lang w:val="es-ES" w:eastAsia="es-ES"/>
        </w:rPr>
        <w:t xml:space="preserve">un sistema moderno de  transporte público. </w:t>
      </w:r>
      <w:r>
        <w:rPr>
          <w:rFonts w:ascii="Verdana" w:hAnsi="Verdana" w:cs="Verdana"/>
          <w:i/>
          <w:iCs/>
          <w:spacing w:val="1"/>
          <w:sz w:val="15"/>
          <w:szCs w:val="15"/>
          <w:lang w:val="es-ES" w:eastAsia="es-ES"/>
        </w:rPr>
        <w:t xml:space="preserve">/ </w:t>
      </w:r>
      <w:proofErr w:type="gramStart"/>
      <w:r>
        <w:rPr>
          <w:rFonts w:ascii="Verdana" w:hAnsi="Verdana" w:cs="Verdana"/>
          <w:i/>
          <w:iCs/>
          <w:spacing w:val="1"/>
          <w:sz w:val="15"/>
          <w:szCs w:val="15"/>
          <w:lang w:val="es-ES" w:eastAsia="es-ES"/>
        </w:rPr>
        <w:t>i</w:t>
      </w:r>
      <w:proofErr w:type="gramEnd"/>
      <w:r>
        <w:rPr>
          <w:rFonts w:ascii="Verdana" w:hAnsi="Verdana" w:cs="Verdana"/>
          <w:i/>
          <w:iCs/>
          <w:spacing w:val="1"/>
          <w:sz w:val="15"/>
          <w:szCs w:val="15"/>
          <w:lang w:val="es-ES" w:eastAsia="es-ES"/>
        </w:rPr>
        <w:t xml:space="preserve">) Fijar las paradas terminales e </w:t>
      </w:r>
      <w:r>
        <w:rPr>
          <w:rFonts w:ascii="Arial" w:hAnsi="Arial" w:cs="Arial"/>
          <w:b/>
          <w:bCs/>
          <w:i/>
          <w:iCs/>
          <w:spacing w:val="1"/>
          <w:sz w:val="16"/>
          <w:szCs w:val="16"/>
          <w:lang w:val="es-ES" w:eastAsia="es-ES"/>
        </w:rPr>
        <w:t xml:space="preserve">intermedias de todos </w:t>
      </w:r>
      <w:r>
        <w:rPr>
          <w:rFonts w:ascii="Verdana" w:hAnsi="Verdana" w:cs="Verdana"/>
          <w:i/>
          <w:iCs/>
          <w:spacing w:val="1"/>
          <w:sz w:val="15"/>
          <w:szCs w:val="15"/>
          <w:lang w:val="es-ES" w:eastAsia="es-ES"/>
        </w:rPr>
        <w:t>los servicios de transporte públic</w:t>
      </w:r>
      <w:r>
        <w:rPr>
          <w:rFonts w:ascii="Verdana" w:hAnsi="Verdana" w:cs="Verdana"/>
          <w:i/>
          <w:iCs/>
          <w:spacing w:val="1"/>
          <w:sz w:val="15"/>
          <w:szCs w:val="15"/>
          <w:lang w:val="es-ES" w:eastAsia="es-ES"/>
        </w:rPr>
        <w:t xml:space="preserve">o remunerado de personas. / j) Otorgar permisos por un plazo hasta de doce meses, ante una </w:t>
      </w:r>
      <w:r>
        <w:rPr>
          <w:rFonts w:ascii="Arial" w:hAnsi="Arial" w:cs="Arial"/>
          <w:b/>
          <w:bCs/>
          <w:i/>
          <w:iCs/>
          <w:spacing w:val="1"/>
          <w:sz w:val="16"/>
          <w:szCs w:val="16"/>
          <w:lang w:val="es-ES" w:eastAsia="es-ES"/>
        </w:rPr>
        <w:t xml:space="preserve">necesidad no satisfecha y debidamente probada, </w:t>
      </w:r>
      <w:r>
        <w:rPr>
          <w:rFonts w:ascii="Verdana" w:hAnsi="Verdana" w:cs="Verdana"/>
          <w:i/>
          <w:iCs/>
          <w:spacing w:val="1"/>
          <w:sz w:val="15"/>
          <w:szCs w:val="15"/>
          <w:lang w:val="es-ES" w:eastAsia="es-ES"/>
        </w:rPr>
        <w:t>de servicio público en la modalidad de taxi. Lo anterior se realizará entre quienes se encuentren calificados como ele</w:t>
      </w:r>
      <w:r>
        <w:rPr>
          <w:rFonts w:ascii="Verdana" w:hAnsi="Verdana" w:cs="Verdana"/>
          <w:i/>
          <w:iCs/>
          <w:spacing w:val="1"/>
          <w:sz w:val="15"/>
          <w:szCs w:val="15"/>
          <w:lang w:val="es-ES" w:eastAsia="es-ES"/>
        </w:rPr>
        <w:t xml:space="preserve">gibles tras los concursos públicos efectuados para optar a una concesión de servicio público de transporte en la modalidad de taxi, pero que no hayan resultado concesionarios. Se les dará prioridad a </w:t>
      </w:r>
      <w:r>
        <w:rPr>
          <w:rFonts w:ascii="Arial" w:hAnsi="Arial" w:cs="Arial"/>
          <w:b/>
          <w:bCs/>
          <w:i/>
          <w:iCs/>
          <w:spacing w:val="1"/>
          <w:sz w:val="16"/>
          <w:szCs w:val="16"/>
          <w:lang w:val="es-ES" w:eastAsia="es-ES"/>
        </w:rPr>
        <w:t>quienes optaron por participar en las bases de operación</w:t>
      </w:r>
      <w:r>
        <w:rPr>
          <w:rFonts w:ascii="Arial" w:hAnsi="Arial" w:cs="Arial"/>
          <w:b/>
          <w:bCs/>
          <w:i/>
          <w:iCs/>
          <w:spacing w:val="1"/>
          <w:sz w:val="16"/>
          <w:szCs w:val="16"/>
          <w:lang w:val="es-ES" w:eastAsia="es-ES"/>
        </w:rPr>
        <w:t xml:space="preserve"> más </w:t>
      </w:r>
      <w:r>
        <w:rPr>
          <w:rFonts w:ascii="Verdana" w:hAnsi="Verdana" w:cs="Verdana"/>
          <w:i/>
          <w:iCs/>
          <w:spacing w:val="1"/>
          <w:sz w:val="15"/>
          <w:szCs w:val="15"/>
          <w:lang w:val="es-ES" w:eastAsia="es-ES"/>
        </w:rPr>
        <w:t xml:space="preserve">cercanas al lugar donde se necesita el servicio. / k) Solicitar los reajustes de tarifas de todos los servicios de transporte </w:t>
      </w:r>
      <w:r>
        <w:rPr>
          <w:rFonts w:ascii="Arial" w:hAnsi="Arial" w:cs="Arial"/>
          <w:b/>
          <w:bCs/>
          <w:i/>
          <w:iCs/>
          <w:spacing w:val="1"/>
          <w:sz w:val="16"/>
          <w:szCs w:val="16"/>
          <w:lang w:val="es-ES" w:eastAsia="es-ES"/>
        </w:rPr>
        <w:t xml:space="preserve">remunerado de personas. / 1) Aprobar </w:t>
      </w:r>
      <w:r>
        <w:rPr>
          <w:rFonts w:ascii="Verdana" w:hAnsi="Verdana" w:cs="Verdana"/>
          <w:i/>
          <w:iCs/>
          <w:spacing w:val="1"/>
          <w:sz w:val="15"/>
          <w:szCs w:val="15"/>
          <w:lang w:val="es-ES" w:eastAsia="es-ES"/>
        </w:rPr>
        <w:t xml:space="preserve">sus </w:t>
      </w:r>
      <w:r>
        <w:rPr>
          <w:rFonts w:ascii="Arial" w:hAnsi="Arial" w:cs="Arial"/>
          <w:b/>
          <w:bCs/>
          <w:i/>
          <w:iCs/>
          <w:spacing w:val="1"/>
          <w:sz w:val="16"/>
          <w:szCs w:val="16"/>
          <w:lang w:val="es-ES" w:eastAsia="es-ES"/>
        </w:rPr>
        <w:t xml:space="preserve">planes operativos anuales. / m) </w:t>
      </w:r>
      <w:r>
        <w:rPr>
          <w:rFonts w:ascii="Verdana" w:hAnsi="Verdana" w:cs="Verdana"/>
          <w:i/>
          <w:iCs/>
          <w:spacing w:val="1"/>
          <w:sz w:val="15"/>
          <w:szCs w:val="15"/>
          <w:lang w:val="es-ES" w:eastAsia="es-ES"/>
        </w:rPr>
        <w:t>Proponer al Ministerio de Obras Públicas y Transport</w:t>
      </w:r>
      <w:r>
        <w:rPr>
          <w:rFonts w:ascii="Verdana" w:hAnsi="Verdana" w:cs="Verdana"/>
          <w:i/>
          <w:iCs/>
          <w:spacing w:val="1"/>
          <w:sz w:val="15"/>
          <w:szCs w:val="15"/>
          <w:lang w:val="es-ES" w:eastAsia="es-ES"/>
        </w:rPr>
        <w:t xml:space="preserve">es sus presupuestos anuales (...) </w:t>
      </w:r>
      <w:r>
        <w:rPr>
          <w:rFonts w:ascii="Arial" w:hAnsi="Arial" w:cs="Arial"/>
          <w:b/>
          <w:bCs/>
          <w:i/>
          <w:iCs/>
          <w:spacing w:val="1"/>
          <w:sz w:val="16"/>
          <w:szCs w:val="16"/>
          <w:lang w:val="es-ES" w:eastAsia="es-ES"/>
        </w:rPr>
        <w:t>Artículo 12.</w:t>
      </w:r>
      <w:r>
        <w:rPr>
          <w:rFonts w:ascii="Arial" w:hAnsi="Arial" w:cs="Arial"/>
          <w:b/>
          <w:bCs/>
          <w:i/>
          <w:iCs/>
          <w:spacing w:val="1"/>
          <w:sz w:val="16"/>
          <w:szCs w:val="16"/>
          <w:lang w:val="es-ES" w:eastAsia="es-ES"/>
        </w:rPr>
        <w:noBreakHyphen/>
      </w:r>
    </w:p>
    <w:p w:rsidR="00000000" w:rsidRDefault="005B28A9">
      <w:pPr>
        <w:widowControl/>
        <w:rPr>
          <w:sz w:val="24"/>
          <w:szCs w:val="24"/>
        </w:rPr>
        <w:sectPr w:rsidR="00000000">
          <w:pgSz w:w="12134" w:h="15840"/>
          <w:pgMar w:top="1340" w:right="1925" w:bottom="190" w:left="2123" w:header="720" w:footer="720" w:gutter="0"/>
          <w:cols w:space="720"/>
          <w:noEndnote/>
        </w:sectPr>
      </w:pPr>
    </w:p>
    <w:p w:rsidR="00000000" w:rsidRDefault="005B28A9">
      <w:pPr>
        <w:widowControl/>
        <w:rPr>
          <w:sz w:val="24"/>
          <w:szCs w:val="24"/>
        </w:rPr>
        <w:sectPr w:rsidR="00000000">
          <w:type w:val="continuous"/>
          <w:pgSz w:w="12134" w:h="15840"/>
          <w:pgMar w:top="1340" w:right="1823" w:bottom="190" w:left="7431" w:header="720" w:footer="720" w:gutter="0"/>
          <w:cols w:space="720"/>
          <w:noEndnote/>
        </w:sectPr>
      </w:pPr>
    </w:p>
    <w:p w:rsidR="00000000" w:rsidRDefault="005B28A9">
      <w:pPr>
        <w:kinsoku w:val="0"/>
        <w:overflowPunct w:val="0"/>
        <w:autoSpaceDE/>
        <w:autoSpaceDN/>
        <w:adjustRightInd/>
        <w:spacing w:before="68" w:line="184" w:lineRule="exact"/>
        <w:ind w:left="360" w:right="360"/>
        <w:jc w:val="both"/>
        <w:textAlignment w:val="baseline"/>
        <w:rPr>
          <w:rFonts w:ascii="Verdana" w:hAnsi="Verdana" w:cs="Verdana"/>
          <w:spacing w:val="2"/>
          <w:sz w:val="15"/>
          <w:szCs w:val="15"/>
          <w:lang w:val="es-ES" w:eastAsia="es-ES"/>
        </w:rPr>
      </w:pPr>
      <w:r>
        <w:rPr>
          <w:rFonts w:ascii="Verdana" w:hAnsi="Verdana" w:cs="Verdana"/>
          <w:i/>
          <w:iCs/>
          <w:spacing w:val="2"/>
          <w:sz w:val="15"/>
          <w:szCs w:val="15"/>
          <w:lang w:val="es-ES" w:eastAsia="es-ES"/>
        </w:rPr>
        <w:t>Director Ejecutivo. El Consejo contará con un Director Ejecutivo que permanecerá en su cargo por el mismo período del Consejo y tendrá</w:t>
      </w:r>
      <w:r>
        <w:rPr>
          <w:rFonts w:ascii="Verdana" w:hAnsi="Verdana" w:cs="Verdana"/>
          <w:i/>
          <w:iCs/>
          <w:spacing w:val="2"/>
          <w:sz w:val="15"/>
          <w:szCs w:val="15"/>
          <w:lang w:val="es-ES" w:eastAsia="es-ES"/>
        </w:rPr>
        <w:t xml:space="preserve"> las siguientes funciones: / a) Ejercer, en forma conjunta con el Presidente o separada de él, la representación judicial y extrajudicial del órgano. Ambos ostentarán facultades de apoderados generalísimos sin límite de suma. Previo acuerdo del Consejo, po</w:t>
      </w:r>
      <w:r>
        <w:rPr>
          <w:rFonts w:ascii="Verdana" w:hAnsi="Verdana" w:cs="Verdana"/>
          <w:i/>
          <w:iCs/>
          <w:spacing w:val="2"/>
          <w:sz w:val="15"/>
          <w:szCs w:val="15"/>
          <w:lang w:val="es-ES" w:eastAsia="es-ES"/>
        </w:rPr>
        <w:t xml:space="preserve">drán otorgar poderes judiciales o extrajudiciales, cuando sea de interés comprobado por la Dirección </w:t>
      </w:r>
      <w:proofErr w:type="gramStart"/>
      <w:r>
        <w:rPr>
          <w:rFonts w:ascii="Verdana" w:hAnsi="Verdana" w:cs="Verdana"/>
          <w:i/>
          <w:iCs/>
          <w:spacing w:val="2"/>
          <w:sz w:val="15"/>
          <w:szCs w:val="15"/>
          <w:lang w:val="es-ES" w:eastAsia="es-ES"/>
        </w:rPr>
        <w:t>Ejecutiva ./</w:t>
      </w:r>
      <w:proofErr w:type="gramEnd"/>
      <w:r>
        <w:rPr>
          <w:rFonts w:ascii="Verdana" w:hAnsi="Verdana" w:cs="Verdana"/>
          <w:i/>
          <w:iCs/>
          <w:spacing w:val="2"/>
          <w:sz w:val="15"/>
          <w:szCs w:val="15"/>
          <w:lang w:val="es-ES" w:eastAsia="es-ES"/>
        </w:rPr>
        <w:t>b) Firmar, por delegación del Consejo, todo tipo de contratos que este órgano deba suscribir. / c) Ejecutar los acuerdos y las demás resolucion</w:t>
      </w:r>
      <w:r>
        <w:rPr>
          <w:rFonts w:ascii="Verdana" w:hAnsi="Verdana" w:cs="Verdana"/>
          <w:i/>
          <w:iCs/>
          <w:spacing w:val="2"/>
          <w:sz w:val="15"/>
          <w:szCs w:val="15"/>
          <w:lang w:val="es-ES" w:eastAsia="es-ES"/>
        </w:rPr>
        <w:t xml:space="preserve">es del Consejo y asistir a sus sesiones con voz pero sin voto. / </w:t>
      </w:r>
      <w:proofErr w:type="gramStart"/>
      <w:r>
        <w:rPr>
          <w:rFonts w:ascii="Verdana" w:hAnsi="Verdana" w:cs="Verdana"/>
          <w:i/>
          <w:iCs/>
          <w:spacing w:val="2"/>
          <w:sz w:val="15"/>
          <w:szCs w:val="15"/>
          <w:u w:val="single"/>
          <w:lang w:val="es-ES" w:eastAsia="es-ES"/>
        </w:rPr>
        <w:t>d</w:t>
      </w:r>
      <w:proofErr w:type="gramEnd"/>
      <w:r>
        <w:rPr>
          <w:rFonts w:ascii="Verdana" w:hAnsi="Verdana" w:cs="Verdana"/>
          <w:i/>
          <w:iCs/>
          <w:spacing w:val="2"/>
          <w:sz w:val="15"/>
          <w:szCs w:val="15"/>
          <w:u w:val="single"/>
          <w:lang w:val="es-ES" w:eastAsia="es-ES"/>
        </w:rPr>
        <w:t>) Organizar lo administrativo y fungir como superior</w:t>
      </w:r>
      <w:r w:rsidR="00861CD1">
        <w:rPr>
          <w:rFonts w:ascii="Verdana" w:hAnsi="Verdana" w:cs="Verdana"/>
          <w:i/>
          <w:iCs/>
          <w:spacing w:val="2"/>
          <w:sz w:val="15"/>
          <w:szCs w:val="15"/>
          <w:u w:val="single"/>
          <w:lang w:val="es-ES" w:eastAsia="es-ES"/>
        </w:rPr>
        <w:t xml:space="preserve"> </w:t>
      </w:r>
      <w:r>
        <w:rPr>
          <w:rFonts w:ascii="Verdana" w:hAnsi="Verdana" w:cs="Verdana"/>
          <w:i/>
          <w:iCs/>
          <w:spacing w:val="2"/>
          <w:sz w:val="15"/>
          <w:szCs w:val="15"/>
          <w:u w:val="single"/>
          <w:lang w:val="es-ES" w:eastAsia="es-ES"/>
        </w:rPr>
        <w:t>jerár</w:t>
      </w:r>
      <w:r w:rsidR="00861CD1">
        <w:rPr>
          <w:rFonts w:ascii="Verdana" w:hAnsi="Verdana" w:cs="Verdana"/>
          <w:i/>
          <w:iCs/>
          <w:spacing w:val="2"/>
          <w:sz w:val="15"/>
          <w:szCs w:val="15"/>
          <w:u w:val="single"/>
          <w:lang w:val="es-ES" w:eastAsia="es-ES"/>
        </w:rPr>
        <w:t>qu</w:t>
      </w:r>
      <w:r>
        <w:rPr>
          <w:rFonts w:ascii="Verdana" w:hAnsi="Verdana" w:cs="Verdana"/>
          <w:i/>
          <w:iCs/>
          <w:spacing w:val="2"/>
          <w:sz w:val="15"/>
          <w:szCs w:val="15"/>
          <w:u w:val="single"/>
          <w:lang w:val="es-ES" w:eastAsia="es-ES"/>
        </w:rPr>
        <w:t>ico en materia laboral, de los funcionarios del órgano, conforme a  esta le</w:t>
      </w:r>
      <w:r w:rsidR="00861CD1">
        <w:rPr>
          <w:rFonts w:ascii="Verdana" w:hAnsi="Verdana" w:cs="Verdana"/>
          <w:i/>
          <w:iCs/>
          <w:spacing w:val="2"/>
          <w:sz w:val="15"/>
          <w:szCs w:val="15"/>
          <w:u w:val="single"/>
          <w:lang w:val="es-ES" w:eastAsia="es-ES"/>
        </w:rPr>
        <w:t>y</w:t>
      </w:r>
      <w:r>
        <w:rPr>
          <w:rFonts w:ascii="Verdana" w:hAnsi="Verdana" w:cs="Verdana"/>
          <w:i/>
          <w:iCs/>
          <w:spacing w:val="2"/>
          <w:sz w:val="15"/>
          <w:szCs w:val="15"/>
          <w:u w:val="single"/>
          <w:lang w:val="es-ES" w:eastAsia="es-ES"/>
        </w:rPr>
        <w:t>, sus reglamentos v las normas conexas.</w:t>
      </w:r>
      <w:r>
        <w:rPr>
          <w:rFonts w:ascii="Verdana" w:hAnsi="Verdana" w:cs="Verdana"/>
          <w:i/>
          <w:iCs/>
          <w:spacing w:val="2"/>
          <w:sz w:val="15"/>
          <w:szCs w:val="15"/>
          <w:lang w:val="es-ES" w:eastAsia="es-ES"/>
        </w:rPr>
        <w:t xml:space="preserve"> / e) Elaborar l</w:t>
      </w:r>
      <w:r>
        <w:rPr>
          <w:rFonts w:ascii="Verdana" w:hAnsi="Verdana" w:cs="Verdana"/>
          <w:i/>
          <w:iCs/>
          <w:spacing w:val="2"/>
          <w:sz w:val="15"/>
          <w:szCs w:val="15"/>
          <w:lang w:val="es-ES" w:eastAsia="es-ES"/>
        </w:rPr>
        <w:t>os planes operativos anuales de la Institución y presentarlos al Consejo para su aprobación. /f) Someter a la aprobación del Consejo los programas de trabajo internos. / g) Presentar ante el Consejo informes trimestrales como mínimo, sobre el desarrollo de</w:t>
      </w:r>
      <w:r>
        <w:rPr>
          <w:rFonts w:ascii="Verdana" w:hAnsi="Verdana" w:cs="Verdana"/>
          <w:i/>
          <w:iCs/>
          <w:spacing w:val="2"/>
          <w:sz w:val="15"/>
          <w:szCs w:val="15"/>
          <w:lang w:val="es-ES" w:eastAsia="es-ES"/>
        </w:rPr>
        <w:t xml:space="preserve"> los programas y presupuestos. / h) Ejecutar cualquier otra gestión expresamente encomendada por el Consejo o su Presidente" (el </w:t>
      </w:r>
      <w:r>
        <w:rPr>
          <w:rFonts w:ascii="Verdana" w:hAnsi="Verdana" w:cs="Verdana"/>
          <w:spacing w:val="2"/>
          <w:sz w:val="15"/>
          <w:szCs w:val="15"/>
          <w:lang w:val="es-ES" w:eastAsia="es-ES"/>
        </w:rPr>
        <w:t>subrayado no es del original). Como se observa, el Consejo cuenta con personalidad jurídica instrumental. Esta personalidad com</w:t>
      </w:r>
      <w:r>
        <w:rPr>
          <w:rFonts w:ascii="Verdana" w:hAnsi="Verdana" w:cs="Verdana"/>
          <w:spacing w:val="2"/>
          <w:sz w:val="15"/>
          <w:szCs w:val="15"/>
          <w:lang w:val="es-ES" w:eastAsia="es-ES"/>
        </w:rPr>
        <w:t>prende la actuación relativa a su administración interna, entre ellas, la gestión del recurso humano, de los recursos financieros que integran su patrimonio (numeral 27 de la Ley), y, en general, la actividad instrumental que desempeña para el cumplimiento</w:t>
      </w:r>
      <w:r>
        <w:rPr>
          <w:rFonts w:ascii="Verdana" w:hAnsi="Verdana" w:cs="Verdana"/>
          <w:spacing w:val="2"/>
          <w:sz w:val="15"/>
          <w:szCs w:val="15"/>
          <w:lang w:val="es-ES" w:eastAsia="es-ES"/>
        </w:rPr>
        <w:t xml:space="preserve"> de las funciones que le han sido asignadas. La Ley no. 7969 rompe la unidad de representación del Estado, determinando que la representación judicial y extrajudicial del Consejo la asumen órganos internos. Su ordinal 12 la atribuye al Director Ejecutivo y</w:t>
      </w:r>
      <w:r>
        <w:rPr>
          <w:rFonts w:ascii="Verdana" w:hAnsi="Verdana" w:cs="Verdana"/>
          <w:spacing w:val="2"/>
          <w:sz w:val="15"/>
          <w:szCs w:val="15"/>
          <w:lang w:val="es-ES" w:eastAsia="es-ES"/>
        </w:rPr>
        <w:t xml:space="preserve"> al Presidente, pudiendo actuar el primero en forma conjunta o separada del segundo. Son estos personeros quienes pueden comparecer en los distintos procesos en defensa de las situaciones jurídicas subjetivas que involucren al órgano. En consecuencia, el C</w:t>
      </w:r>
      <w:r>
        <w:rPr>
          <w:rFonts w:ascii="Verdana" w:hAnsi="Verdana" w:cs="Verdana"/>
          <w:spacing w:val="2"/>
          <w:sz w:val="15"/>
          <w:szCs w:val="15"/>
          <w:lang w:val="es-ES" w:eastAsia="es-ES"/>
        </w:rPr>
        <w:t xml:space="preserve">onsejo cuenta con la legitimación suficiente para comparecer a estrados en defensa de los fondos y patrimonio que le han sido asignados y de cuya administración responde. No obstante lo anterior, por disposición expresa del artículo 12 inciso 2) del CPCA, </w:t>
      </w:r>
      <w:r>
        <w:rPr>
          <w:rFonts w:ascii="Verdana" w:hAnsi="Verdana" w:cs="Verdana"/>
          <w:spacing w:val="2"/>
          <w:sz w:val="15"/>
          <w:szCs w:val="15"/>
          <w:lang w:val="es-ES" w:eastAsia="es-ES"/>
        </w:rPr>
        <w:t>según se dijo, cuando la conducta impugnada emane de un órgano con personalidad jurídica instrumental, se le demandará conjuntamente con el Estado. La Procuraduría General de la República, en este caso comparecerá en defensa de los intereses del Estado. Se</w:t>
      </w:r>
      <w:r>
        <w:rPr>
          <w:rFonts w:ascii="Verdana" w:hAnsi="Verdana" w:cs="Verdana"/>
          <w:spacing w:val="2"/>
          <w:sz w:val="15"/>
          <w:szCs w:val="15"/>
          <w:lang w:val="es-ES" w:eastAsia="es-ES"/>
        </w:rPr>
        <w:t xml:space="preserve"> trata de un litisconsorcio pasivo necesario por disposición de ley, que vincula en este caso al Estado al proceso y, eventualmente, a los efectos de la sentencia. Sin embargo, tal circunstancia, no excluye la responsabilidad administrativa y civil del Con</w:t>
      </w:r>
      <w:r>
        <w:rPr>
          <w:rFonts w:ascii="Verdana" w:hAnsi="Verdana" w:cs="Verdana"/>
          <w:spacing w:val="2"/>
          <w:sz w:val="15"/>
          <w:szCs w:val="15"/>
          <w:lang w:val="es-ES" w:eastAsia="es-ES"/>
        </w:rPr>
        <w:t>sejo. La personalidad jurídica instrumental que ostenta permite imputarle determinados actos con independencia del Estado. De tal manera, al ser titular de un patrimonio propio, será con el suyo que responda por los daños y perjuicios ocasionados con su ac</w:t>
      </w:r>
      <w:r>
        <w:rPr>
          <w:rFonts w:ascii="Verdana" w:hAnsi="Verdana" w:cs="Verdana"/>
          <w:spacing w:val="2"/>
          <w:sz w:val="15"/>
          <w:szCs w:val="15"/>
          <w:lang w:val="es-ES" w:eastAsia="es-ES"/>
        </w:rPr>
        <w:t>tuar dentro de la esfera de su competencia, conforme al numeral 190 de la LGAP. En la especie, ha quedado demostrado que la inactividad material atribuida al Director Ejecutivo del Consejo, se enmarca dentro de las competencias propias y exclusivas de este</w:t>
      </w:r>
      <w:r>
        <w:rPr>
          <w:rFonts w:ascii="Verdana" w:hAnsi="Verdana" w:cs="Verdana"/>
          <w:spacing w:val="2"/>
          <w:sz w:val="15"/>
          <w:szCs w:val="15"/>
          <w:lang w:val="es-ES" w:eastAsia="es-ES"/>
        </w:rPr>
        <w:t xml:space="preserve"> órgano, al cual se le otorgó personalidad propia, aunque sea sólo instrumental, para tales efectos. Así las cosas, si se determinó que la conducta administrativa objeto de impugnación proviene del no ejercicio de una competencia exclusiva del Consejo, res</w:t>
      </w:r>
      <w:r>
        <w:rPr>
          <w:rFonts w:ascii="Verdana" w:hAnsi="Verdana" w:cs="Verdana"/>
          <w:spacing w:val="2"/>
          <w:sz w:val="15"/>
          <w:szCs w:val="15"/>
          <w:lang w:val="es-ES" w:eastAsia="es-ES"/>
        </w:rPr>
        <w:t>ulta impropio extender la imputación al Estado. El otorgamiento de personalidad jurídica a un ente u órgano, se insiste, tiene como consecuencia inmediata el constituirlo en un centro último y único de imputación de los efectos de sus actuaciones u omision</w:t>
      </w:r>
      <w:r>
        <w:rPr>
          <w:rFonts w:ascii="Verdana" w:hAnsi="Verdana" w:cs="Verdana"/>
          <w:spacing w:val="2"/>
          <w:sz w:val="15"/>
          <w:szCs w:val="15"/>
          <w:lang w:val="es-ES" w:eastAsia="es-ES"/>
        </w:rPr>
        <w:t xml:space="preserve">es. Como consecuencia lógica y natural de lo anterior, lo procedente es acoger la defensa opuesta y declarar una falta de legitimación ad </w:t>
      </w:r>
      <w:proofErr w:type="spellStart"/>
      <w:r>
        <w:rPr>
          <w:rFonts w:ascii="Verdana" w:hAnsi="Verdana" w:cs="Verdana"/>
          <w:spacing w:val="2"/>
          <w:sz w:val="15"/>
          <w:szCs w:val="15"/>
          <w:lang w:val="es-ES" w:eastAsia="es-ES"/>
        </w:rPr>
        <w:t>causam</w:t>
      </w:r>
      <w:proofErr w:type="spellEnd"/>
      <w:r>
        <w:rPr>
          <w:rFonts w:ascii="Verdana" w:hAnsi="Verdana" w:cs="Verdana"/>
          <w:spacing w:val="2"/>
          <w:sz w:val="15"/>
          <w:szCs w:val="15"/>
          <w:lang w:val="es-ES" w:eastAsia="es-ES"/>
        </w:rPr>
        <w:t xml:space="preserve"> pasiva respecto del Estado, toda vez, que no se determinó que existiera ninguna actuación que pueda ser recondu</w:t>
      </w:r>
      <w:r>
        <w:rPr>
          <w:rFonts w:ascii="Verdana" w:hAnsi="Verdana" w:cs="Verdana"/>
          <w:spacing w:val="2"/>
          <w:sz w:val="15"/>
          <w:szCs w:val="15"/>
          <w:lang w:val="es-ES" w:eastAsia="es-ES"/>
        </w:rPr>
        <w:t xml:space="preserve">cida a una competencia que le sea propia. De tal manera, la condenatoria del Estado resulta improcedente y, por tanto, deberá anularse. Es claro, entonces, que efectivamente, tal y como lo alega la </w:t>
      </w:r>
      <w:proofErr w:type="spellStart"/>
      <w:r>
        <w:rPr>
          <w:rFonts w:ascii="Verdana" w:hAnsi="Verdana" w:cs="Verdana"/>
          <w:spacing w:val="2"/>
          <w:sz w:val="15"/>
          <w:szCs w:val="15"/>
          <w:lang w:val="es-ES" w:eastAsia="es-ES"/>
        </w:rPr>
        <w:t>casacionista</w:t>
      </w:r>
      <w:proofErr w:type="spellEnd"/>
      <w:r>
        <w:rPr>
          <w:rFonts w:ascii="Verdana" w:hAnsi="Verdana" w:cs="Verdana"/>
          <w:spacing w:val="2"/>
          <w:sz w:val="15"/>
          <w:szCs w:val="15"/>
          <w:lang w:val="es-ES" w:eastAsia="es-ES"/>
        </w:rPr>
        <w:t>, incurrió el Tribunal en infracción de las di</w:t>
      </w:r>
      <w:r>
        <w:rPr>
          <w:rFonts w:ascii="Verdana" w:hAnsi="Verdana" w:cs="Verdana"/>
          <w:spacing w:val="2"/>
          <w:sz w:val="15"/>
          <w:szCs w:val="15"/>
          <w:lang w:val="es-ES" w:eastAsia="es-ES"/>
        </w:rPr>
        <w:t>sposiciones legales invocadas, al condenar al Estado al pago de los daños y perjuicios causados en forma subsidiaria.</w:t>
      </w:r>
    </w:p>
    <w:p w:rsidR="00000000" w:rsidRDefault="005B28A9">
      <w:pPr>
        <w:kinsoku w:val="0"/>
        <w:overflowPunct w:val="0"/>
        <w:autoSpaceDE/>
        <w:autoSpaceDN/>
        <w:adjustRightInd/>
        <w:spacing w:before="2" w:line="184" w:lineRule="exact"/>
        <w:ind w:left="360"/>
        <w:jc w:val="both"/>
        <w:textAlignment w:val="baseline"/>
        <w:rPr>
          <w:rFonts w:ascii="Verdana" w:hAnsi="Verdana" w:cs="Verdana"/>
          <w:sz w:val="24"/>
          <w:szCs w:val="24"/>
          <w:lang w:eastAsia="en-US"/>
        </w:rPr>
      </w:pPr>
      <w:r>
        <w:rPr>
          <w:rFonts w:ascii="Verdana" w:hAnsi="Verdana" w:cs="Verdana"/>
          <w:spacing w:val="5"/>
          <w:sz w:val="15"/>
          <w:szCs w:val="15"/>
          <w:lang w:val="es-ES" w:eastAsia="es-ES"/>
        </w:rPr>
        <w:t>VI.</w:t>
      </w:r>
      <w:r>
        <w:rPr>
          <w:rFonts w:ascii="Verdana" w:hAnsi="Verdana" w:cs="Verdana"/>
          <w:spacing w:val="5"/>
          <w:sz w:val="15"/>
          <w:szCs w:val="15"/>
          <w:lang w:val="es-ES" w:eastAsia="es-ES"/>
        </w:rPr>
        <w:noBreakHyphen/>
      </w:r>
    </w:p>
    <w:p w:rsidR="00000000" w:rsidRDefault="005B28A9">
      <w:pPr>
        <w:kinsoku w:val="0"/>
        <w:overflowPunct w:val="0"/>
        <w:autoSpaceDE/>
        <w:autoSpaceDN/>
        <w:adjustRightInd/>
        <w:spacing w:before="15" w:line="184" w:lineRule="exact"/>
        <w:ind w:left="360" w:right="360"/>
        <w:jc w:val="both"/>
        <w:textAlignment w:val="baseline"/>
        <w:rPr>
          <w:rFonts w:ascii="Verdana" w:hAnsi="Verdana" w:cs="Verdana"/>
          <w:sz w:val="15"/>
          <w:szCs w:val="15"/>
          <w:lang w:val="es-ES" w:eastAsia="es-ES"/>
        </w:rPr>
      </w:pPr>
      <w:r>
        <w:rPr>
          <w:rFonts w:ascii="Verdana" w:hAnsi="Verdana" w:cs="Verdana"/>
          <w:sz w:val="15"/>
          <w:szCs w:val="15"/>
          <w:lang w:val="es-ES" w:eastAsia="es-ES"/>
        </w:rPr>
        <w:t>Como consecuencia de lo dispuesto en el anterior considerando, al anularse la condena subsidiaria realizada en contra del Estado, deb</w:t>
      </w:r>
      <w:r>
        <w:rPr>
          <w:rFonts w:ascii="Verdana" w:hAnsi="Verdana" w:cs="Verdana"/>
          <w:sz w:val="15"/>
          <w:szCs w:val="15"/>
          <w:lang w:val="es-ES" w:eastAsia="es-ES"/>
        </w:rPr>
        <w:t>e declararse sin lugar la demanda respecto de éste. Por ende, debe reconsiderarse, de igual forma, la imposición del pago de las costas a esta parte, al no poder considerarse como vencida dentro del proceso. En virtud de lo anterior, y en atención a la for</w:t>
      </w:r>
      <w:r>
        <w:rPr>
          <w:rFonts w:ascii="Verdana" w:hAnsi="Verdana" w:cs="Verdana"/>
          <w:sz w:val="15"/>
          <w:szCs w:val="15"/>
          <w:lang w:val="es-ES" w:eastAsia="es-ES"/>
        </w:rPr>
        <w:t>ma en que se resuelve el recurso de la representación estatal, resulta innecesario pronunciarse sobre el resto de los cargos por ella formulados."</w:t>
      </w:r>
    </w:p>
    <w:p w:rsidR="00000000" w:rsidRDefault="005B28A9">
      <w:pPr>
        <w:kinsoku w:val="0"/>
        <w:overflowPunct w:val="0"/>
        <w:autoSpaceDE/>
        <w:autoSpaceDN/>
        <w:adjustRightInd/>
        <w:spacing w:before="744" w:line="271" w:lineRule="exact"/>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5.6 CONSIDERACIONES DE FONDO.</w:t>
      </w:r>
    </w:p>
    <w:p w:rsidR="00000000" w:rsidRDefault="005B28A9">
      <w:pPr>
        <w:kinsoku w:val="0"/>
        <w:overflowPunct w:val="0"/>
        <w:autoSpaceDE/>
        <w:autoSpaceDN/>
        <w:adjustRightInd/>
        <w:spacing w:before="305" w:line="276" w:lineRule="exact"/>
        <w:jc w:val="both"/>
        <w:textAlignment w:val="baseline"/>
        <w:rPr>
          <w:rFonts w:ascii="Verdana" w:hAnsi="Verdana" w:cs="Verdana"/>
          <w:spacing w:val="8"/>
          <w:sz w:val="22"/>
          <w:szCs w:val="22"/>
          <w:lang w:val="es-ES" w:eastAsia="es-ES"/>
        </w:rPr>
      </w:pPr>
      <w:r>
        <w:rPr>
          <w:rFonts w:ascii="Verdana" w:hAnsi="Verdana" w:cs="Verdana"/>
          <w:spacing w:val="8"/>
          <w:sz w:val="22"/>
          <w:szCs w:val="22"/>
          <w:lang w:val="es-ES" w:eastAsia="es-ES"/>
        </w:rPr>
        <w:t>En el caso concreto, este Tribunal al analizar las piezas que conforman los ate</w:t>
      </w:r>
      <w:r>
        <w:rPr>
          <w:rFonts w:ascii="Verdana" w:hAnsi="Verdana" w:cs="Verdana"/>
          <w:spacing w:val="8"/>
          <w:sz w:val="22"/>
          <w:szCs w:val="22"/>
          <w:lang w:val="es-ES" w:eastAsia="es-ES"/>
        </w:rPr>
        <w:t>stados del expediente bajo análisis, a podido determinar que el acuerdo impugnado el 7.2 de la Sesión Ordinaria 43-2013 de fecha 26 de junio del 2013, es un acto que lo que</w:t>
      </w:r>
    </w:p>
    <w:p w:rsidR="00000000" w:rsidRDefault="005B28A9">
      <w:pPr>
        <w:widowControl/>
        <w:rPr>
          <w:sz w:val="24"/>
          <w:szCs w:val="24"/>
        </w:rPr>
        <w:sectPr w:rsidR="00000000">
          <w:pgSz w:w="12134" w:h="15840"/>
          <w:pgMar w:top="1320" w:right="1980" w:bottom="210" w:left="2068" w:header="720" w:footer="720" w:gutter="0"/>
          <w:cols w:space="720"/>
          <w:noEndnote/>
        </w:sectPr>
      </w:pPr>
    </w:p>
    <w:p w:rsidR="00000000" w:rsidRDefault="005B28A9">
      <w:pPr>
        <w:kinsoku w:val="0"/>
        <w:overflowPunct w:val="0"/>
        <w:autoSpaceDE/>
        <w:autoSpaceDN/>
        <w:adjustRightInd/>
        <w:spacing w:line="279"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dispone es ordenar a través de nuevas d</w:t>
      </w:r>
      <w:r w:rsidR="00861CD1">
        <w:rPr>
          <w:rFonts w:ascii="Verdana" w:hAnsi="Verdana" w:cs="Verdana"/>
          <w:sz w:val="22"/>
          <w:szCs w:val="22"/>
          <w:lang w:val="es-ES" w:eastAsia="es-ES"/>
        </w:rPr>
        <w:t>irectrices, la forma en que debe</w:t>
      </w:r>
      <w:r>
        <w:rPr>
          <w:rFonts w:ascii="Verdana" w:hAnsi="Verdana" w:cs="Verdana"/>
          <w:sz w:val="22"/>
          <w:szCs w:val="22"/>
          <w:lang w:val="es-ES" w:eastAsia="es-ES"/>
        </w:rPr>
        <w:t>n estar marcados los vehículos que se dediquen a la actividad del Transporte Público en vehículos de Servicio Especial Estable de Taxi conocido como (SEETAXI) y tales requisitos deberán ser observados por la Revisión Técnica</w:t>
      </w:r>
      <w:r>
        <w:rPr>
          <w:rFonts w:ascii="Verdana" w:hAnsi="Verdana" w:cs="Verdana"/>
          <w:sz w:val="22"/>
          <w:szCs w:val="22"/>
          <w:lang w:val="es-ES" w:eastAsia="es-ES"/>
        </w:rPr>
        <w:t xml:space="preserve"> Vehicular al momento de que las unidades se presenten a realizarla.</w:t>
      </w:r>
    </w:p>
    <w:p w:rsidR="00000000" w:rsidRDefault="005B28A9">
      <w:pPr>
        <w:kinsoku w:val="0"/>
        <w:overflowPunct w:val="0"/>
        <w:autoSpaceDE/>
        <w:autoSpaceDN/>
        <w:adjustRightInd/>
        <w:spacing w:before="272" w:line="279" w:lineRule="exact"/>
        <w:ind w:right="216"/>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No obstante lo anterior, el mismo acuerdo impugnado cuenta con una cláusula transitoria que indica: </w:t>
      </w:r>
      <w:r>
        <w:rPr>
          <w:rFonts w:ascii="Verdana" w:hAnsi="Verdana" w:cs="Verdana"/>
          <w:i/>
          <w:iCs/>
          <w:spacing w:val="2"/>
          <w:sz w:val="22"/>
          <w:szCs w:val="22"/>
          <w:lang w:val="es-ES" w:eastAsia="es-ES"/>
        </w:rPr>
        <w:t xml:space="preserve">"Para aquellos vehículos a los que se les solicite cambio de unidad, los que </w:t>
      </w:r>
      <w:r>
        <w:rPr>
          <w:rFonts w:ascii="Verdana" w:hAnsi="Verdana" w:cs="Verdana"/>
          <w:i/>
          <w:iCs/>
          <w:spacing w:val="2"/>
          <w:sz w:val="22"/>
          <w:szCs w:val="22"/>
          <w:lang w:val="es-ES" w:eastAsia="es-ES"/>
        </w:rPr>
        <w:t xml:space="preserve">actualmente </w:t>
      </w:r>
      <w:proofErr w:type="spellStart"/>
      <w:r>
        <w:rPr>
          <w:rFonts w:ascii="Verdana" w:hAnsi="Verdana" w:cs="Verdana"/>
          <w:i/>
          <w:iCs/>
          <w:spacing w:val="2"/>
          <w:sz w:val="22"/>
          <w:szCs w:val="22"/>
          <w:lang w:val="es-ES" w:eastAsia="es-ES"/>
        </w:rPr>
        <w:t>esten</w:t>
      </w:r>
      <w:proofErr w:type="spellEnd"/>
      <w:r>
        <w:rPr>
          <w:rFonts w:ascii="Verdana" w:hAnsi="Verdana" w:cs="Verdana"/>
          <w:i/>
          <w:iCs/>
          <w:spacing w:val="2"/>
          <w:sz w:val="22"/>
          <w:szCs w:val="22"/>
          <w:lang w:val="es-ES" w:eastAsia="es-ES"/>
        </w:rPr>
        <w:t xml:space="preserve"> autorizados y los que sean autorizados por primera vez en este proceso, deberán acatar lo dispuesto sobre la rotulación descrita en este acuerdo." </w:t>
      </w:r>
      <w:r>
        <w:rPr>
          <w:rFonts w:ascii="Verdana" w:hAnsi="Verdana" w:cs="Verdana"/>
          <w:b/>
          <w:bCs/>
          <w:i/>
          <w:iCs/>
          <w:spacing w:val="2"/>
          <w:sz w:val="22"/>
          <w:szCs w:val="22"/>
          <w:lang w:val="es-ES" w:eastAsia="es-ES"/>
        </w:rPr>
        <w:t xml:space="preserve">"Así </w:t>
      </w:r>
      <w:r>
        <w:rPr>
          <w:rFonts w:ascii="Verdana" w:hAnsi="Verdana" w:cs="Verdana"/>
          <w:b/>
          <w:bCs/>
          <w:i/>
          <w:iCs/>
          <w:spacing w:val="2"/>
          <w:sz w:val="22"/>
          <w:szCs w:val="22"/>
          <w:u w:val="single"/>
          <w:lang w:val="es-ES" w:eastAsia="es-ES"/>
        </w:rPr>
        <w:t>mismo, al realizarse la renovación del código de la empresa al cabo de los tres años c</w:t>
      </w:r>
      <w:r>
        <w:rPr>
          <w:rFonts w:ascii="Verdana" w:hAnsi="Verdana" w:cs="Verdana"/>
          <w:b/>
          <w:bCs/>
          <w:i/>
          <w:iCs/>
          <w:spacing w:val="2"/>
          <w:sz w:val="22"/>
          <w:szCs w:val="22"/>
          <w:u w:val="single"/>
          <w:lang w:val="es-ES" w:eastAsia="es-ES"/>
        </w:rPr>
        <w:t>omo dicta la Ley los vehículos que se  encuentran rotulados con el procedimiento actual, deberán ser rotulados siguiendo el procedimiento supra citado y teniendo  en cuenta la antigüedad de las unidades según lo dispuesto en  la normativa vigente"</w:t>
      </w:r>
      <w:proofErr w:type="gramStart"/>
      <w:r>
        <w:rPr>
          <w:rFonts w:ascii="Verdana" w:hAnsi="Verdana" w:cs="Verdana"/>
          <w:b/>
          <w:bCs/>
          <w:i/>
          <w:iCs/>
          <w:spacing w:val="2"/>
          <w:sz w:val="22"/>
          <w:szCs w:val="22"/>
          <w:u w:val="single"/>
          <w:lang w:val="es-ES" w:eastAsia="es-ES"/>
        </w:rPr>
        <w:t>(</w:t>
      </w:r>
      <w:r>
        <w:rPr>
          <w:rFonts w:ascii="Verdana" w:hAnsi="Verdana" w:cs="Verdana"/>
          <w:spacing w:val="2"/>
          <w:sz w:val="22"/>
          <w:szCs w:val="22"/>
          <w:lang w:val="es-ES" w:eastAsia="es-ES"/>
        </w:rPr>
        <w:t xml:space="preserve"> el</w:t>
      </w:r>
      <w:proofErr w:type="gramEnd"/>
      <w:r>
        <w:rPr>
          <w:rFonts w:ascii="Verdana" w:hAnsi="Verdana" w:cs="Verdana"/>
          <w:spacing w:val="2"/>
          <w:sz w:val="22"/>
          <w:szCs w:val="22"/>
          <w:lang w:val="es-ES" w:eastAsia="es-ES"/>
        </w:rPr>
        <w:t xml:space="preserve"> Resa</w:t>
      </w:r>
      <w:r>
        <w:rPr>
          <w:rFonts w:ascii="Verdana" w:hAnsi="Verdana" w:cs="Verdana"/>
          <w:spacing w:val="2"/>
          <w:sz w:val="22"/>
          <w:szCs w:val="22"/>
          <w:lang w:val="es-ES" w:eastAsia="es-ES"/>
        </w:rPr>
        <w:t>ltado es nuestro)</w:t>
      </w:r>
    </w:p>
    <w:p w:rsidR="00000000" w:rsidRDefault="005B28A9">
      <w:pPr>
        <w:kinsoku w:val="0"/>
        <w:overflowPunct w:val="0"/>
        <w:autoSpaceDE/>
        <w:autoSpaceDN/>
        <w:adjustRightInd/>
        <w:spacing w:before="278" w:line="281"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Lo anterior, se enmarca como se indica en párrafos precedentes dentro de las facultades otorgadas por Ley al Consejo de Transporte Público, el cual dentro de sus facultades según el artículo 7, cuenta con la posibilidad de emitir directri</w:t>
      </w:r>
      <w:r>
        <w:rPr>
          <w:rFonts w:ascii="Verdana" w:hAnsi="Verdana" w:cs="Verdana"/>
          <w:sz w:val="22"/>
          <w:szCs w:val="22"/>
          <w:lang w:val="es-ES" w:eastAsia="es-ES"/>
        </w:rPr>
        <w:t>ces como la que aquí se cuestiona.</w:t>
      </w:r>
    </w:p>
    <w:p w:rsidR="00000000" w:rsidRDefault="005B28A9">
      <w:pPr>
        <w:kinsoku w:val="0"/>
        <w:overflowPunct w:val="0"/>
        <w:autoSpaceDE/>
        <w:autoSpaceDN/>
        <w:adjustRightInd/>
        <w:spacing w:before="250" w:line="281" w:lineRule="exact"/>
        <w:ind w:right="216"/>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 xml:space="preserve">De acuerdo a lo anterior y así se desprende del Recurso presentado, la empresa recurrente </w:t>
      </w:r>
      <w:r>
        <w:rPr>
          <w:rFonts w:ascii="Verdana" w:hAnsi="Verdana" w:cs="Verdana"/>
          <w:b/>
          <w:bCs/>
          <w:spacing w:val="4"/>
          <w:sz w:val="22"/>
          <w:szCs w:val="22"/>
          <w:lang w:val="es-ES" w:eastAsia="es-ES"/>
        </w:rPr>
        <w:t>T</w:t>
      </w:r>
      <w:r w:rsidR="00861CD1">
        <w:rPr>
          <w:rFonts w:ascii="Verdana" w:hAnsi="Verdana" w:cs="Verdana"/>
          <w:b/>
          <w:bCs/>
          <w:spacing w:val="4"/>
          <w:sz w:val="22"/>
          <w:szCs w:val="22"/>
          <w:lang w:val="es-ES" w:eastAsia="es-ES"/>
        </w:rPr>
        <w:t xml:space="preserve">.D.L.S.A. </w:t>
      </w:r>
      <w:r>
        <w:rPr>
          <w:rFonts w:ascii="Verdana" w:hAnsi="Verdana" w:cs="Verdana"/>
          <w:b/>
          <w:bCs/>
          <w:spacing w:val="4"/>
          <w:sz w:val="22"/>
          <w:szCs w:val="22"/>
          <w:lang w:val="es-ES" w:eastAsia="es-ES"/>
        </w:rPr>
        <w:t xml:space="preserve">„ </w:t>
      </w:r>
      <w:r>
        <w:rPr>
          <w:rFonts w:ascii="Verdana" w:hAnsi="Verdana" w:cs="Verdana"/>
          <w:spacing w:val="4"/>
          <w:sz w:val="22"/>
          <w:szCs w:val="22"/>
          <w:lang w:val="es-ES" w:eastAsia="es-ES"/>
        </w:rPr>
        <w:t>no indica con precisión cuales son los vicios de nulidad que comporta el acto y que acarrearían la nuli</w:t>
      </w:r>
      <w:r>
        <w:rPr>
          <w:rFonts w:ascii="Verdana" w:hAnsi="Verdana" w:cs="Verdana"/>
          <w:spacing w:val="4"/>
          <w:sz w:val="22"/>
          <w:szCs w:val="22"/>
          <w:lang w:val="es-ES" w:eastAsia="es-ES"/>
        </w:rPr>
        <w:t>dad del mismo, simplemente se limita a indicar que el acto es ilegitimo, por que impone nuevas condiciones distintas a las anteriores y con ello se hará incurrir a las empresas en gasto al tener que pintar nuevamente los logos de los carros; también manifi</w:t>
      </w:r>
      <w:r>
        <w:rPr>
          <w:rFonts w:ascii="Verdana" w:hAnsi="Verdana" w:cs="Verdana"/>
          <w:spacing w:val="4"/>
          <w:sz w:val="22"/>
          <w:szCs w:val="22"/>
          <w:lang w:val="es-ES" w:eastAsia="es-ES"/>
        </w:rPr>
        <w:t xml:space="preserve">esta que es violatorio al no permitir exponer el logo de la empresa </w:t>
      </w:r>
      <w:r w:rsidR="00861CD1">
        <w:rPr>
          <w:rFonts w:ascii="Verdana" w:hAnsi="Verdana" w:cs="Verdana"/>
          <w:spacing w:val="4"/>
          <w:sz w:val="22"/>
          <w:szCs w:val="22"/>
          <w:lang w:val="es-ES" w:eastAsia="es-ES"/>
        </w:rPr>
        <w:t xml:space="preserve">                 </w:t>
      </w:r>
      <w:r>
        <w:rPr>
          <w:rFonts w:ascii="Verdana" w:hAnsi="Verdana" w:cs="Verdana"/>
          <w:spacing w:val="4"/>
          <w:sz w:val="22"/>
          <w:szCs w:val="22"/>
          <w:lang w:val="es-ES" w:eastAsia="es-ES"/>
        </w:rPr>
        <w:t>( registrado o NO) en la tapa del motor del vehículo.</w:t>
      </w:r>
    </w:p>
    <w:p w:rsidR="00000000" w:rsidRDefault="005B28A9">
      <w:pPr>
        <w:kinsoku w:val="0"/>
        <w:overflowPunct w:val="0"/>
        <w:autoSpaceDE/>
        <w:autoSpaceDN/>
        <w:adjustRightInd/>
        <w:spacing w:before="257" w:line="281" w:lineRule="exact"/>
        <w:ind w:right="216"/>
        <w:jc w:val="both"/>
        <w:textAlignment w:val="baseline"/>
        <w:rPr>
          <w:rFonts w:ascii="Verdana" w:hAnsi="Verdana" w:cs="Verdana"/>
          <w:sz w:val="22"/>
          <w:szCs w:val="22"/>
          <w:lang w:val="es-ES" w:eastAsia="es-ES"/>
        </w:rPr>
      </w:pPr>
      <w:r>
        <w:rPr>
          <w:rFonts w:ascii="Verdana" w:hAnsi="Verdana" w:cs="Verdana"/>
          <w:sz w:val="22"/>
          <w:szCs w:val="22"/>
          <w:lang w:val="es-ES" w:eastAsia="es-ES"/>
        </w:rPr>
        <w:t>Como se aprecia, los argumentos en ningún momento se expresan en argumentaciones técnico jurídicas que demuestren la ausencia de eleme</w:t>
      </w:r>
      <w:r>
        <w:rPr>
          <w:rFonts w:ascii="Verdana" w:hAnsi="Verdana" w:cs="Verdana"/>
          <w:sz w:val="22"/>
          <w:szCs w:val="22"/>
          <w:lang w:val="es-ES" w:eastAsia="es-ES"/>
        </w:rPr>
        <w:t xml:space="preserve">ntos esenciales del acto en su adopción y que ameriten su anulación, por el contrario, se tiene que lo dispuesto en el acto administrativo, se enmarca dentro de las potestades del CTP, y el acto no presenta vicio alguno, que este colegiado aprecie, por el </w:t>
      </w:r>
      <w:r>
        <w:rPr>
          <w:rFonts w:ascii="Verdana" w:hAnsi="Verdana" w:cs="Verdana"/>
          <w:sz w:val="22"/>
          <w:szCs w:val="22"/>
          <w:lang w:val="es-ES" w:eastAsia="es-ES"/>
        </w:rPr>
        <w:t>contrario cuenta con los elementos necesarios y suficientes para su validez y eficacia.</w:t>
      </w:r>
    </w:p>
    <w:p w:rsidR="00000000" w:rsidRDefault="005B28A9">
      <w:pPr>
        <w:kinsoku w:val="0"/>
        <w:overflowPunct w:val="0"/>
        <w:autoSpaceDE/>
        <w:autoSpaceDN/>
        <w:adjustRightInd/>
        <w:spacing w:before="269" w:after="386" w:line="275" w:lineRule="exact"/>
        <w:ind w:right="216"/>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Podrían ser de recibo los argumentos de la recurrente en el sentido de que se le causa un perjuicio económico al cambiarle las condiciones, en cuanto a la rotulación de</w:t>
      </w:r>
      <w:r>
        <w:rPr>
          <w:rFonts w:ascii="Verdana" w:hAnsi="Verdana" w:cs="Verdana"/>
          <w:spacing w:val="3"/>
          <w:sz w:val="22"/>
          <w:szCs w:val="22"/>
          <w:lang w:val="es-ES" w:eastAsia="es-ES"/>
        </w:rPr>
        <w:t xml:space="preserve"> los vehículos, si se estuviera disponiendo un cambio inmediato de los mismos, no obstante, como se indicó existe una clausula transitoria en el mismo acuerdo que</w:t>
      </w:r>
    </w:p>
    <w:p w:rsidR="00000000" w:rsidRDefault="005B28A9">
      <w:pPr>
        <w:widowControl/>
        <w:rPr>
          <w:sz w:val="24"/>
          <w:szCs w:val="24"/>
        </w:rPr>
        <w:sectPr w:rsidR="00000000">
          <w:pgSz w:w="12134" w:h="15840"/>
          <w:pgMar w:top="1340" w:right="1728" w:bottom="210" w:left="2130" w:header="720" w:footer="720" w:gutter="0"/>
          <w:cols w:space="720"/>
          <w:noEndnote/>
        </w:sectPr>
      </w:pPr>
    </w:p>
    <w:p w:rsidR="00000000" w:rsidRDefault="005B28A9">
      <w:pPr>
        <w:widowControl/>
        <w:rPr>
          <w:sz w:val="24"/>
          <w:szCs w:val="24"/>
        </w:rPr>
        <w:sectPr w:rsidR="00000000">
          <w:type w:val="continuous"/>
          <w:pgSz w:w="12134" w:h="15840"/>
          <w:pgMar w:top="1340" w:right="1728" w:bottom="210" w:left="7526" w:header="720" w:footer="720" w:gutter="0"/>
          <w:cols w:space="720"/>
          <w:noEndnote/>
        </w:sectPr>
      </w:pPr>
    </w:p>
    <w:p w:rsidR="00000000" w:rsidRDefault="005B28A9">
      <w:pPr>
        <w:kinsoku w:val="0"/>
        <w:overflowPunct w:val="0"/>
        <w:autoSpaceDE/>
        <w:autoSpaceDN/>
        <w:adjustRightInd/>
        <w:spacing w:before="11" w:line="278" w:lineRule="exact"/>
        <w:ind w:right="288"/>
        <w:jc w:val="both"/>
        <w:textAlignment w:val="baseline"/>
        <w:rPr>
          <w:rFonts w:ascii="Verdana" w:hAnsi="Verdana" w:cs="Verdana"/>
          <w:sz w:val="22"/>
          <w:szCs w:val="22"/>
          <w:lang w:val="es-ES" w:eastAsia="es-ES"/>
        </w:rPr>
      </w:pPr>
      <w:proofErr w:type="gramStart"/>
      <w:r>
        <w:rPr>
          <w:rFonts w:ascii="Verdana" w:hAnsi="Verdana" w:cs="Verdana"/>
          <w:sz w:val="22"/>
          <w:szCs w:val="22"/>
          <w:lang w:val="es-ES" w:eastAsia="es-ES"/>
        </w:rPr>
        <w:t>deja</w:t>
      </w:r>
      <w:proofErr w:type="gramEnd"/>
      <w:r>
        <w:rPr>
          <w:rFonts w:ascii="Verdana" w:hAnsi="Verdana" w:cs="Verdana"/>
          <w:sz w:val="22"/>
          <w:szCs w:val="22"/>
          <w:lang w:val="es-ES" w:eastAsia="es-ES"/>
        </w:rPr>
        <w:t xml:space="preserve"> pendiente la exigencia</w:t>
      </w:r>
      <w:r>
        <w:rPr>
          <w:rFonts w:ascii="Verdana" w:hAnsi="Verdana" w:cs="Verdana"/>
          <w:sz w:val="22"/>
          <w:szCs w:val="22"/>
          <w:lang w:val="es-ES" w:eastAsia="es-ES"/>
        </w:rPr>
        <w:t xml:space="preserve"> de los nuevos lineamientos, hasta el momento que se </w:t>
      </w:r>
      <w:proofErr w:type="spellStart"/>
      <w:r>
        <w:rPr>
          <w:rFonts w:ascii="Verdana" w:hAnsi="Verdana" w:cs="Verdana"/>
          <w:sz w:val="22"/>
          <w:szCs w:val="22"/>
          <w:lang w:val="es-ES" w:eastAsia="es-ES"/>
        </w:rPr>
        <w:t>de</w:t>
      </w:r>
      <w:proofErr w:type="spellEnd"/>
      <w:r>
        <w:rPr>
          <w:rFonts w:ascii="Verdana" w:hAnsi="Verdana" w:cs="Verdana"/>
          <w:sz w:val="22"/>
          <w:szCs w:val="22"/>
          <w:lang w:val="es-ES" w:eastAsia="es-ES"/>
        </w:rPr>
        <w:t xml:space="preserve"> la renovación del código de la empresa al advenimiento de los 3 años del permiso otorgado.</w:t>
      </w:r>
    </w:p>
    <w:p w:rsidR="00000000" w:rsidRDefault="005B28A9">
      <w:pPr>
        <w:kinsoku w:val="0"/>
        <w:overflowPunct w:val="0"/>
        <w:autoSpaceDE/>
        <w:autoSpaceDN/>
        <w:adjustRightInd/>
        <w:spacing w:before="284" w:line="270"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000000" w:rsidRDefault="005B28A9">
      <w:pPr>
        <w:tabs>
          <w:tab w:val="left" w:pos="648"/>
        </w:tabs>
        <w:kinsoku w:val="0"/>
        <w:overflowPunct w:val="0"/>
        <w:autoSpaceDE/>
        <w:autoSpaceDN/>
        <w:adjustRightInd/>
        <w:spacing w:before="555" w:line="278" w:lineRule="exact"/>
        <w:ind w:right="288"/>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L-</w:t>
      </w:r>
      <w:r>
        <w:rPr>
          <w:rFonts w:ascii="Verdana" w:hAnsi="Verdana" w:cs="Verdana"/>
          <w:b/>
          <w:bCs/>
          <w:sz w:val="22"/>
          <w:szCs w:val="22"/>
          <w:lang w:val="es-ES" w:eastAsia="es-ES"/>
        </w:rPr>
        <w:tab/>
      </w:r>
      <w:r>
        <w:rPr>
          <w:rFonts w:ascii="Verdana" w:hAnsi="Verdana" w:cs="Verdana"/>
          <w:sz w:val="22"/>
          <w:szCs w:val="22"/>
          <w:lang w:val="es-ES" w:eastAsia="es-ES"/>
        </w:rPr>
        <w:t xml:space="preserve">Se declara sin lugar el RECURSO DE APELACIÓN Y LA NULIDAD interpuestos por la empresa </w:t>
      </w:r>
      <w:r>
        <w:rPr>
          <w:rFonts w:ascii="Verdana" w:hAnsi="Verdana" w:cs="Verdana"/>
          <w:b/>
          <w:bCs/>
          <w:sz w:val="22"/>
          <w:szCs w:val="22"/>
          <w:lang w:val="es-ES" w:eastAsia="es-ES"/>
        </w:rPr>
        <w:t>T</w:t>
      </w:r>
      <w:r w:rsidR="00861CD1">
        <w:rPr>
          <w:rFonts w:ascii="Verdana" w:hAnsi="Verdana" w:cs="Verdana"/>
          <w:b/>
          <w:bCs/>
          <w:sz w:val="22"/>
          <w:szCs w:val="22"/>
          <w:lang w:val="es-ES" w:eastAsia="es-ES"/>
        </w:rPr>
        <w:t>.D.L.S.A.</w:t>
      </w:r>
      <w:r>
        <w:rPr>
          <w:rFonts w:ascii="Verdana" w:hAnsi="Verdana" w:cs="Verdana"/>
          <w:b/>
          <w:bCs/>
          <w:sz w:val="22"/>
          <w:szCs w:val="22"/>
          <w:lang w:val="es-ES" w:eastAsia="es-ES"/>
        </w:rPr>
        <w:t xml:space="preserve"> (A</w:t>
      </w:r>
      <w:r w:rsidR="00861CD1">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w:t>
      </w:r>
      <w:proofErr w:type="gramStart"/>
      <w:r>
        <w:rPr>
          <w:rFonts w:ascii="Verdana" w:hAnsi="Verdana" w:cs="Verdana"/>
          <w:sz w:val="22"/>
          <w:szCs w:val="22"/>
          <w:lang w:val="es-ES" w:eastAsia="es-ES"/>
        </w:rPr>
        <w:t xml:space="preserve">jurídica </w:t>
      </w:r>
      <w:r w:rsidR="00861CD1">
        <w:rPr>
          <w:rFonts w:ascii="Verdana" w:hAnsi="Verdana" w:cs="Verdana"/>
          <w:sz w:val="22"/>
          <w:szCs w:val="22"/>
          <w:lang w:val="es-ES" w:eastAsia="es-ES"/>
        </w:rPr>
        <w:t>…</w:t>
      </w:r>
      <w:proofErr w:type="gramEnd"/>
      <w:r>
        <w:rPr>
          <w:rFonts w:ascii="Verdana" w:hAnsi="Verdana" w:cs="Verdana"/>
          <w:sz w:val="22"/>
          <w:szCs w:val="22"/>
          <w:lang w:val="es-ES" w:eastAsia="es-ES"/>
        </w:rPr>
        <w:t xml:space="preserve">, por medio de su Apoderado Generalísimo sin límite de suma, señor </w:t>
      </w:r>
      <w:r>
        <w:rPr>
          <w:rFonts w:ascii="Verdana" w:hAnsi="Verdana" w:cs="Verdana"/>
          <w:b/>
          <w:bCs/>
          <w:sz w:val="22"/>
          <w:szCs w:val="22"/>
          <w:lang w:val="es-ES" w:eastAsia="es-ES"/>
        </w:rPr>
        <w:t>J</w:t>
      </w:r>
      <w:r w:rsidR="00861CD1">
        <w:rPr>
          <w:rFonts w:ascii="Verdana" w:hAnsi="Verdana" w:cs="Verdana"/>
          <w:b/>
          <w:bCs/>
          <w:sz w:val="22"/>
          <w:szCs w:val="22"/>
          <w:lang w:val="es-ES" w:eastAsia="es-ES"/>
        </w:rPr>
        <w:t>.A.Q.C.</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861CD1">
        <w:rPr>
          <w:rFonts w:ascii="Verdana" w:hAnsi="Verdana" w:cs="Verdana"/>
          <w:sz w:val="22"/>
          <w:szCs w:val="22"/>
          <w:lang w:val="es-ES" w:eastAsia="es-ES"/>
        </w:rPr>
        <w:t>…</w:t>
      </w:r>
      <w:r>
        <w:rPr>
          <w:rFonts w:ascii="Verdana" w:hAnsi="Verdana" w:cs="Verdana"/>
          <w:sz w:val="22"/>
          <w:szCs w:val="22"/>
          <w:lang w:val="es-ES" w:eastAsia="es-ES"/>
        </w:rPr>
        <w:t xml:space="preserve">, contra el artículo 7.2, de la Sesión Ordinaria 43-2013 de 26 </w:t>
      </w:r>
      <w:r>
        <w:rPr>
          <w:rFonts w:ascii="Verdana" w:hAnsi="Verdana" w:cs="Verdana"/>
          <w:sz w:val="22"/>
          <w:szCs w:val="22"/>
          <w:lang w:val="es-ES" w:eastAsia="es-ES"/>
        </w:rPr>
        <w:t>de junio de 2013, dictado por la JUNTA DIRECTIVA DEL CONSEJO DE TRANSPORTE PÚBLICO.</w:t>
      </w:r>
    </w:p>
    <w:p w:rsidR="00861CD1" w:rsidRDefault="005B28A9" w:rsidP="00861CD1">
      <w:pPr>
        <w:kinsoku w:val="0"/>
        <w:overflowPunct w:val="0"/>
        <w:autoSpaceDE/>
        <w:autoSpaceDN/>
        <w:adjustRightInd/>
        <w:spacing w:before="285" w:after="648" w:line="277" w:lineRule="exact"/>
        <w:ind w:right="288"/>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II.- </w:t>
      </w: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2"/>
          <w:szCs w:val="22"/>
          <w:lang w:val="es-ES" w:eastAsia="es-ES"/>
        </w:rPr>
        <w:t>tiene por agotada la vía administr</w:t>
      </w:r>
      <w:r>
        <w:rPr>
          <w:rFonts w:ascii="Verdana" w:hAnsi="Verdana" w:cs="Verdana"/>
          <w:i/>
          <w:iCs/>
          <w:sz w:val="22"/>
          <w:szCs w:val="22"/>
          <w:lang w:val="es-ES" w:eastAsia="es-ES"/>
        </w:rPr>
        <w:t xml:space="preserve">ativa. </w:t>
      </w:r>
      <w:r>
        <w:rPr>
          <w:rFonts w:ascii="Verdana" w:hAnsi="Verdana" w:cs="Verdana"/>
          <w:b/>
          <w:bCs/>
          <w:sz w:val="22"/>
          <w:szCs w:val="22"/>
          <w:lang w:val="es-ES" w:eastAsia="es-ES"/>
        </w:rPr>
        <w:t>NOTIFIQUESE.</w:t>
      </w:r>
    </w:p>
    <w:p w:rsidR="00861CD1" w:rsidRPr="00861CD1" w:rsidRDefault="00861CD1" w:rsidP="00861CD1">
      <w:pPr>
        <w:kinsoku w:val="0"/>
        <w:overflowPunct w:val="0"/>
        <w:autoSpaceDE/>
        <w:autoSpaceDN/>
        <w:adjustRightInd/>
        <w:spacing w:before="329" w:after="374" w:line="320" w:lineRule="exact"/>
        <w:ind w:left="142" w:right="72"/>
        <w:jc w:val="center"/>
        <w:textAlignment w:val="baseline"/>
        <w:rPr>
          <w:rStyle w:val="CharacterStyle1"/>
          <w:bCs/>
          <w:sz w:val="24"/>
          <w:szCs w:val="24"/>
          <w:lang w:val="es-ES" w:eastAsia="es-ES"/>
        </w:rPr>
      </w:pPr>
      <w:r w:rsidRPr="00861CD1">
        <w:rPr>
          <w:rStyle w:val="CharacterStyle1"/>
          <w:i/>
          <w:iCs/>
          <w:spacing w:val="5"/>
          <w:sz w:val="26"/>
          <w:szCs w:val="26"/>
        </w:rPr>
        <w:t>Lic. Carlos Miguel Portuguez Méndez</w:t>
      </w:r>
    </w:p>
    <w:p w:rsidR="00861CD1" w:rsidRPr="00233E71" w:rsidRDefault="00861CD1" w:rsidP="00861CD1">
      <w:pPr>
        <w:pStyle w:val="Style1"/>
        <w:kinsoku w:val="0"/>
        <w:overflowPunct w:val="0"/>
        <w:autoSpaceDE/>
        <w:autoSpaceDN/>
        <w:adjustRightInd/>
        <w:spacing w:before="204" w:after="301" w:line="288" w:lineRule="exact"/>
        <w:jc w:val="center"/>
        <w:textAlignment w:val="baseline"/>
        <w:rPr>
          <w:rStyle w:val="CharacterStyle1"/>
          <w:b/>
          <w:i/>
          <w:iCs/>
          <w:spacing w:val="5"/>
          <w:sz w:val="26"/>
          <w:szCs w:val="26"/>
        </w:rPr>
      </w:pPr>
      <w:r w:rsidRPr="00233E71">
        <w:rPr>
          <w:rStyle w:val="CharacterStyle1"/>
          <w:b/>
          <w:i/>
          <w:iCs/>
          <w:spacing w:val="5"/>
          <w:sz w:val="26"/>
          <w:szCs w:val="26"/>
        </w:rPr>
        <w:t xml:space="preserve">Presidente </w:t>
      </w:r>
    </w:p>
    <w:p w:rsidR="00861CD1" w:rsidRPr="00233E71" w:rsidRDefault="00861CD1" w:rsidP="00861CD1">
      <w:pPr>
        <w:tabs>
          <w:tab w:val="left" w:pos="720"/>
        </w:tabs>
        <w:kinsoku w:val="0"/>
        <w:overflowPunct w:val="0"/>
        <w:autoSpaceDE/>
        <w:autoSpaceDN/>
        <w:adjustRightInd/>
        <w:spacing w:line="523" w:lineRule="exact"/>
        <w:jc w:val="center"/>
        <w:textAlignment w:val="baseline"/>
        <w:rPr>
          <w:b/>
          <w:bCs/>
          <w:sz w:val="25"/>
          <w:szCs w:val="25"/>
          <w:lang w:val="es-ES" w:eastAsia="es-ES"/>
        </w:rPr>
      </w:pPr>
      <w:proofErr w:type="spellStart"/>
      <w:proofErr w:type="gramStart"/>
      <w:r w:rsidRPr="00861CD1">
        <w:rPr>
          <w:rStyle w:val="CharacterStyle1"/>
          <w:i/>
          <w:iCs/>
          <w:spacing w:val="5"/>
          <w:sz w:val="26"/>
          <w:szCs w:val="26"/>
        </w:rPr>
        <w:t>Licda</w:t>
      </w:r>
      <w:proofErr w:type="spellEnd"/>
      <w:r w:rsidRPr="00861CD1">
        <w:rPr>
          <w:rStyle w:val="CharacterStyle1"/>
          <w:i/>
          <w:iCs/>
          <w:spacing w:val="5"/>
          <w:sz w:val="26"/>
          <w:szCs w:val="26"/>
        </w:rPr>
        <w:t>.</w:t>
      </w:r>
      <w:proofErr w:type="gramEnd"/>
      <w:r w:rsidRPr="00861CD1">
        <w:rPr>
          <w:rStyle w:val="CharacterStyle1"/>
          <w:i/>
          <w:iCs/>
          <w:spacing w:val="5"/>
          <w:sz w:val="26"/>
          <w:szCs w:val="26"/>
        </w:rPr>
        <w:t xml:space="preserve"> </w:t>
      </w:r>
      <w:proofErr w:type="gramStart"/>
      <w:r w:rsidRPr="00861CD1">
        <w:rPr>
          <w:rStyle w:val="CharacterStyle1"/>
          <w:i/>
          <w:iCs/>
          <w:spacing w:val="5"/>
          <w:sz w:val="26"/>
          <w:szCs w:val="26"/>
        </w:rPr>
        <w:t xml:space="preserve">Marta Luz </w:t>
      </w:r>
      <w:proofErr w:type="spellStart"/>
      <w:r w:rsidRPr="00861CD1">
        <w:rPr>
          <w:rStyle w:val="CharacterStyle1"/>
          <w:i/>
          <w:iCs/>
          <w:spacing w:val="5"/>
          <w:sz w:val="26"/>
          <w:szCs w:val="26"/>
        </w:rPr>
        <w:t>Pérez</w:t>
      </w:r>
      <w:proofErr w:type="spellEnd"/>
      <w:r w:rsidRPr="00861CD1">
        <w:rPr>
          <w:rStyle w:val="CharacterStyle1"/>
          <w:i/>
          <w:iCs/>
          <w:spacing w:val="5"/>
          <w:sz w:val="26"/>
          <w:szCs w:val="26"/>
        </w:rPr>
        <w:t xml:space="preserve"> </w:t>
      </w:r>
      <w:proofErr w:type="spellStart"/>
      <w:r w:rsidRPr="00861CD1">
        <w:rPr>
          <w:rStyle w:val="CharacterStyle1"/>
          <w:i/>
          <w:iCs/>
          <w:spacing w:val="5"/>
          <w:sz w:val="26"/>
          <w:szCs w:val="26"/>
        </w:rPr>
        <w:t>Peláez</w:t>
      </w:r>
      <w:proofErr w:type="spellEnd"/>
      <w:r w:rsidRPr="00861CD1">
        <w:rPr>
          <w:rStyle w:val="CharacterStyle1"/>
          <w:i/>
          <w:iCs/>
          <w:spacing w:val="5"/>
          <w:sz w:val="26"/>
          <w:szCs w:val="26"/>
        </w:rPr>
        <w:t xml:space="preserve">       Lic.</w:t>
      </w:r>
      <w:proofErr w:type="gramEnd"/>
      <w:r w:rsidRPr="00861CD1">
        <w:rPr>
          <w:rStyle w:val="CharacterStyle1"/>
          <w:i/>
          <w:iCs/>
          <w:spacing w:val="5"/>
          <w:sz w:val="26"/>
          <w:szCs w:val="26"/>
        </w:rPr>
        <w:t xml:space="preserve"> Mario Quesada Aguirre</w:t>
      </w:r>
      <w:r w:rsidRPr="00233E71">
        <w:rPr>
          <w:rStyle w:val="CharacterStyle1"/>
          <w:b/>
          <w:i/>
          <w:iCs/>
          <w:spacing w:val="5"/>
          <w:sz w:val="26"/>
          <w:szCs w:val="26"/>
        </w:rPr>
        <w:tab/>
        <w:t xml:space="preserve">                             </w:t>
      </w:r>
      <w:proofErr w:type="spellStart"/>
      <w:r>
        <w:rPr>
          <w:rStyle w:val="CharacterStyle1"/>
          <w:b/>
          <w:i/>
          <w:iCs/>
          <w:spacing w:val="5"/>
          <w:sz w:val="26"/>
          <w:szCs w:val="26"/>
        </w:rPr>
        <w:t>Juez</w:t>
      </w:r>
      <w:proofErr w:type="spellEnd"/>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000000" w:rsidRDefault="00861CD1" w:rsidP="00861CD1">
      <w:pPr>
        <w:kinsoku w:val="0"/>
        <w:overflowPunct w:val="0"/>
        <w:autoSpaceDE/>
        <w:autoSpaceDN/>
        <w:adjustRightInd/>
        <w:spacing w:before="285" w:after="648" w:line="277" w:lineRule="exact"/>
        <w:ind w:right="288"/>
        <w:jc w:val="both"/>
        <w:textAlignment w:val="baseline"/>
        <w:rPr>
          <w:sz w:val="24"/>
          <w:szCs w:val="24"/>
        </w:rPr>
      </w:pPr>
      <w:r>
        <w:rPr>
          <w:sz w:val="24"/>
          <w:szCs w:val="24"/>
        </w:rPr>
        <w:t xml:space="preserve"> </w:t>
      </w:r>
    </w:p>
    <w:p w:rsidR="00000000" w:rsidRDefault="005B28A9">
      <w:pPr>
        <w:widowControl/>
        <w:rPr>
          <w:sz w:val="24"/>
          <w:szCs w:val="24"/>
        </w:rPr>
        <w:sectPr w:rsidR="00000000">
          <w:pgSz w:w="12134" w:h="15840"/>
          <w:pgMar w:top="1320" w:right="1697" w:bottom="210" w:left="2117" w:header="720" w:footer="720" w:gutter="0"/>
          <w:cols w:space="720"/>
          <w:noEndnote/>
        </w:sectPr>
      </w:pPr>
    </w:p>
    <w:p w:rsidR="005B28A9" w:rsidRDefault="005B28A9" w:rsidP="00861CD1">
      <w:pPr>
        <w:kinsoku w:val="0"/>
        <w:overflowPunct w:val="0"/>
        <w:autoSpaceDE/>
        <w:autoSpaceDN/>
        <w:adjustRightInd/>
        <w:spacing w:line="281" w:lineRule="exact"/>
        <w:ind w:left="72"/>
        <w:textAlignment w:val="baseline"/>
        <w:rPr>
          <w:sz w:val="22"/>
          <w:szCs w:val="22"/>
          <w:lang w:val="es-ES" w:eastAsia="es-ES"/>
        </w:rPr>
      </w:pPr>
    </w:p>
    <w:sectPr w:rsidR="005B28A9">
      <w:type w:val="continuous"/>
      <w:pgSz w:w="12134" w:h="15840"/>
      <w:pgMar w:top="1320" w:right="1895" w:bottom="210" w:left="735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AC3"/>
    <w:multiLevelType w:val="singleLevel"/>
    <w:tmpl w:val="5B62FC28"/>
    <w:lvl w:ilvl="0">
      <w:start w:val="1"/>
      <w:numFmt w:val="decimal"/>
      <w:lvlText w:val="%1."/>
      <w:lvlJc w:val="left"/>
      <w:pPr>
        <w:tabs>
          <w:tab w:val="num" w:pos="576"/>
        </w:tabs>
        <w:ind w:left="288"/>
      </w:pPr>
      <w:rPr>
        <w:rFonts w:ascii="Verdana" w:hAnsi="Verdana" w:cs="Verdana"/>
        <w:i/>
        <w:iCs/>
        <w:snapToGrid/>
        <w:spacing w:val="-1"/>
        <w:sz w:val="15"/>
        <w:szCs w:val="15"/>
      </w:rPr>
    </w:lvl>
  </w:abstractNum>
  <w:abstractNum w:abstractNumId="1">
    <w:nsid w:val="038DCD5F"/>
    <w:multiLevelType w:val="singleLevel"/>
    <w:tmpl w:val="790DDE5F"/>
    <w:lvl w:ilvl="0">
      <w:start w:val="1"/>
      <w:numFmt w:val="lowerLetter"/>
      <w:lvlText w:val="%1)"/>
      <w:lvlJc w:val="left"/>
      <w:pPr>
        <w:tabs>
          <w:tab w:val="num" w:pos="792"/>
        </w:tabs>
        <w:ind w:left="576"/>
      </w:pPr>
      <w:rPr>
        <w:rFonts w:ascii="Verdana" w:hAnsi="Verdana" w:cs="Verdana"/>
        <w:i/>
        <w:iCs/>
        <w:snapToGrid/>
        <w:sz w:val="17"/>
        <w:szCs w:val="17"/>
      </w:rPr>
    </w:lvl>
  </w:abstractNum>
  <w:abstractNum w:abstractNumId="2">
    <w:nsid w:val="03B12E20"/>
    <w:multiLevelType w:val="singleLevel"/>
    <w:tmpl w:val="24B1551A"/>
    <w:lvl w:ilvl="0">
      <w:start w:val="1"/>
      <w:numFmt w:val="lowerLetter"/>
      <w:lvlText w:val="%1.)-"/>
      <w:lvlJc w:val="left"/>
      <w:pPr>
        <w:tabs>
          <w:tab w:val="num" w:pos="576"/>
        </w:tabs>
        <w:ind w:left="72"/>
      </w:pPr>
      <w:rPr>
        <w:rFonts w:ascii="Verdana" w:hAnsi="Verdana" w:cs="Verdana"/>
        <w:snapToGrid/>
        <w:spacing w:val="3"/>
        <w:sz w:val="22"/>
        <w:szCs w:val="22"/>
      </w:rPr>
    </w:lvl>
  </w:abstractNum>
  <w:abstractNum w:abstractNumId="3">
    <w:nsid w:val="03F646D8"/>
    <w:multiLevelType w:val="singleLevel"/>
    <w:tmpl w:val="141ED526"/>
    <w:lvl w:ilvl="0">
      <w:numFmt w:val="bullet"/>
      <w:lvlText w:val="q"/>
      <w:lvlJc w:val="left"/>
      <w:pPr>
        <w:tabs>
          <w:tab w:val="num" w:pos="1008"/>
        </w:tabs>
        <w:ind w:left="864"/>
      </w:pPr>
      <w:rPr>
        <w:rFonts w:ascii="Wingdings" w:hAnsi="Wingdings" w:cs="Wingdings"/>
        <w:i/>
        <w:iCs/>
        <w:snapToGrid/>
        <w:sz w:val="15"/>
        <w:szCs w:val="15"/>
      </w:rPr>
    </w:lvl>
  </w:abstractNum>
  <w:abstractNum w:abstractNumId="4">
    <w:nsid w:val="045ADB97"/>
    <w:multiLevelType w:val="singleLevel"/>
    <w:tmpl w:val="4AEEF95F"/>
    <w:lvl w:ilvl="0">
      <w:start w:val="1"/>
      <w:numFmt w:val="decimal"/>
      <w:lvlText w:val="%1.-"/>
      <w:lvlJc w:val="left"/>
      <w:pPr>
        <w:tabs>
          <w:tab w:val="num" w:pos="432"/>
        </w:tabs>
        <w:ind w:left="72"/>
      </w:pPr>
      <w:rPr>
        <w:rFonts w:ascii="Verdana" w:hAnsi="Verdana" w:cs="Verdana"/>
        <w:b/>
        <w:bCs/>
        <w:snapToGrid/>
        <w:spacing w:val="-5"/>
        <w:sz w:val="22"/>
        <w:szCs w:val="22"/>
      </w:rPr>
    </w:lvl>
  </w:abstractNum>
  <w:abstractNum w:abstractNumId="5">
    <w:nsid w:val="04B0559F"/>
    <w:multiLevelType w:val="singleLevel"/>
    <w:tmpl w:val="1DAD034D"/>
    <w:lvl w:ilvl="0">
      <w:start w:val="10"/>
      <w:numFmt w:val="lowerLetter"/>
      <w:lvlText w:val="%1)"/>
      <w:lvlJc w:val="left"/>
      <w:pPr>
        <w:tabs>
          <w:tab w:val="num" w:pos="648"/>
        </w:tabs>
        <w:ind w:left="360"/>
      </w:pPr>
      <w:rPr>
        <w:rFonts w:ascii="Verdana" w:hAnsi="Verdana" w:cs="Verdana"/>
        <w:i/>
        <w:iCs/>
        <w:snapToGrid/>
        <w:spacing w:val="9"/>
        <w:sz w:val="15"/>
        <w:szCs w:val="15"/>
      </w:rPr>
    </w:lvl>
  </w:abstractNum>
  <w:abstractNum w:abstractNumId="6">
    <w:nsid w:val="05B38EE2"/>
    <w:multiLevelType w:val="singleLevel"/>
    <w:tmpl w:val="02DA49D7"/>
    <w:lvl w:ilvl="0">
      <w:start w:val="4"/>
      <w:numFmt w:val="decimal"/>
      <w:lvlText w:val="%1.-"/>
      <w:lvlJc w:val="left"/>
      <w:pPr>
        <w:tabs>
          <w:tab w:val="num" w:pos="432"/>
        </w:tabs>
        <w:ind w:left="72"/>
      </w:pPr>
      <w:rPr>
        <w:rFonts w:ascii="Verdana" w:hAnsi="Verdana" w:cs="Verdana"/>
        <w:b/>
        <w:bCs/>
        <w:snapToGrid/>
        <w:spacing w:val="5"/>
        <w:sz w:val="22"/>
        <w:szCs w:val="22"/>
      </w:rPr>
    </w:lvl>
  </w:abstractNum>
  <w:num w:numId="1">
    <w:abstractNumId w:val="3"/>
  </w:num>
  <w:num w:numId="2">
    <w:abstractNumId w:val="3"/>
    <w:lvlOverride w:ilvl="0">
      <w:lvl w:ilvl="0">
        <w:numFmt w:val="bullet"/>
        <w:lvlText w:val="q"/>
        <w:lvlJc w:val="left"/>
        <w:pPr>
          <w:tabs>
            <w:tab w:val="num" w:pos="864"/>
          </w:tabs>
          <w:ind w:left="864"/>
        </w:pPr>
        <w:rPr>
          <w:rFonts w:ascii="Wingdings" w:hAnsi="Wingdings" w:cs="Wingdings"/>
          <w:i/>
          <w:iCs/>
          <w:snapToGrid/>
          <w:spacing w:val="1"/>
          <w:sz w:val="15"/>
          <w:szCs w:val="15"/>
        </w:rPr>
      </w:lvl>
    </w:lvlOverride>
  </w:num>
  <w:num w:numId="3">
    <w:abstractNumId w:val="3"/>
    <w:lvlOverride w:ilvl="0">
      <w:lvl w:ilvl="0">
        <w:numFmt w:val="bullet"/>
        <w:lvlText w:val="q"/>
        <w:lvlJc w:val="left"/>
        <w:pPr>
          <w:tabs>
            <w:tab w:val="num" w:pos="720"/>
          </w:tabs>
          <w:ind w:left="576"/>
        </w:pPr>
        <w:rPr>
          <w:rFonts w:ascii="Wingdings" w:hAnsi="Wingdings" w:cs="Wingdings"/>
          <w:i/>
          <w:iCs/>
          <w:snapToGrid/>
          <w:spacing w:val="-2"/>
          <w:sz w:val="15"/>
          <w:szCs w:val="15"/>
        </w:rPr>
      </w:lvl>
    </w:lvlOverride>
  </w:num>
  <w:num w:numId="4">
    <w:abstractNumId w:val="0"/>
  </w:num>
  <w:num w:numId="5">
    <w:abstractNumId w:val="2"/>
  </w:num>
  <w:num w:numId="6">
    <w:abstractNumId w:val="4"/>
  </w:num>
  <w:num w:numId="7">
    <w:abstractNumId w:val="4"/>
    <w:lvlOverride w:ilvl="0">
      <w:lvl w:ilvl="0">
        <w:numFmt w:val="decimal"/>
        <w:lvlText w:val="%1.-"/>
        <w:lvlJc w:val="left"/>
        <w:pPr>
          <w:tabs>
            <w:tab w:val="num" w:pos="576"/>
          </w:tabs>
          <w:ind w:left="72"/>
        </w:pPr>
        <w:rPr>
          <w:rFonts w:ascii="Verdana" w:hAnsi="Verdana" w:cs="Verdana"/>
          <w:b/>
          <w:bCs/>
          <w:snapToGrid/>
          <w:sz w:val="22"/>
          <w:szCs w:val="22"/>
        </w:rPr>
      </w:lvl>
    </w:lvlOverride>
  </w:num>
  <w:num w:numId="8">
    <w:abstractNumId w:val="6"/>
  </w:num>
  <w:num w:numId="9">
    <w:abstractNumId w:val="1"/>
  </w:num>
  <w:num w:numId="10">
    <w:abstractNumId w:val="1"/>
    <w:lvlOverride w:ilvl="0">
      <w:lvl w:ilvl="0">
        <w:numFmt w:val="lowerLetter"/>
        <w:lvlText w:val="%1)"/>
        <w:lvlJc w:val="left"/>
        <w:pPr>
          <w:tabs>
            <w:tab w:val="num" w:pos="792"/>
          </w:tabs>
          <w:ind w:left="576"/>
        </w:pPr>
        <w:rPr>
          <w:rFonts w:ascii="Verdana" w:hAnsi="Verdana" w:cs="Verdana"/>
          <w:b/>
          <w:bCs/>
          <w:i/>
          <w:iCs/>
          <w:snapToGrid/>
          <w:sz w:val="17"/>
          <w:szCs w:val="17"/>
          <w:u w:val="single"/>
        </w:rPr>
      </w:lvl>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5022C"/>
    <w:rsid w:val="005B28A9"/>
    <w:rsid w:val="00861CD1"/>
    <w:rsid w:val="00A5022C"/>
    <w:rsid w:val="00C118D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61CD1"/>
    <w:rPr>
      <w:lang w:val="es-CR"/>
    </w:rPr>
  </w:style>
  <w:style w:type="character" w:customStyle="1" w:styleId="CharacterStyle1">
    <w:name w:val="Character Style 1"/>
    <w:uiPriority w:val="99"/>
    <w:rsid w:val="00861CD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5721</Words>
  <Characters>31467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2016-01-28T17:18:00Z</dcterms:created>
  <dcterms:modified xsi:type="dcterms:W3CDTF">2016-01-28T17:18:00Z</dcterms:modified>
</cp:coreProperties>
</file>