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6EBF">
      <w:pPr>
        <w:kinsoku w:val="0"/>
        <w:overflowPunct w:val="0"/>
        <w:autoSpaceDE/>
        <w:autoSpaceDN/>
        <w:adjustRightInd/>
        <w:spacing w:line="285" w:lineRule="exact"/>
        <w:ind w:left="72" w:right="72"/>
        <w:jc w:val="center"/>
        <w:textAlignment w:val="baseline"/>
        <w:rPr>
          <w:rFonts w:ascii="Verdana" w:hAnsi="Verdana" w:cs="Verdana"/>
          <w:b/>
          <w:bCs/>
          <w:spacing w:val="2"/>
          <w:sz w:val="24"/>
          <w:szCs w:val="24"/>
        </w:rPr>
      </w:pPr>
      <w:r>
        <w:rPr>
          <w:rFonts w:ascii="Verdana" w:hAnsi="Verdana" w:cs="Verdana"/>
          <w:b/>
          <w:bCs/>
          <w:spacing w:val="2"/>
          <w:sz w:val="24"/>
          <w:szCs w:val="24"/>
        </w:rPr>
        <w:t>RESOLUCION No. TAT-2519-2015</w:t>
      </w:r>
    </w:p>
    <w:p w:rsidR="00000000" w:rsidRDefault="00EE6EBF">
      <w:pPr>
        <w:kinsoku w:val="0"/>
        <w:overflowPunct w:val="0"/>
        <w:autoSpaceDE/>
        <w:autoSpaceDN/>
        <w:adjustRightInd/>
        <w:spacing w:before="353" w:line="298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TRIBUNAL ADMINISTRATIVO DE TRANSPORTE. </w:t>
      </w:r>
      <w:r>
        <w:rPr>
          <w:rFonts w:ascii="Verdana" w:hAnsi="Verdana" w:cs="Verdana"/>
          <w:sz w:val="24"/>
          <w:szCs w:val="24"/>
        </w:rPr>
        <w:t xml:space="preserve">San </w:t>
      </w:r>
      <w:r w:rsidR="00AE678E">
        <w:rPr>
          <w:rFonts w:ascii="Verdana" w:hAnsi="Verdana" w:cs="Verdana"/>
          <w:sz w:val="24"/>
          <w:szCs w:val="24"/>
        </w:rPr>
        <w:t>José</w:t>
      </w:r>
      <w:r>
        <w:rPr>
          <w:rFonts w:ascii="Verdana" w:hAnsi="Verdana" w:cs="Verdana"/>
          <w:sz w:val="24"/>
          <w:szCs w:val="24"/>
        </w:rPr>
        <w:t>, a las diez horas cincuenta y tres minutos del veintisiete de marzo de dos mil quince.</w:t>
      </w:r>
    </w:p>
    <w:p w:rsidR="00000000" w:rsidRDefault="00EE6EBF">
      <w:pPr>
        <w:kinsoku w:val="0"/>
        <w:overflowPunct w:val="0"/>
        <w:autoSpaceDE/>
        <w:autoSpaceDN/>
        <w:adjustRightInd/>
        <w:spacing w:before="324" w:line="292" w:lineRule="exact"/>
        <w:ind w:left="72" w:right="72"/>
        <w:jc w:val="both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RECURSO DE APELACI</w:t>
      </w:r>
      <w:r w:rsidR="00AE678E">
        <w:rPr>
          <w:rFonts w:ascii="Verdana" w:hAnsi="Verdana" w:cs="Verdana"/>
          <w:b/>
          <w:bCs/>
          <w:sz w:val="19"/>
          <w:szCs w:val="19"/>
        </w:rPr>
        <w:t>Ó</w:t>
      </w:r>
      <w:r>
        <w:rPr>
          <w:rFonts w:ascii="Verdana" w:hAnsi="Verdana" w:cs="Verdana"/>
          <w:b/>
          <w:bCs/>
          <w:sz w:val="19"/>
          <w:szCs w:val="19"/>
        </w:rPr>
        <w:t xml:space="preserve">N EN SUBSIDIO </w:t>
      </w:r>
      <w:r>
        <w:rPr>
          <w:rFonts w:ascii="Garamond" w:hAnsi="Garamond" w:cs="Garamond"/>
          <w:b/>
          <w:bCs/>
          <w:sz w:val="18"/>
          <w:szCs w:val="18"/>
        </w:rPr>
        <w:t xml:space="preserve">Y </w:t>
      </w:r>
      <w:r>
        <w:rPr>
          <w:rFonts w:ascii="Verdana" w:hAnsi="Verdana" w:cs="Verdana"/>
          <w:b/>
          <w:bCs/>
          <w:sz w:val="19"/>
          <w:szCs w:val="19"/>
        </w:rPr>
        <w:t xml:space="preserve">NULIDAD CONCOMITANTE </w:t>
      </w:r>
      <w:r>
        <w:rPr>
          <w:rFonts w:ascii="Garamond" w:hAnsi="Garamond" w:cs="Garamond"/>
          <w:b/>
          <w:bCs/>
          <w:sz w:val="18"/>
          <w:szCs w:val="18"/>
        </w:rPr>
        <w:t xml:space="preserve">Y </w:t>
      </w:r>
      <w:r>
        <w:rPr>
          <w:rFonts w:ascii="Verdana" w:hAnsi="Verdana" w:cs="Verdana"/>
          <w:b/>
          <w:bCs/>
          <w:sz w:val="19"/>
          <w:szCs w:val="19"/>
        </w:rPr>
        <w:t xml:space="preserve">RECURSO EXTRAORDINARIO DE REVISION POR ACTIVIDAD DEFECTUOSA INTERPUESTO </w:t>
      </w:r>
      <w:r w:rsidR="00AE678E">
        <w:rPr>
          <w:rFonts w:ascii="Verdana" w:hAnsi="Verdana" w:cs="Verdana"/>
          <w:sz w:val="24"/>
          <w:szCs w:val="24"/>
        </w:rPr>
        <w:t>por l</w:t>
      </w:r>
      <w:r>
        <w:rPr>
          <w:rFonts w:ascii="Verdana" w:hAnsi="Verdana" w:cs="Verdana"/>
          <w:sz w:val="24"/>
          <w:szCs w:val="24"/>
        </w:rPr>
        <w:t xml:space="preserve">a empresa </w:t>
      </w:r>
      <w:r>
        <w:rPr>
          <w:rFonts w:ascii="Verdana" w:hAnsi="Verdana" w:cs="Verdana"/>
          <w:b/>
          <w:bCs/>
          <w:sz w:val="24"/>
          <w:szCs w:val="24"/>
        </w:rPr>
        <w:t>T</w:t>
      </w:r>
      <w:r w:rsidR="00AE678E">
        <w:rPr>
          <w:rFonts w:ascii="Verdana" w:hAnsi="Verdana" w:cs="Verdana"/>
          <w:b/>
          <w:bCs/>
          <w:sz w:val="24"/>
          <w:szCs w:val="24"/>
        </w:rPr>
        <w:t>.T.V.S.A.,</w:t>
      </w:r>
      <w:r>
        <w:rPr>
          <w:rFonts w:ascii="Verdana" w:hAnsi="Verdana" w:cs="Verdana"/>
          <w:b/>
          <w:bCs/>
          <w:sz w:val="24"/>
          <w:szCs w:val="24"/>
        </w:rPr>
        <w:t xml:space="preserve"> c</w:t>
      </w:r>
      <w:r w:rsidR="00AE678E">
        <w:rPr>
          <w:rFonts w:ascii="Verdana" w:hAnsi="Verdana" w:cs="Verdana"/>
          <w:b/>
          <w:bCs/>
          <w:sz w:val="24"/>
          <w:szCs w:val="24"/>
        </w:rPr>
        <w:t>é</w:t>
      </w:r>
      <w:r>
        <w:rPr>
          <w:rFonts w:ascii="Verdana" w:hAnsi="Verdana" w:cs="Verdana"/>
          <w:b/>
          <w:bCs/>
          <w:sz w:val="24"/>
          <w:szCs w:val="24"/>
        </w:rPr>
        <w:t>dula jur</w:t>
      </w:r>
      <w:r w:rsidR="00AE678E">
        <w:rPr>
          <w:rFonts w:ascii="Verdana" w:hAnsi="Verdana" w:cs="Verdana"/>
          <w:b/>
          <w:bCs/>
          <w:sz w:val="24"/>
          <w:szCs w:val="24"/>
        </w:rPr>
        <w:t>í</w:t>
      </w:r>
      <w:r>
        <w:rPr>
          <w:rFonts w:ascii="Verdana" w:hAnsi="Verdana" w:cs="Verdana"/>
          <w:b/>
          <w:bCs/>
          <w:sz w:val="24"/>
          <w:szCs w:val="24"/>
        </w:rPr>
        <w:t>dica n</w:t>
      </w:r>
      <w:r w:rsidR="00AE678E">
        <w:rPr>
          <w:rFonts w:ascii="Verdana" w:hAnsi="Verdana" w:cs="Verdana"/>
          <w:b/>
          <w:bCs/>
          <w:sz w:val="24"/>
          <w:szCs w:val="24"/>
        </w:rPr>
        <w:t>ú</w:t>
      </w:r>
      <w:r>
        <w:rPr>
          <w:rFonts w:ascii="Verdana" w:hAnsi="Verdana" w:cs="Verdana"/>
          <w:b/>
          <w:bCs/>
          <w:sz w:val="24"/>
          <w:szCs w:val="24"/>
        </w:rPr>
        <w:t xml:space="preserve">mero </w:t>
      </w:r>
      <w:r w:rsidR="00AE678E">
        <w:rPr>
          <w:rFonts w:ascii="Verdana" w:hAnsi="Verdana" w:cs="Verdana"/>
          <w:b/>
          <w:bCs/>
          <w:sz w:val="24"/>
          <w:szCs w:val="24"/>
        </w:rPr>
        <w:t>…</w:t>
      </w:r>
      <w:r>
        <w:rPr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 xml:space="preserve">por medio de su Apoderado </w:t>
      </w:r>
      <w:r w:rsidR="00AE678E">
        <w:rPr>
          <w:rFonts w:ascii="Verdana" w:hAnsi="Verdana" w:cs="Verdana"/>
          <w:sz w:val="24"/>
          <w:szCs w:val="24"/>
        </w:rPr>
        <w:t>Generalísimo</w:t>
      </w:r>
      <w:r>
        <w:rPr>
          <w:rFonts w:ascii="Verdana" w:hAnsi="Verdana" w:cs="Verdana"/>
          <w:sz w:val="24"/>
          <w:szCs w:val="24"/>
        </w:rPr>
        <w:t xml:space="preserve"> sin </w:t>
      </w:r>
      <w:r w:rsidR="00AE678E">
        <w:rPr>
          <w:rFonts w:ascii="Verdana" w:hAnsi="Verdana" w:cs="Verdana"/>
          <w:sz w:val="24"/>
          <w:szCs w:val="24"/>
        </w:rPr>
        <w:t>Límite</w:t>
      </w:r>
      <w:r>
        <w:rPr>
          <w:rFonts w:ascii="Verdana" w:hAnsi="Verdana" w:cs="Verdana"/>
          <w:sz w:val="24"/>
          <w:szCs w:val="24"/>
        </w:rPr>
        <w:t xml:space="preserve"> de suma </w:t>
      </w:r>
      <w:r w:rsidR="00AE678E">
        <w:rPr>
          <w:rFonts w:ascii="Verdana" w:hAnsi="Verdana" w:cs="Verdana"/>
          <w:sz w:val="24"/>
          <w:szCs w:val="24"/>
        </w:rPr>
        <w:t>señor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I</w:t>
      </w:r>
      <w:r w:rsidR="00AE678E">
        <w:rPr>
          <w:rFonts w:ascii="Verdana" w:hAnsi="Verdana" w:cs="Verdana"/>
          <w:b/>
          <w:bCs/>
          <w:sz w:val="24"/>
          <w:szCs w:val="24"/>
        </w:rPr>
        <w:t>.R.C.</w:t>
      </w:r>
      <w:r>
        <w:rPr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>c</w:t>
      </w:r>
      <w:r w:rsidR="00AE678E">
        <w:rPr>
          <w:rFonts w:ascii="Verdana" w:hAnsi="Verdana" w:cs="Verdana"/>
          <w:sz w:val="24"/>
          <w:szCs w:val="24"/>
        </w:rPr>
        <w:t>é</w:t>
      </w:r>
      <w:r>
        <w:rPr>
          <w:rFonts w:ascii="Verdana" w:hAnsi="Verdana" w:cs="Verdana"/>
          <w:sz w:val="24"/>
          <w:szCs w:val="24"/>
        </w:rPr>
        <w:t>dula de identidad n</w:t>
      </w:r>
      <w:r w:rsidR="00AE678E">
        <w:rPr>
          <w:rFonts w:ascii="Verdana" w:hAnsi="Verdana" w:cs="Verdana"/>
          <w:sz w:val="24"/>
          <w:szCs w:val="24"/>
        </w:rPr>
        <w:t>ú</w:t>
      </w:r>
      <w:r>
        <w:rPr>
          <w:rFonts w:ascii="Verdana" w:hAnsi="Verdana" w:cs="Verdana"/>
          <w:sz w:val="24"/>
          <w:szCs w:val="24"/>
        </w:rPr>
        <w:t xml:space="preserve">mero </w:t>
      </w:r>
      <w:r w:rsidR="00AE678E">
        <w:rPr>
          <w:rFonts w:ascii="Verdana" w:hAnsi="Verdana" w:cs="Verdana"/>
          <w:sz w:val="24"/>
          <w:szCs w:val="24"/>
        </w:rPr>
        <w:t>…</w:t>
      </w:r>
      <w:r>
        <w:rPr>
          <w:rFonts w:ascii="Verdana" w:hAnsi="Verdana" w:cs="Verdana"/>
          <w:sz w:val="24"/>
          <w:szCs w:val="24"/>
        </w:rPr>
        <w:t xml:space="preserve">, </w:t>
      </w:r>
      <w:r>
        <w:rPr>
          <w:rFonts w:ascii="Verdana" w:hAnsi="Verdana" w:cs="Verdana"/>
          <w:b/>
          <w:bCs/>
          <w:sz w:val="24"/>
          <w:szCs w:val="24"/>
        </w:rPr>
        <w:t xml:space="preserve">contra el oficio DE-2013-2252, </w:t>
      </w:r>
      <w:r>
        <w:rPr>
          <w:rFonts w:ascii="Verdana" w:hAnsi="Verdana" w:cs="Verdana"/>
          <w:sz w:val="24"/>
          <w:szCs w:val="24"/>
        </w:rPr>
        <w:t xml:space="preserve">del 30 de julio de 2013, suscrito por el </w:t>
      </w:r>
      <w:r>
        <w:rPr>
          <w:rFonts w:ascii="Verdana" w:hAnsi="Verdana" w:cs="Verdana"/>
          <w:b/>
          <w:bCs/>
          <w:sz w:val="24"/>
          <w:szCs w:val="24"/>
        </w:rPr>
        <w:t>Lic. Lui</w:t>
      </w:r>
      <w:r>
        <w:rPr>
          <w:rFonts w:ascii="Verdana" w:hAnsi="Verdana" w:cs="Verdana"/>
          <w:b/>
          <w:bCs/>
          <w:sz w:val="24"/>
          <w:szCs w:val="24"/>
        </w:rPr>
        <w:t xml:space="preserve">s </w:t>
      </w:r>
      <w:r w:rsidR="00AE678E">
        <w:rPr>
          <w:rFonts w:ascii="Verdana" w:hAnsi="Verdana" w:cs="Verdana"/>
          <w:b/>
          <w:bCs/>
          <w:sz w:val="24"/>
          <w:szCs w:val="24"/>
        </w:rPr>
        <w:t>Echeverría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Monturiol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 xml:space="preserve">Asesor </w:t>
      </w:r>
      <w:r w:rsidR="00AE678E">
        <w:rPr>
          <w:rFonts w:ascii="Verdana" w:hAnsi="Verdana" w:cs="Verdana"/>
          <w:sz w:val="24"/>
          <w:szCs w:val="24"/>
        </w:rPr>
        <w:t>Jurídico</w:t>
      </w:r>
      <w:r>
        <w:rPr>
          <w:rFonts w:ascii="Verdana" w:hAnsi="Verdana" w:cs="Verdana"/>
          <w:sz w:val="24"/>
          <w:szCs w:val="24"/>
        </w:rPr>
        <w:t xml:space="preserve"> de la </w:t>
      </w:r>
      <w:r w:rsidR="00AE678E">
        <w:rPr>
          <w:rFonts w:ascii="Verdana" w:hAnsi="Verdana" w:cs="Verdana"/>
          <w:sz w:val="24"/>
          <w:szCs w:val="24"/>
        </w:rPr>
        <w:t>Dirección</w:t>
      </w:r>
      <w:r>
        <w:rPr>
          <w:rFonts w:ascii="Verdana" w:hAnsi="Verdana" w:cs="Verdana"/>
          <w:sz w:val="24"/>
          <w:szCs w:val="24"/>
        </w:rPr>
        <w:t xml:space="preserve"> Ejecutiva del Consejo de Transporte </w:t>
      </w:r>
      <w:r w:rsidR="00AE678E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. El caso es tramitado en este </w:t>
      </w:r>
      <w:r>
        <w:rPr>
          <w:rFonts w:ascii="Verdana" w:hAnsi="Verdana" w:cs="Verdana"/>
          <w:b/>
          <w:bCs/>
          <w:sz w:val="24"/>
          <w:szCs w:val="24"/>
        </w:rPr>
        <w:t>Despacho bajo Expediente Administrativo No. TAT-266-14.</w:t>
      </w:r>
    </w:p>
    <w:p w:rsidR="00000000" w:rsidRDefault="00EE6EBF">
      <w:pPr>
        <w:kinsoku w:val="0"/>
        <w:overflowPunct w:val="0"/>
        <w:autoSpaceDE/>
        <w:autoSpaceDN/>
        <w:adjustRightInd/>
        <w:spacing w:before="542" w:line="289" w:lineRule="exact"/>
        <w:ind w:left="72" w:right="72"/>
        <w:jc w:val="center"/>
        <w:textAlignment w:val="baseline"/>
        <w:rPr>
          <w:rFonts w:ascii="Verdana" w:hAnsi="Verdana" w:cs="Verdana"/>
          <w:b/>
          <w:bCs/>
          <w:spacing w:val="-1"/>
          <w:sz w:val="24"/>
          <w:szCs w:val="24"/>
        </w:rPr>
      </w:pPr>
      <w:r>
        <w:rPr>
          <w:rFonts w:ascii="Verdana" w:hAnsi="Verdana" w:cs="Verdana"/>
          <w:b/>
          <w:bCs/>
          <w:spacing w:val="-1"/>
          <w:sz w:val="24"/>
          <w:szCs w:val="24"/>
        </w:rPr>
        <w:t>RESULTANDO</w:t>
      </w:r>
    </w:p>
    <w:p w:rsidR="00000000" w:rsidRDefault="00EE6EBF">
      <w:pPr>
        <w:kinsoku w:val="0"/>
        <w:overflowPunct w:val="0"/>
        <w:autoSpaceDE/>
        <w:autoSpaceDN/>
        <w:adjustRightInd/>
        <w:spacing w:before="369" w:line="294" w:lineRule="exact"/>
        <w:ind w:left="72" w:right="72"/>
        <w:jc w:val="both"/>
        <w:textAlignment w:val="baseline"/>
        <w:rPr>
          <w:rFonts w:ascii="Verdana" w:hAnsi="Verdana" w:cs="Verdana"/>
          <w:spacing w:val="3"/>
          <w:sz w:val="24"/>
          <w:szCs w:val="24"/>
        </w:rPr>
      </w:pPr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PRIMERO: </w:t>
      </w:r>
      <w:r>
        <w:rPr>
          <w:rFonts w:ascii="Verdana" w:hAnsi="Verdana" w:cs="Verdana"/>
          <w:spacing w:val="3"/>
          <w:sz w:val="24"/>
          <w:szCs w:val="24"/>
        </w:rPr>
        <w:t xml:space="preserve">Mediante </w:t>
      </w:r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oficio DE-2013-2252, </w:t>
      </w:r>
      <w:r>
        <w:rPr>
          <w:rFonts w:ascii="Verdana" w:hAnsi="Verdana" w:cs="Verdana"/>
          <w:spacing w:val="3"/>
          <w:sz w:val="24"/>
          <w:szCs w:val="24"/>
        </w:rPr>
        <w:t>del 30 de julio de 2</w:t>
      </w:r>
      <w:r>
        <w:rPr>
          <w:rFonts w:ascii="Verdana" w:hAnsi="Verdana" w:cs="Verdana"/>
          <w:spacing w:val="3"/>
          <w:sz w:val="24"/>
          <w:szCs w:val="24"/>
        </w:rPr>
        <w:t xml:space="preserve">013, suscrito por el </w:t>
      </w:r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Lic. Luis </w:t>
      </w:r>
      <w:r w:rsidR="00AE678E">
        <w:rPr>
          <w:rFonts w:ascii="Verdana" w:hAnsi="Verdana" w:cs="Verdana"/>
          <w:b/>
          <w:bCs/>
          <w:spacing w:val="3"/>
          <w:sz w:val="24"/>
          <w:szCs w:val="24"/>
        </w:rPr>
        <w:t>Echeverría</w:t>
      </w:r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spacing w:val="3"/>
          <w:sz w:val="24"/>
          <w:szCs w:val="24"/>
        </w:rPr>
        <w:t>Monturiol</w:t>
      </w:r>
      <w:proofErr w:type="spellEnd"/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, </w:t>
      </w:r>
      <w:r>
        <w:rPr>
          <w:rFonts w:ascii="Verdana" w:hAnsi="Verdana" w:cs="Verdana"/>
          <w:spacing w:val="3"/>
          <w:sz w:val="24"/>
          <w:szCs w:val="24"/>
        </w:rPr>
        <w:t xml:space="preserve">Asesor </w:t>
      </w:r>
      <w:r w:rsidR="00AE678E">
        <w:rPr>
          <w:rFonts w:ascii="Verdana" w:hAnsi="Verdana" w:cs="Verdana"/>
          <w:spacing w:val="3"/>
          <w:sz w:val="24"/>
          <w:szCs w:val="24"/>
        </w:rPr>
        <w:t>Jurídico de l</w:t>
      </w:r>
      <w:r>
        <w:rPr>
          <w:rFonts w:ascii="Verdana" w:hAnsi="Verdana" w:cs="Verdana"/>
          <w:spacing w:val="3"/>
          <w:sz w:val="24"/>
          <w:szCs w:val="24"/>
        </w:rPr>
        <w:t xml:space="preserve">a </w:t>
      </w:r>
      <w:r w:rsidR="00AE678E">
        <w:rPr>
          <w:rFonts w:ascii="Verdana" w:hAnsi="Verdana" w:cs="Verdana"/>
          <w:spacing w:val="3"/>
          <w:sz w:val="24"/>
          <w:szCs w:val="24"/>
        </w:rPr>
        <w:t>Dirección</w:t>
      </w:r>
      <w:r>
        <w:rPr>
          <w:rFonts w:ascii="Verdana" w:hAnsi="Verdana" w:cs="Verdana"/>
          <w:spacing w:val="3"/>
          <w:sz w:val="24"/>
          <w:szCs w:val="24"/>
        </w:rPr>
        <w:t xml:space="preserve"> Ejecutiva del Consejo de Transporte P</w:t>
      </w:r>
      <w:r w:rsidR="00AE678E">
        <w:rPr>
          <w:rFonts w:ascii="Verdana" w:hAnsi="Verdana" w:cs="Verdana"/>
          <w:spacing w:val="3"/>
          <w:sz w:val="24"/>
          <w:szCs w:val="24"/>
        </w:rPr>
        <w:t>úblico, se le comunica a l</w:t>
      </w:r>
      <w:r>
        <w:rPr>
          <w:rFonts w:ascii="Verdana" w:hAnsi="Verdana" w:cs="Verdana"/>
          <w:spacing w:val="3"/>
          <w:sz w:val="24"/>
          <w:szCs w:val="24"/>
        </w:rPr>
        <w:t xml:space="preserve">a Recurrente, que 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"se tienen por archivadas las gestiones presentadas por el interesado al no proceder la </w:t>
      </w:r>
      <w:r w:rsidR="00AE678E">
        <w:rPr>
          <w:rFonts w:ascii="Verdana" w:hAnsi="Verdana" w:cs="Verdana"/>
          <w:i/>
          <w:iCs/>
          <w:spacing w:val="3"/>
          <w:sz w:val="24"/>
          <w:szCs w:val="24"/>
        </w:rPr>
        <w:t>inscripción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 de nuevas unidades si no se opt</w:t>
      </w:r>
      <w:r w:rsidR="00AE678E">
        <w:rPr>
          <w:rFonts w:ascii="Verdana" w:hAnsi="Verdana" w:cs="Verdana"/>
          <w:i/>
          <w:iCs/>
          <w:spacing w:val="3"/>
          <w:sz w:val="24"/>
          <w:szCs w:val="24"/>
        </w:rPr>
        <w:t>ó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 de previo con el proceso de </w:t>
      </w:r>
      <w:r w:rsidR="00AE678E">
        <w:rPr>
          <w:rFonts w:ascii="Verdana" w:hAnsi="Verdana" w:cs="Verdana"/>
          <w:i/>
          <w:iCs/>
          <w:spacing w:val="3"/>
          <w:sz w:val="24"/>
          <w:szCs w:val="24"/>
        </w:rPr>
        <w:t>acreditación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 ya que </w:t>
      </w:r>
      <w:r w:rsidR="00AE678E">
        <w:rPr>
          <w:rFonts w:ascii="Verdana" w:hAnsi="Verdana" w:cs="Verdana"/>
          <w:i/>
          <w:iCs/>
          <w:spacing w:val="3"/>
          <w:sz w:val="24"/>
          <w:szCs w:val="24"/>
        </w:rPr>
        <w:t>según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 la Ley 8955 </w:t>
      </w:r>
      <w:r w:rsidR="00AE678E">
        <w:rPr>
          <w:rFonts w:ascii="Verdana" w:hAnsi="Verdana" w:cs="Verdana"/>
          <w:i/>
          <w:iCs/>
          <w:spacing w:val="3"/>
          <w:sz w:val="24"/>
          <w:szCs w:val="24"/>
        </w:rPr>
        <w:t>estableció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 un plazo para la </w:t>
      </w:r>
      <w:r w:rsidR="00AE678E">
        <w:rPr>
          <w:rFonts w:ascii="Verdana" w:hAnsi="Verdana" w:cs="Verdana"/>
          <w:i/>
          <w:iCs/>
          <w:spacing w:val="3"/>
          <w:sz w:val="24"/>
          <w:szCs w:val="24"/>
        </w:rPr>
        <w:t>recepción</w:t>
      </w:r>
      <w:r>
        <w:rPr>
          <w:rFonts w:ascii="Verdana" w:hAnsi="Verdana" w:cs="Verdana"/>
          <w:i/>
          <w:iCs/>
          <w:spacing w:val="3"/>
          <w:sz w:val="24"/>
          <w:szCs w:val="24"/>
        </w:rPr>
        <w:t xml:space="preserve"> de documentos..." </w:t>
      </w:r>
      <w:r>
        <w:rPr>
          <w:rFonts w:ascii="Verdana" w:hAnsi="Verdana" w:cs="Verdana"/>
          <w:spacing w:val="3"/>
          <w:sz w:val="24"/>
          <w:szCs w:val="24"/>
        </w:rPr>
        <w:t>(</w:t>
      </w:r>
      <w:r w:rsidR="00AE678E">
        <w:rPr>
          <w:rFonts w:ascii="Verdana" w:hAnsi="Verdana" w:cs="Verdana"/>
          <w:spacing w:val="3"/>
          <w:sz w:val="24"/>
          <w:szCs w:val="24"/>
        </w:rPr>
        <w:t>Léase</w:t>
      </w:r>
      <w:r>
        <w:rPr>
          <w:rFonts w:ascii="Verdana" w:hAnsi="Verdana" w:cs="Verdana"/>
          <w:spacing w:val="3"/>
          <w:sz w:val="24"/>
          <w:szCs w:val="24"/>
        </w:rPr>
        <w:t xml:space="preserve"> folio 240 del expediente administrativo)</w:t>
      </w:r>
    </w:p>
    <w:p w:rsidR="00000000" w:rsidRDefault="00EE6EBF">
      <w:pPr>
        <w:kinsoku w:val="0"/>
        <w:overflowPunct w:val="0"/>
        <w:autoSpaceDE/>
        <w:autoSpaceDN/>
        <w:adjustRightInd/>
        <w:spacing w:before="609" w:after="561" w:line="292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SEGUNDO: </w:t>
      </w:r>
      <w:r>
        <w:rPr>
          <w:rFonts w:ascii="Verdana" w:hAnsi="Verdana" w:cs="Verdana"/>
          <w:sz w:val="24"/>
          <w:szCs w:val="24"/>
        </w:rPr>
        <w:t>El recurrente en su l</w:t>
      </w:r>
      <w:r w:rsidR="00AE678E">
        <w:rPr>
          <w:rFonts w:ascii="Verdana" w:hAnsi="Verdana" w:cs="Verdana"/>
          <w:sz w:val="24"/>
          <w:szCs w:val="24"/>
        </w:rPr>
        <w:t>í</w:t>
      </w:r>
      <w:r>
        <w:rPr>
          <w:rFonts w:ascii="Verdana" w:hAnsi="Verdana" w:cs="Verdana"/>
          <w:sz w:val="24"/>
          <w:szCs w:val="24"/>
        </w:rPr>
        <w:t>bel</w:t>
      </w:r>
      <w:r w:rsidR="00AE678E">
        <w:rPr>
          <w:rFonts w:ascii="Verdana" w:hAnsi="Verdana" w:cs="Verdana"/>
          <w:sz w:val="24"/>
          <w:szCs w:val="24"/>
        </w:rPr>
        <w:t>o</w:t>
      </w:r>
      <w:r>
        <w:rPr>
          <w:rFonts w:ascii="Verdana" w:hAnsi="Verdana" w:cs="Verdana"/>
          <w:sz w:val="24"/>
          <w:szCs w:val="24"/>
        </w:rPr>
        <w:t xml:space="preserve"> en lo que</w:t>
      </w:r>
      <w:r>
        <w:rPr>
          <w:rFonts w:ascii="Verdana" w:hAnsi="Verdana" w:cs="Verdana"/>
          <w:sz w:val="24"/>
          <w:szCs w:val="24"/>
        </w:rPr>
        <w:t xml:space="preserve"> interesa indica, que el acto adolece de vicios de nulidad en la forma y por el fondo como la debida </w:t>
      </w:r>
      <w:r w:rsidR="00AE678E">
        <w:rPr>
          <w:rFonts w:ascii="Verdana" w:hAnsi="Verdana" w:cs="Verdana"/>
          <w:sz w:val="24"/>
          <w:szCs w:val="24"/>
        </w:rPr>
        <w:t>motivación</w:t>
      </w:r>
      <w:r>
        <w:rPr>
          <w:rFonts w:ascii="Verdana" w:hAnsi="Verdana" w:cs="Verdana"/>
          <w:sz w:val="24"/>
          <w:szCs w:val="24"/>
        </w:rPr>
        <w:t xml:space="preserve"> lo que violenta el principio de Debido Proceso y el de inopia, por lo que solicit</w:t>
      </w:r>
      <w:r w:rsidR="00AE678E">
        <w:rPr>
          <w:rFonts w:ascii="Verdana" w:hAnsi="Verdana" w:cs="Verdana"/>
          <w:sz w:val="24"/>
          <w:szCs w:val="24"/>
        </w:rPr>
        <w:t>a</w:t>
      </w:r>
      <w:r>
        <w:rPr>
          <w:rFonts w:ascii="Verdana" w:hAnsi="Verdana" w:cs="Verdana"/>
          <w:sz w:val="24"/>
          <w:szCs w:val="24"/>
        </w:rPr>
        <w:t xml:space="preserve"> se declare con lugar el recurso. (</w:t>
      </w:r>
      <w:r w:rsidR="00AE678E">
        <w:rPr>
          <w:rFonts w:ascii="Verdana" w:hAnsi="Verdana" w:cs="Verdana"/>
          <w:sz w:val="24"/>
          <w:szCs w:val="24"/>
        </w:rPr>
        <w:t>Léanse</w:t>
      </w:r>
      <w:r>
        <w:rPr>
          <w:rFonts w:ascii="Verdana" w:hAnsi="Verdana" w:cs="Verdana"/>
          <w:sz w:val="24"/>
          <w:szCs w:val="24"/>
        </w:rPr>
        <w:t xml:space="preserve"> folios 49 al 60 del </w:t>
      </w:r>
      <w:proofErr w:type="gramStart"/>
      <w:r>
        <w:rPr>
          <w:rFonts w:ascii="Verdana" w:hAnsi="Verdana" w:cs="Verdana"/>
          <w:sz w:val="24"/>
          <w:szCs w:val="24"/>
        </w:rPr>
        <w:t>expediente</w:t>
      </w:r>
      <w:proofErr w:type="gramEnd"/>
      <w:r>
        <w:rPr>
          <w:rFonts w:ascii="Verdana" w:hAnsi="Verdana" w:cs="Verdana"/>
          <w:sz w:val="24"/>
          <w:szCs w:val="24"/>
        </w:rPr>
        <w:t xml:space="preserve"> administrativo)</w:t>
      </w:r>
    </w:p>
    <w:p w:rsidR="00000000" w:rsidRDefault="00EE6EBF">
      <w:pPr>
        <w:widowControl/>
        <w:rPr>
          <w:sz w:val="24"/>
          <w:szCs w:val="24"/>
        </w:rPr>
        <w:sectPr w:rsidR="00000000">
          <w:pgSz w:w="12134" w:h="15840"/>
          <w:pgMar w:top="2400" w:right="1119" w:bottom="384" w:left="1295" w:header="720" w:footer="720" w:gutter="0"/>
          <w:cols w:space="720"/>
          <w:noEndnote/>
        </w:sectPr>
      </w:pPr>
    </w:p>
    <w:p w:rsidR="00000000" w:rsidRDefault="00EE6EBF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2400" w:right="595" w:bottom="384" w:left="9379" w:header="720" w:footer="720" w:gutter="0"/>
          <w:cols w:space="720"/>
          <w:noEndnote/>
        </w:sectPr>
      </w:pPr>
    </w:p>
    <w:p w:rsidR="00000000" w:rsidRDefault="00EE6EBF">
      <w:pPr>
        <w:kinsoku w:val="0"/>
        <w:overflowPunct w:val="0"/>
        <w:autoSpaceDE/>
        <w:autoSpaceDN/>
        <w:adjustRightInd/>
        <w:spacing w:before="77" w:line="292" w:lineRule="exact"/>
        <w:ind w:right="576"/>
        <w:jc w:val="both"/>
        <w:textAlignment w:val="baseline"/>
        <w:rPr>
          <w:rFonts w:ascii="Tahoma" w:hAnsi="Tahoma" w:cs="Tahoma"/>
          <w:spacing w:val="11"/>
          <w:sz w:val="25"/>
          <w:szCs w:val="25"/>
        </w:rPr>
      </w:pPr>
      <w:r>
        <w:rPr>
          <w:rFonts w:ascii="Tahoma" w:hAnsi="Tahoma" w:cs="Tahoma"/>
          <w:b/>
          <w:bCs/>
          <w:spacing w:val="11"/>
          <w:sz w:val="25"/>
          <w:szCs w:val="25"/>
        </w:rPr>
        <w:lastRenderedPageBreak/>
        <w:t xml:space="preserve">TERCERO: </w:t>
      </w:r>
      <w:r>
        <w:rPr>
          <w:rFonts w:ascii="Tahoma" w:hAnsi="Tahoma" w:cs="Tahoma"/>
          <w:spacing w:val="11"/>
          <w:sz w:val="25"/>
          <w:szCs w:val="25"/>
        </w:rPr>
        <w:t xml:space="preserve">Mediante acuerdo 7.2.6 de la </w:t>
      </w:r>
      <w:r w:rsidR="00AE678E">
        <w:rPr>
          <w:rFonts w:ascii="Tahoma" w:hAnsi="Tahoma" w:cs="Tahoma"/>
          <w:spacing w:val="11"/>
          <w:sz w:val="25"/>
          <w:szCs w:val="25"/>
        </w:rPr>
        <w:t>Sesión</w:t>
      </w:r>
      <w:r>
        <w:rPr>
          <w:rFonts w:ascii="Tahoma" w:hAnsi="Tahoma" w:cs="Tahoma"/>
          <w:spacing w:val="11"/>
          <w:sz w:val="25"/>
          <w:szCs w:val="25"/>
        </w:rPr>
        <w:t xml:space="preserve"> Ordinaria 62-2014 del 23 de octubre de 2014, la Junta Directiva del Consejo de Transporte </w:t>
      </w:r>
      <w:r w:rsidR="00AE678E">
        <w:rPr>
          <w:rFonts w:ascii="Tahoma" w:hAnsi="Tahoma" w:cs="Tahoma"/>
          <w:spacing w:val="11"/>
          <w:sz w:val="25"/>
          <w:szCs w:val="25"/>
        </w:rPr>
        <w:t>Público</w:t>
      </w:r>
      <w:r>
        <w:rPr>
          <w:rFonts w:ascii="Tahoma" w:hAnsi="Tahoma" w:cs="Tahoma"/>
          <w:spacing w:val="11"/>
          <w:sz w:val="25"/>
          <w:szCs w:val="25"/>
        </w:rPr>
        <w:t xml:space="preserve">, conoce el informe de la </w:t>
      </w:r>
      <w:r w:rsidR="00AE678E">
        <w:rPr>
          <w:rFonts w:ascii="Tahoma" w:hAnsi="Tahoma" w:cs="Tahoma"/>
          <w:spacing w:val="11"/>
          <w:sz w:val="25"/>
          <w:szCs w:val="25"/>
        </w:rPr>
        <w:t>Dirección</w:t>
      </w:r>
      <w:r>
        <w:rPr>
          <w:rFonts w:ascii="Tahoma" w:hAnsi="Tahoma" w:cs="Tahoma"/>
          <w:spacing w:val="11"/>
          <w:sz w:val="25"/>
          <w:szCs w:val="25"/>
        </w:rPr>
        <w:t xml:space="preserve"> de Asuntos </w:t>
      </w:r>
      <w:r w:rsidR="00AE678E">
        <w:rPr>
          <w:rFonts w:ascii="Tahoma" w:hAnsi="Tahoma" w:cs="Tahoma"/>
          <w:spacing w:val="11"/>
          <w:sz w:val="25"/>
          <w:szCs w:val="25"/>
        </w:rPr>
        <w:t>Jurídicos</w:t>
      </w:r>
      <w:r>
        <w:rPr>
          <w:rFonts w:ascii="Tahoma" w:hAnsi="Tahoma" w:cs="Tahoma"/>
          <w:spacing w:val="11"/>
          <w:sz w:val="25"/>
          <w:szCs w:val="25"/>
        </w:rPr>
        <w:t xml:space="preserve"> </w:t>
      </w:r>
      <w:r w:rsidR="00AE678E">
        <w:rPr>
          <w:rFonts w:ascii="Tahoma" w:hAnsi="Tahoma" w:cs="Tahoma"/>
          <w:b/>
          <w:bCs/>
          <w:spacing w:val="11"/>
          <w:sz w:val="25"/>
          <w:szCs w:val="25"/>
        </w:rPr>
        <w:t>DAJ</w:t>
      </w:r>
      <w:r>
        <w:rPr>
          <w:rFonts w:ascii="Tahoma" w:hAnsi="Tahoma" w:cs="Tahoma"/>
          <w:b/>
          <w:bCs/>
          <w:spacing w:val="11"/>
          <w:sz w:val="25"/>
          <w:szCs w:val="25"/>
        </w:rPr>
        <w:t xml:space="preserve">-2014000682 </w:t>
      </w:r>
      <w:r>
        <w:rPr>
          <w:rFonts w:ascii="Tahoma" w:hAnsi="Tahoma" w:cs="Tahoma"/>
          <w:spacing w:val="11"/>
          <w:sz w:val="25"/>
          <w:szCs w:val="25"/>
        </w:rPr>
        <w:t xml:space="preserve">lo avala y acuerda Rechazar el recurso de Revocatoria presentado, contra </w:t>
      </w:r>
      <w:r>
        <w:rPr>
          <w:rFonts w:ascii="Tahoma" w:hAnsi="Tahoma" w:cs="Tahoma"/>
          <w:b/>
          <w:bCs/>
          <w:spacing w:val="11"/>
          <w:sz w:val="25"/>
          <w:szCs w:val="25"/>
        </w:rPr>
        <w:t xml:space="preserve">el oficio DE-2013-2259, </w:t>
      </w:r>
      <w:r>
        <w:rPr>
          <w:rFonts w:ascii="Tahoma" w:hAnsi="Tahoma" w:cs="Tahoma"/>
          <w:spacing w:val="11"/>
          <w:sz w:val="25"/>
          <w:szCs w:val="25"/>
        </w:rPr>
        <w:t xml:space="preserve">del 31 de julio de 2013, suscrito por el </w:t>
      </w:r>
      <w:r>
        <w:rPr>
          <w:rFonts w:ascii="Tahoma" w:hAnsi="Tahoma" w:cs="Tahoma"/>
          <w:b/>
          <w:bCs/>
          <w:spacing w:val="11"/>
          <w:sz w:val="25"/>
          <w:szCs w:val="25"/>
        </w:rPr>
        <w:t xml:space="preserve">Lic. Luis </w:t>
      </w:r>
      <w:r w:rsidR="00AE678E">
        <w:rPr>
          <w:rFonts w:ascii="Tahoma" w:hAnsi="Tahoma" w:cs="Tahoma"/>
          <w:b/>
          <w:bCs/>
          <w:spacing w:val="11"/>
          <w:sz w:val="25"/>
          <w:szCs w:val="25"/>
        </w:rPr>
        <w:t>Echeverría</w:t>
      </w:r>
      <w:r>
        <w:rPr>
          <w:rFonts w:ascii="Tahoma" w:hAnsi="Tahoma" w:cs="Tahoma"/>
          <w:b/>
          <w:bCs/>
          <w:spacing w:val="11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b/>
          <w:bCs/>
          <w:spacing w:val="11"/>
          <w:sz w:val="25"/>
          <w:szCs w:val="25"/>
        </w:rPr>
        <w:t>Monturiol</w:t>
      </w:r>
      <w:proofErr w:type="spellEnd"/>
      <w:r>
        <w:rPr>
          <w:rFonts w:ascii="Tahoma" w:hAnsi="Tahoma" w:cs="Tahoma"/>
          <w:b/>
          <w:bCs/>
          <w:spacing w:val="11"/>
          <w:sz w:val="25"/>
          <w:szCs w:val="25"/>
        </w:rPr>
        <w:t xml:space="preserve">, </w:t>
      </w:r>
      <w:r>
        <w:rPr>
          <w:rFonts w:ascii="Tahoma" w:hAnsi="Tahoma" w:cs="Tahoma"/>
          <w:spacing w:val="11"/>
          <w:sz w:val="25"/>
          <w:szCs w:val="25"/>
        </w:rPr>
        <w:t xml:space="preserve">Asesor </w:t>
      </w:r>
      <w:r w:rsidR="00AE678E">
        <w:rPr>
          <w:rFonts w:ascii="Tahoma" w:hAnsi="Tahoma" w:cs="Tahoma"/>
          <w:spacing w:val="11"/>
          <w:sz w:val="25"/>
          <w:szCs w:val="25"/>
        </w:rPr>
        <w:t>Jurídico</w:t>
      </w:r>
      <w:r>
        <w:rPr>
          <w:rFonts w:ascii="Tahoma" w:hAnsi="Tahoma" w:cs="Tahoma"/>
          <w:spacing w:val="11"/>
          <w:sz w:val="25"/>
          <w:szCs w:val="25"/>
        </w:rPr>
        <w:t xml:space="preserve"> de la Direcci</w:t>
      </w:r>
      <w:r w:rsidR="00AE678E">
        <w:rPr>
          <w:rFonts w:ascii="Tahoma" w:hAnsi="Tahoma" w:cs="Tahoma"/>
          <w:spacing w:val="11"/>
          <w:sz w:val="25"/>
          <w:szCs w:val="25"/>
        </w:rPr>
        <w:t>ó</w:t>
      </w:r>
      <w:r>
        <w:rPr>
          <w:rFonts w:ascii="Tahoma" w:hAnsi="Tahoma" w:cs="Tahoma"/>
          <w:spacing w:val="11"/>
          <w:sz w:val="25"/>
          <w:szCs w:val="25"/>
        </w:rPr>
        <w:t xml:space="preserve">n Ejecutiva del Consejo de Transporte </w:t>
      </w:r>
      <w:r w:rsidR="00AE678E">
        <w:rPr>
          <w:rFonts w:ascii="Tahoma" w:hAnsi="Tahoma" w:cs="Tahoma"/>
          <w:spacing w:val="11"/>
          <w:sz w:val="25"/>
          <w:szCs w:val="25"/>
        </w:rPr>
        <w:t>Público</w:t>
      </w:r>
      <w:r>
        <w:rPr>
          <w:rFonts w:ascii="Tahoma" w:hAnsi="Tahoma" w:cs="Tahoma"/>
          <w:spacing w:val="11"/>
          <w:sz w:val="25"/>
          <w:szCs w:val="25"/>
        </w:rPr>
        <w:t xml:space="preserve">, indicando que por su naturaleza es inimpugnable y que lo que se hizo con el mismo fue comunicar a la Junta Directiva para que tomara la </w:t>
      </w:r>
      <w:r w:rsidR="00AE678E">
        <w:rPr>
          <w:rFonts w:ascii="Tahoma" w:hAnsi="Tahoma" w:cs="Tahoma"/>
          <w:spacing w:val="11"/>
          <w:sz w:val="25"/>
          <w:szCs w:val="25"/>
        </w:rPr>
        <w:t>decisión final. Lé</w:t>
      </w:r>
      <w:r>
        <w:rPr>
          <w:rFonts w:ascii="Tahoma" w:hAnsi="Tahoma" w:cs="Tahoma"/>
          <w:spacing w:val="11"/>
          <w:sz w:val="25"/>
          <w:szCs w:val="25"/>
        </w:rPr>
        <w:t>anse folios del 1 al 3 y del 45 al 47 de</w:t>
      </w:r>
      <w:r>
        <w:rPr>
          <w:rFonts w:ascii="Tahoma" w:hAnsi="Tahoma" w:cs="Tahoma"/>
          <w:spacing w:val="11"/>
          <w:sz w:val="25"/>
          <w:szCs w:val="25"/>
        </w:rPr>
        <w:t>l expediente administrativo)</w:t>
      </w:r>
    </w:p>
    <w:p w:rsidR="00000000" w:rsidRDefault="00EE6EBF">
      <w:pPr>
        <w:kinsoku w:val="0"/>
        <w:overflowPunct w:val="0"/>
        <w:autoSpaceDE/>
        <w:autoSpaceDN/>
        <w:adjustRightInd/>
        <w:spacing w:before="306" w:line="292" w:lineRule="exact"/>
        <w:ind w:right="576"/>
        <w:jc w:val="both"/>
        <w:textAlignment w:val="baseline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b/>
          <w:bCs/>
          <w:sz w:val="25"/>
          <w:szCs w:val="25"/>
        </w:rPr>
        <w:t xml:space="preserve">CUARTO: </w:t>
      </w:r>
      <w:r>
        <w:rPr>
          <w:rFonts w:ascii="Tahoma" w:hAnsi="Tahoma" w:cs="Tahoma"/>
          <w:sz w:val="25"/>
          <w:szCs w:val="25"/>
        </w:rPr>
        <w:t>En los procedimientos seguidos se han observado las prescripciones legales.</w:t>
      </w:r>
    </w:p>
    <w:p w:rsidR="00000000" w:rsidRDefault="00EE6EBF">
      <w:pPr>
        <w:kinsoku w:val="0"/>
        <w:overflowPunct w:val="0"/>
        <w:autoSpaceDE/>
        <w:autoSpaceDN/>
        <w:adjustRightInd/>
        <w:spacing w:before="299" w:line="292" w:lineRule="exact"/>
        <w:textAlignment w:val="baseline"/>
        <w:rPr>
          <w:rFonts w:ascii="Tahoma" w:hAnsi="Tahoma" w:cs="Tahoma"/>
          <w:spacing w:val="10"/>
          <w:sz w:val="25"/>
          <w:szCs w:val="25"/>
        </w:rPr>
      </w:pPr>
      <w:r>
        <w:rPr>
          <w:rFonts w:ascii="Tahoma" w:hAnsi="Tahoma" w:cs="Tahoma"/>
          <w:spacing w:val="10"/>
          <w:sz w:val="25"/>
          <w:szCs w:val="25"/>
        </w:rPr>
        <w:t xml:space="preserve">Redacta la Jueza Marta Luz </w:t>
      </w:r>
      <w:r w:rsidR="00AE678E">
        <w:rPr>
          <w:rFonts w:ascii="Tahoma" w:hAnsi="Tahoma" w:cs="Tahoma"/>
          <w:spacing w:val="10"/>
          <w:sz w:val="25"/>
          <w:szCs w:val="25"/>
        </w:rPr>
        <w:t>Pérez</w:t>
      </w:r>
      <w:r>
        <w:rPr>
          <w:rFonts w:ascii="Tahoma" w:hAnsi="Tahoma" w:cs="Tahoma"/>
          <w:spacing w:val="10"/>
          <w:sz w:val="25"/>
          <w:szCs w:val="25"/>
        </w:rPr>
        <w:t xml:space="preserve"> </w:t>
      </w:r>
      <w:r w:rsidR="00AE678E">
        <w:rPr>
          <w:rFonts w:ascii="Tahoma" w:hAnsi="Tahoma" w:cs="Tahoma"/>
          <w:spacing w:val="10"/>
          <w:sz w:val="25"/>
          <w:szCs w:val="25"/>
        </w:rPr>
        <w:t>Peláez</w:t>
      </w:r>
      <w:r>
        <w:rPr>
          <w:rFonts w:ascii="Tahoma" w:hAnsi="Tahoma" w:cs="Tahoma"/>
          <w:spacing w:val="10"/>
          <w:sz w:val="25"/>
          <w:szCs w:val="25"/>
        </w:rPr>
        <w:t>; y,</w:t>
      </w:r>
    </w:p>
    <w:p w:rsidR="00000000" w:rsidRDefault="00EE6EBF">
      <w:pPr>
        <w:kinsoku w:val="0"/>
        <w:overflowPunct w:val="0"/>
        <w:autoSpaceDE/>
        <w:autoSpaceDN/>
        <w:adjustRightInd/>
        <w:spacing w:before="585" w:line="293" w:lineRule="exact"/>
        <w:jc w:val="center"/>
        <w:textAlignment w:val="baseline"/>
        <w:rPr>
          <w:rFonts w:ascii="Tahoma" w:hAnsi="Tahoma" w:cs="Tahoma"/>
          <w:b/>
          <w:bCs/>
          <w:spacing w:val="9"/>
          <w:sz w:val="25"/>
          <w:szCs w:val="25"/>
        </w:rPr>
      </w:pPr>
      <w:r>
        <w:rPr>
          <w:rFonts w:ascii="Tahoma" w:hAnsi="Tahoma" w:cs="Tahoma"/>
          <w:b/>
          <w:bCs/>
          <w:spacing w:val="9"/>
          <w:sz w:val="25"/>
          <w:szCs w:val="25"/>
        </w:rPr>
        <w:t>CONSIDERANDO UNICO</w:t>
      </w:r>
    </w:p>
    <w:p w:rsidR="00000000" w:rsidRDefault="00EE6EBF">
      <w:pPr>
        <w:kinsoku w:val="0"/>
        <w:overflowPunct w:val="0"/>
        <w:autoSpaceDE/>
        <w:autoSpaceDN/>
        <w:adjustRightInd/>
        <w:spacing w:before="322" w:line="292" w:lineRule="exact"/>
        <w:ind w:right="576"/>
        <w:jc w:val="both"/>
        <w:textAlignment w:val="baseline"/>
        <w:rPr>
          <w:rFonts w:ascii="Tahoma" w:hAnsi="Tahoma" w:cs="Tahoma"/>
          <w:spacing w:val="12"/>
          <w:sz w:val="25"/>
          <w:szCs w:val="25"/>
        </w:rPr>
      </w:pPr>
      <w:r>
        <w:rPr>
          <w:rFonts w:ascii="Tahoma" w:hAnsi="Tahoma" w:cs="Tahoma"/>
          <w:spacing w:val="12"/>
          <w:sz w:val="25"/>
          <w:szCs w:val="25"/>
        </w:rPr>
        <w:t xml:space="preserve">El recurso planteado por la empresa </w:t>
      </w:r>
      <w:r>
        <w:rPr>
          <w:rFonts w:ascii="Tahoma" w:hAnsi="Tahoma" w:cs="Tahoma"/>
          <w:b/>
          <w:bCs/>
          <w:spacing w:val="12"/>
          <w:sz w:val="25"/>
          <w:szCs w:val="25"/>
        </w:rPr>
        <w:t>T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>.T.V.S.A.,</w:t>
      </w: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 c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>é</w:t>
      </w:r>
      <w:r>
        <w:rPr>
          <w:rFonts w:ascii="Tahoma" w:hAnsi="Tahoma" w:cs="Tahoma"/>
          <w:b/>
          <w:bCs/>
          <w:spacing w:val="12"/>
          <w:sz w:val="25"/>
          <w:szCs w:val="25"/>
        </w:rPr>
        <w:t>dula jur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>í</w:t>
      </w:r>
      <w:r>
        <w:rPr>
          <w:rFonts w:ascii="Tahoma" w:hAnsi="Tahoma" w:cs="Tahoma"/>
          <w:b/>
          <w:bCs/>
          <w:spacing w:val="12"/>
          <w:sz w:val="25"/>
          <w:szCs w:val="25"/>
        </w:rPr>
        <w:t>dica</w:t>
      </w: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 </w:t>
      </w:r>
      <w:proofErr w:type="gramStart"/>
      <w:r>
        <w:rPr>
          <w:rFonts w:ascii="Tahoma" w:hAnsi="Tahoma" w:cs="Tahoma"/>
          <w:b/>
          <w:bCs/>
          <w:spacing w:val="12"/>
          <w:sz w:val="25"/>
          <w:szCs w:val="25"/>
        </w:rPr>
        <w:t>n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>ú</w:t>
      </w:r>
      <w:r>
        <w:rPr>
          <w:rFonts w:ascii="Tahoma" w:hAnsi="Tahoma" w:cs="Tahoma"/>
          <w:b/>
          <w:bCs/>
          <w:spacing w:val="12"/>
          <w:sz w:val="25"/>
          <w:szCs w:val="25"/>
        </w:rPr>
        <w:t>mero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 xml:space="preserve"> …</w:t>
      </w:r>
      <w:proofErr w:type="gramEnd"/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, </w:t>
      </w:r>
      <w:r>
        <w:rPr>
          <w:rFonts w:ascii="Tahoma" w:hAnsi="Tahoma" w:cs="Tahoma"/>
          <w:spacing w:val="12"/>
          <w:sz w:val="25"/>
          <w:szCs w:val="25"/>
        </w:rPr>
        <w:t xml:space="preserve">por medio de su Apoderado </w:t>
      </w:r>
      <w:r w:rsidR="00AE678E">
        <w:rPr>
          <w:rFonts w:ascii="Tahoma" w:hAnsi="Tahoma" w:cs="Tahoma"/>
          <w:spacing w:val="12"/>
          <w:sz w:val="25"/>
          <w:szCs w:val="25"/>
        </w:rPr>
        <w:t>Generalísimo</w:t>
      </w:r>
      <w:r>
        <w:rPr>
          <w:rFonts w:ascii="Tahoma" w:hAnsi="Tahoma" w:cs="Tahoma"/>
          <w:spacing w:val="12"/>
          <w:sz w:val="25"/>
          <w:szCs w:val="25"/>
        </w:rPr>
        <w:t xml:space="preserve"> sin </w:t>
      </w:r>
      <w:r w:rsidR="00AE678E">
        <w:rPr>
          <w:rFonts w:ascii="Tahoma" w:hAnsi="Tahoma" w:cs="Tahoma"/>
          <w:spacing w:val="12"/>
          <w:sz w:val="25"/>
          <w:szCs w:val="25"/>
        </w:rPr>
        <w:t>Límite</w:t>
      </w:r>
      <w:r>
        <w:rPr>
          <w:rFonts w:ascii="Tahoma" w:hAnsi="Tahoma" w:cs="Tahoma"/>
          <w:spacing w:val="12"/>
          <w:sz w:val="25"/>
          <w:szCs w:val="25"/>
        </w:rPr>
        <w:t xml:space="preserve"> de suma </w:t>
      </w:r>
      <w:r w:rsidR="00AE678E">
        <w:rPr>
          <w:rFonts w:ascii="Tahoma" w:hAnsi="Tahoma" w:cs="Tahoma"/>
          <w:spacing w:val="12"/>
          <w:sz w:val="25"/>
          <w:szCs w:val="25"/>
        </w:rPr>
        <w:t>señor</w:t>
      </w:r>
      <w:r>
        <w:rPr>
          <w:rFonts w:ascii="Tahoma" w:hAnsi="Tahoma" w:cs="Tahoma"/>
          <w:spacing w:val="12"/>
          <w:sz w:val="25"/>
          <w:szCs w:val="25"/>
        </w:rPr>
        <w:t xml:space="preserve"> </w:t>
      </w:r>
      <w:r>
        <w:rPr>
          <w:rFonts w:ascii="Tahoma" w:hAnsi="Tahoma" w:cs="Tahoma"/>
          <w:b/>
          <w:bCs/>
          <w:spacing w:val="12"/>
          <w:sz w:val="25"/>
          <w:szCs w:val="25"/>
        </w:rPr>
        <w:t>I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>.R.C.</w:t>
      </w: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, </w:t>
      </w:r>
      <w:r>
        <w:rPr>
          <w:rFonts w:ascii="Tahoma" w:hAnsi="Tahoma" w:cs="Tahoma"/>
          <w:spacing w:val="12"/>
          <w:sz w:val="25"/>
          <w:szCs w:val="25"/>
        </w:rPr>
        <w:t>c</w:t>
      </w:r>
      <w:r w:rsidR="00AE678E">
        <w:rPr>
          <w:rFonts w:ascii="Tahoma" w:hAnsi="Tahoma" w:cs="Tahoma"/>
          <w:spacing w:val="12"/>
          <w:sz w:val="25"/>
          <w:szCs w:val="25"/>
        </w:rPr>
        <w:t>é</w:t>
      </w:r>
      <w:r>
        <w:rPr>
          <w:rFonts w:ascii="Tahoma" w:hAnsi="Tahoma" w:cs="Tahoma"/>
          <w:spacing w:val="12"/>
          <w:sz w:val="25"/>
          <w:szCs w:val="25"/>
        </w:rPr>
        <w:t>dula de identidad n</w:t>
      </w:r>
      <w:r w:rsidR="00AE678E">
        <w:rPr>
          <w:rFonts w:ascii="Tahoma" w:hAnsi="Tahoma" w:cs="Tahoma"/>
          <w:spacing w:val="12"/>
          <w:sz w:val="25"/>
          <w:szCs w:val="25"/>
        </w:rPr>
        <w:t>ú</w:t>
      </w:r>
      <w:r>
        <w:rPr>
          <w:rFonts w:ascii="Tahoma" w:hAnsi="Tahoma" w:cs="Tahoma"/>
          <w:spacing w:val="12"/>
          <w:sz w:val="25"/>
          <w:szCs w:val="25"/>
        </w:rPr>
        <w:t xml:space="preserve">mero </w:t>
      </w:r>
      <w:r w:rsidR="00AE678E">
        <w:rPr>
          <w:rFonts w:ascii="Tahoma" w:hAnsi="Tahoma" w:cs="Tahoma"/>
          <w:spacing w:val="12"/>
          <w:sz w:val="25"/>
          <w:szCs w:val="25"/>
        </w:rPr>
        <w:t>…</w:t>
      </w:r>
      <w:r>
        <w:rPr>
          <w:rFonts w:ascii="Tahoma" w:hAnsi="Tahoma" w:cs="Tahoma"/>
          <w:spacing w:val="12"/>
          <w:sz w:val="25"/>
          <w:szCs w:val="25"/>
        </w:rPr>
        <w:t xml:space="preserve">, </w:t>
      </w: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contra el oficio DE-2013-2252, </w:t>
      </w:r>
      <w:r>
        <w:rPr>
          <w:rFonts w:ascii="Tahoma" w:hAnsi="Tahoma" w:cs="Tahoma"/>
          <w:spacing w:val="12"/>
          <w:sz w:val="25"/>
          <w:szCs w:val="25"/>
        </w:rPr>
        <w:t xml:space="preserve">del 30 de julio de 2013, suscrito por el </w:t>
      </w: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Lic. Luis </w:t>
      </w:r>
      <w:r w:rsidR="00AE678E">
        <w:rPr>
          <w:rFonts w:ascii="Tahoma" w:hAnsi="Tahoma" w:cs="Tahoma"/>
          <w:b/>
          <w:bCs/>
          <w:spacing w:val="12"/>
          <w:sz w:val="25"/>
          <w:szCs w:val="25"/>
        </w:rPr>
        <w:t>Echeverría</w:t>
      </w:r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b/>
          <w:bCs/>
          <w:spacing w:val="12"/>
          <w:sz w:val="25"/>
          <w:szCs w:val="25"/>
        </w:rPr>
        <w:t>Monturiol</w:t>
      </w:r>
      <w:proofErr w:type="spellEnd"/>
      <w:r>
        <w:rPr>
          <w:rFonts w:ascii="Tahoma" w:hAnsi="Tahoma" w:cs="Tahoma"/>
          <w:b/>
          <w:bCs/>
          <w:spacing w:val="12"/>
          <w:sz w:val="25"/>
          <w:szCs w:val="25"/>
        </w:rPr>
        <w:t xml:space="preserve">, </w:t>
      </w:r>
      <w:r>
        <w:rPr>
          <w:rFonts w:ascii="Tahoma" w:hAnsi="Tahoma" w:cs="Tahoma"/>
          <w:spacing w:val="12"/>
          <w:sz w:val="25"/>
          <w:szCs w:val="25"/>
        </w:rPr>
        <w:t>Aseso</w:t>
      </w:r>
      <w:r w:rsidR="00AE678E">
        <w:rPr>
          <w:rFonts w:ascii="Tahoma" w:hAnsi="Tahoma" w:cs="Tahoma"/>
          <w:spacing w:val="12"/>
          <w:sz w:val="25"/>
          <w:szCs w:val="25"/>
        </w:rPr>
        <w:t>r Jurí</w:t>
      </w:r>
      <w:r>
        <w:rPr>
          <w:rFonts w:ascii="Tahoma" w:hAnsi="Tahoma" w:cs="Tahoma"/>
          <w:spacing w:val="12"/>
          <w:sz w:val="25"/>
          <w:szCs w:val="25"/>
        </w:rPr>
        <w:t>dic</w:t>
      </w:r>
      <w:r w:rsidR="00AE678E">
        <w:rPr>
          <w:rFonts w:ascii="Tahoma" w:hAnsi="Tahoma" w:cs="Tahoma"/>
          <w:spacing w:val="12"/>
          <w:sz w:val="25"/>
          <w:szCs w:val="25"/>
        </w:rPr>
        <w:t>o</w:t>
      </w:r>
      <w:r>
        <w:rPr>
          <w:rFonts w:ascii="Tahoma" w:hAnsi="Tahoma" w:cs="Tahoma"/>
          <w:spacing w:val="12"/>
          <w:sz w:val="25"/>
          <w:szCs w:val="25"/>
        </w:rPr>
        <w:t xml:space="preserve"> de la Direcci</w:t>
      </w:r>
      <w:r w:rsidR="00AE678E">
        <w:rPr>
          <w:rFonts w:ascii="Tahoma" w:hAnsi="Tahoma" w:cs="Tahoma"/>
          <w:spacing w:val="12"/>
          <w:sz w:val="25"/>
          <w:szCs w:val="25"/>
        </w:rPr>
        <w:t>ó</w:t>
      </w:r>
      <w:r>
        <w:rPr>
          <w:rFonts w:ascii="Tahoma" w:hAnsi="Tahoma" w:cs="Tahoma"/>
          <w:spacing w:val="12"/>
          <w:sz w:val="25"/>
          <w:szCs w:val="25"/>
        </w:rPr>
        <w:t xml:space="preserve">n Ejecutiva del Consejo de Transporte </w:t>
      </w:r>
      <w:r w:rsidR="00AE678E">
        <w:rPr>
          <w:rFonts w:ascii="Tahoma" w:hAnsi="Tahoma" w:cs="Tahoma"/>
          <w:spacing w:val="12"/>
          <w:sz w:val="25"/>
          <w:szCs w:val="25"/>
        </w:rPr>
        <w:t>Público</w:t>
      </w:r>
      <w:r>
        <w:rPr>
          <w:rFonts w:ascii="Tahoma" w:hAnsi="Tahoma" w:cs="Tahoma"/>
          <w:spacing w:val="12"/>
          <w:sz w:val="25"/>
          <w:szCs w:val="25"/>
        </w:rPr>
        <w:t xml:space="preserve">, es improcedente y </w:t>
      </w:r>
      <w:r w:rsidR="00AE678E">
        <w:rPr>
          <w:rFonts w:ascii="Tahoma" w:hAnsi="Tahoma" w:cs="Tahoma"/>
          <w:spacing w:val="12"/>
          <w:sz w:val="25"/>
          <w:szCs w:val="25"/>
        </w:rPr>
        <w:t>así</w:t>
      </w:r>
      <w:r>
        <w:rPr>
          <w:rFonts w:ascii="Tahoma" w:hAnsi="Tahoma" w:cs="Tahoma"/>
          <w:spacing w:val="12"/>
          <w:sz w:val="25"/>
          <w:szCs w:val="25"/>
        </w:rPr>
        <w:t xml:space="preserve"> debe de ser declarado.</w:t>
      </w:r>
    </w:p>
    <w:p w:rsidR="00000000" w:rsidRDefault="00EE6EBF">
      <w:pPr>
        <w:kinsoku w:val="0"/>
        <w:overflowPunct w:val="0"/>
        <w:autoSpaceDE/>
        <w:autoSpaceDN/>
        <w:adjustRightInd/>
        <w:spacing w:before="323" w:line="292" w:lineRule="exact"/>
        <w:ind w:right="576"/>
        <w:jc w:val="both"/>
        <w:textAlignment w:val="baseline"/>
        <w:rPr>
          <w:rFonts w:ascii="Tahoma" w:hAnsi="Tahoma" w:cs="Tahoma"/>
          <w:spacing w:val="13"/>
          <w:sz w:val="25"/>
          <w:szCs w:val="25"/>
        </w:rPr>
      </w:pPr>
      <w:r>
        <w:rPr>
          <w:rFonts w:ascii="Tahoma" w:hAnsi="Tahoma" w:cs="Tahoma"/>
          <w:spacing w:val="13"/>
          <w:sz w:val="25"/>
          <w:szCs w:val="25"/>
        </w:rPr>
        <w:t xml:space="preserve">Como se puede colegir de las piezas del expediente el </w:t>
      </w:r>
      <w:r>
        <w:rPr>
          <w:rFonts w:ascii="Tahoma" w:hAnsi="Tahoma" w:cs="Tahoma"/>
          <w:b/>
          <w:bCs/>
          <w:spacing w:val="13"/>
          <w:sz w:val="25"/>
          <w:szCs w:val="25"/>
        </w:rPr>
        <w:t>oficio DE-2013</w:t>
      </w:r>
      <w:r>
        <w:rPr>
          <w:rFonts w:ascii="Tahoma" w:hAnsi="Tahoma" w:cs="Tahoma"/>
          <w:b/>
          <w:bCs/>
          <w:spacing w:val="13"/>
          <w:sz w:val="25"/>
          <w:szCs w:val="25"/>
        </w:rPr>
        <w:softHyphen/>
        <w:t xml:space="preserve">2252, </w:t>
      </w:r>
      <w:r>
        <w:rPr>
          <w:rFonts w:ascii="Tahoma" w:hAnsi="Tahoma" w:cs="Tahoma"/>
          <w:spacing w:val="13"/>
          <w:sz w:val="25"/>
          <w:szCs w:val="25"/>
        </w:rPr>
        <w:t>del- 30 de julio de 2013, es un acto interno del Consejo que cla</w:t>
      </w:r>
      <w:r>
        <w:rPr>
          <w:rFonts w:ascii="Tahoma" w:hAnsi="Tahoma" w:cs="Tahoma"/>
          <w:spacing w:val="13"/>
          <w:sz w:val="25"/>
          <w:szCs w:val="25"/>
        </w:rPr>
        <w:t xml:space="preserve">ro </w:t>
      </w:r>
      <w:r w:rsidR="00AE678E">
        <w:rPr>
          <w:rFonts w:ascii="Tahoma" w:hAnsi="Tahoma" w:cs="Tahoma"/>
          <w:spacing w:val="13"/>
          <w:sz w:val="25"/>
          <w:szCs w:val="25"/>
        </w:rPr>
        <w:t>está</w:t>
      </w:r>
      <w:r>
        <w:rPr>
          <w:rFonts w:ascii="Tahoma" w:hAnsi="Tahoma" w:cs="Tahoma"/>
          <w:spacing w:val="13"/>
          <w:sz w:val="25"/>
          <w:szCs w:val="25"/>
        </w:rPr>
        <w:t xml:space="preserve">, cuenta con los recursos ordinarios previstos en la Ley General de la </w:t>
      </w:r>
      <w:r w:rsidR="00AE678E">
        <w:rPr>
          <w:rFonts w:ascii="Tahoma" w:hAnsi="Tahoma" w:cs="Tahoma"/>
          <w:spacing w:val="13"/>
          <w:sz w:val="25"/>
          <w:szCs w:val="25"/>
        </w:rPr>
        <w:t>Administración</w:t>
      </w:r>
      <w:r>
        <w:rPr>
          <w:rFonts w:ascii="Tahoma" w:hAnsi="Tahoma" w:cs="Tahoma"/>
          <w:spacing w:val="13"/>
          <w:sz w:val="25"/>
          <w:szCs w:val="25"/>
        </w:rPr>
        <w:t xml:space="preserve"> Publica, pero cuya alzada es competencia de la Junta Directiva y no del Tribunal Administrativo de Transporte, ya que este solo es competente para conocer de los a</w:t>
      </w:r>
      <w:r>
        <w:rPr>
          <w:rFonts w:ascii="Tahoma" w:hAnsi="Tahoma" w:cs="Tahoma"/>
          <w:spacing w:val="13"/>
          <w:sz w:val="25"/>
          <w:szCs w:val="25"/>
        </w:rPr>
        <w:t xml:space="preserve">ctos administrativos emanados de la Junta Directiva del Consejo de Transporte </w:t>
      </w:r>
      <w:r w:rsidR="00AE678E">
        <w:rPr>
          <w:rFonts w:ascii="Tahoma" w:hAnsi="Tahoma" w:cs="Tahoma"/>
          <w:spacing w:val="13"/>
          <w:sz w:val="25"/>
          <w:szCs w:val="25"/>
        </w:rPr>
        <w:t>Público</w:t>
      </w:r>
      <w:r>
        <w:rPr>
          <w:rFonts w:ascii="Tahoma" w:hAnsi="Tahoma" w:cs="Tahoma"/>
          <w:spacing w:val="13"/>
          <w:sz w:val="25"/>
          <w:szCs w:val="25"/>
        </w:rPr>
        <w:t>.</w:t>
      </w:r>
    </w:p>
    <w:p w:rsidR="00000000" w:rsidRDefault="00EE6EBF">
      <w:pPr>
        <w:kinsoku w:val="0"/>
        <w:overflowPunct w:val="0"/>
        <w:autoSpaceDE/>
        <w:autoSpaceDN/>
        <w:adjustRightInd/>
        <w:spacing w:before="588" w:line="292" w:lineRule="exact"/>
        <w:ind w:right="576"/>
        <w:jc w:val="both"/>
        <w:textAlignment w:val="baseline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De conformidad con el numeral 22 de La Ley de Transporte Remunerado de Personas en </w:t>
      </w:r>
      <w:r w:rsidR="00AE678E">
        <w:rPr>
          <w:rFonts w:ascii="Tahoma" w:hAnsi="Tahoma" w:cs="Tahoma"/>
          <w:sz w:val="25"/>
          <w:szCs w:val="25"/>
        </w:rPr>
        <w:t>Vehículos</w:t>
      </w:r>
      <w:r>
        <w:rPr>
          <w:rFonts w:ascii="Tahoma" w:hAnsi="Tahoma" w:cs="Tahoma"/>
          <w:sz w:val="25"/>
          <w:szCs w:val="25"/>
        </w:rPr>
        <w:t xml:space="preserve"> en la Modalidad de Taxi, N. 7969 del 22 de diciembre de 1999, el Tribunal es competente:</w:t>
      </w:r>
    </w:p>
    <w:p w:rsidR="00000000" w:rsidRDefault="00EE6EBF">
      <w:pPr>
        <w:kinsoku w:val="0"/>
        <w:overflowPunct w:val="0"/>
        <w:autoSpaceDE/>
        <w:autoSpaceDN/>
        <w:adjustRightInd/>
        <w:spacing w:before="282" w:line="294" w:lineRule="exact"/>
        <w:ind w:left="360"/>
        <w:textAlignment w:val="baseline"/>
        <w:rPr>
          <w:rFonts w:ascii="Tahoma" w:hAnsi="Tahoma" w:cs="Tahoma"/>
          <w:i/>
          <w:iCs/>
          <w:spacing w:val="11"/>
          <w:sz w:val="25"/>
          <w:szCs w:val="25"/>
        </w:rPr>
      </w:pPr>
      <w:r>
        <w:rPr>
          <w:rFonts w:ascii="Tahoma" w:hAnsi="Tahoma" w:cs="Tahoma"/>
          <w:i/>
          <w:iCs/>
          <w:spacing w:val="11"/>
          <w:sz w:val="25"/>
          <w:szCs w:val="25"/>
        </w:rPr>
        <w:t>"ARTICULO 22.- Competencia del Tribunal</w:t>
      </w:r>
    </w:p>
    <w:p w:rsidR="00000000" w:rsidRDefault="00EE6EBF">
      <w:pPr>
        <w:kinsoku w:val="0"/>
        <w:overflowPunct w:val="0"/>
        <w:autoSpaceDE/>
        <w:autoSpaceDN/>
        <w:adjustRightInd/>
        <w:spacing w:before="1" w:line="292" w:lineRule="exact"/>
        <w:ind w:left="360"/>
        <w:textAlignment w:val="baseline"/>
        <w:rPr>
          <w:rFonts w:ascii="Tahoma" w:hAnsi="Tahoma" w:cs="Tahoma"/>
          <w:i/>
          <w:iCs/>
          <w:spacing w:val="10"/>
          <w:sz w:val="25"/>
          <w:szCs w:val="25"/>
        </w:rPr>
      </w:pP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El Tribunal </w:t>
      </w:r>
      <w:r w:rsidR="00AE678E">
        <w:rPr>
          <w:rFonts w:ascii="Tahoma" w:hAnsi="Tahoma" w:cs="Tahoma"/>
          <w:i/>
          <w:iCs/>
          <w:spacing w:val="10"/>
          <w:sz w:val="25"/>
          <w:szCs w:val="25"/>
        </w:rPr>
        <w:t>será</w:t>
      </w:r>
      <w:r>
        <w:rPr>
          <w:rFonts w:ascii="Tahoma" w:hAnsi="Tahoma" w:cs="Tahoma"/>
          <w:i/>
          <w:iCs/>
          <w:spacing w:val="10"/>
          <w:sz w:val="25"/>
          <w:szCs w:val="25"/>
        </w:rPr>
        <w:t xml:space="preserve"> competente para l</w:t>
      </w:r>
      <w:r>
        <w:rPr>
          <w:rFonts w:ascii="Tahoma" w:hAnsi="Tahoma" w:cs="Tahoma"/>
          <w:i/>
          <w:iCs/>
          <w:spacing w:val="10"/>
          <w:sz w:val="25"/>
          <w:szCs w:val="25"/>
        </w:rPr>
        <w:t>o siguiente:</w:t>
      </w:r>
    </w:p>
    <w:p w:rsidR="00000000" w:rsidRDefault="00EE6EBF">
      <w:pPr>
        <w:kinsoku w:val="0"/>
        <w:overflowPunct w:val="0"/>
        <w:autoSpaceDE/>
        <w:autoSpaceDN/>
        <w:adjustRightInd/>
        <w:spacing w:before="341" w:line="221" w:lineRule="exact"/>
        <w:jc w:val="right"/>
        <w:textAlignment w:val="baseline"/>
        <w:rPr>
          <w:spacing w:val="3"/>
          <w:sz w:val="19"/>
          <w:szCs w:val="19"/>
        </w:rPr>
      </w:pPr>
    </w:p>
    <w:p w:rsidR="00000000" w:rsidRDefault="00EE6EBF">
      <w:pPr>
        <w:widowControl/>
        <w:rPr>
          <w:sz w:val="24"/>
          <w:szCs w:val="24"/>
        </w:rPr>
        <w:sectPr w:rsidR="00000000">
          <w:pgSz w:w="12134" w:h="15840"/>
          <w:pgMar w:top="2060" w:right="624" w:bottom="384" w:left="1430" w:header="720" w:footer="720" w:gutter="0"/>
          <w:cols w:space="720"/>
          <w:noEndnote/>
        </w:sectPr>
      </w:pPr>
    </w:p>
    <w:p w:rsidR="00000000" w:rsidRDefault="00EE6EB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3" w:line="294" w:lineRule="exact"/>
        <w:ind w:right="576"/>
        <w:jc w:val="both"/>
        <w:textAlignment w:val="baseline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Conocer y resolver, en sede administrativa, los recursos de </w:t>
      </w:r>
      <w:r w:rsidR="00AE678E">
        <w:rPr>
          <w:rFonts w:ascii="Verdana" w:hAnsi="Verdana" w:cs="Verdana"/>
          <w:b/>
          <w:bCs/>
          <w:i/>
          <w:iCs/>
          <w:sz w:val="24"/>
          <w:szCs w:val="24"/>
        </w:rPr>
        <w:t>apelación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que se interpongan contra cualquier acto o </w:t>
      </w:r>
      <w:r w:rsidR="00AE678E">
        <w:rPr>
          <w:rFonts w:ascii="Verdana" w:hAnsi="Verdana" w:cs="Verdana"/>
          <w:b/>
          <w:bCs/>
          <w:i/>
          <w:iCs/>
          <w:sz w:val="24"/>
          <w:szCs w:val="24"/>
        </w:rPr>
        <w:t>resolución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del Consejo.</w:t>
      </w:r>
    </w:p>
    <w:p w:rsidR="00000000" w:rsidRDefault="00EE6EB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7" w:line="292" w:lineRule="exact"/>
        <w:ind w:right="576"/>
        <w:jc w:val="both"/>
        <w:textAlignment w:val="baseline"/>
        <w:rPr>
          <w:rFonts w:ascii="Verdana" w:hAnsi="Verdana" w:cs="Verdana"/>
          <w:i/>
          <w:iCs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 xml:space="preserve">Establecer, en </w:t>
      </w:r>
      <w:r w:rsidR="00AE678E">
        <w:rPr>
          <w:rFonts w:ascii="Verdana" w:hAnsi="Verdana" w:cs="Verdana"/>
          <w:i/>
          <w:iCs/>
          <w:sz w:val="24"/>
          <w:szCs w:val="24"/>
        </w:rPr>
        <w:t>vía</w:t>
      </w:r>
      <w:r>
        <w:rPr>
          <w:rFonts w:ascii="Verdana" w:hAnsi="Verdana" w:cs="Verdana"/>
          <w:i/>
          <w:iCs/>
          <w:sz w:val="24"/>
          <w:szCs w:val="24"/>
        </w:rPr>
        <w:t xml:space="preserve"> administrativa, las indemnizaciones que puedan originarse en </w:t>
      </w:r>
      <w:r w:rsidR="00AE678E">
        <w:rPr>
          <w:rFonts w:ascii="Verdana" w:hAnsi="Verdana" w:cs="Verdana"/>
          <w:i/>
          <w:iCs/>
          <w:sz w:val="24"/>
          <w:szCs w:val="24"/>
        </w:rPr>
        <w:t>relación</w:t>
      </w:r>
      <w:r>
        <w:rPr>
          <w:rFonts w:ascii="Verdana" w:hAnsi="Verdana" w:cs="Verdana"/>
          <w:i/>
          <w:iCs/>
          <w:sz w:val="24"/>
          <w:szCs w:val="24"/>
        </w:rPr>
        <w:t xml:space="preserve"> con los da</w:t>
      </w:r>
      <w:r w:rsidR="00AE678E">
        <w:rPr>
          <w:rFonts w:ascii="Verdana" w:hAnsi="Verdana" w:cs="Verdana"/>
          <w:i/>
          <w:iCs/>
          <w:sz w:val="24"/>
          <w:szCs w:val="24"/>
        </w:rPr>
        <w:t>ñ</w:t>
      </w:r>
      <w:r>
        <w:rPr>
          <w:rFonts w:ascii="Verdana" w:hAnsi="Verdana" w:cs="Verdana"/>
          <w:i/>
          <w:iCs/>
          <w:sz w:val="24"/>
          <w:szCs w:val="24"/>
        </w:rPr>
        <w:t xml:space="preserve">os producidos por violaciones de la </w:t>
      </w:r>
      <w:r w:rsidR="00AE678E">
        <w:rPr>
          <w:rFonts w:ascii="Verdana" w:hAnsi="Verdana" w:cs="Verdana"/>
          <w:i/>
          <w:iCs/>
          <w:sz w:val="24"/>
          <w:szCs w:val="24"/>
        </w:rPr>
        <w:t>legislación</w:t>
      </w:r>
      <w:r>
        <w:rPr>
          <w:rFonts w:ascii="Verdana" w:hAnsi="Verdana" w:cs="Verdana"/>
          <w:i/>
          <w:iCs/>
          <w:sz w:val="24"/>
          <w:szCs w:val="24"/>
        </w:rPr>
        <w:t xml:space="preserve"> del transporte p</w:t>
      </w:r>
      <w:r w:rsidR="00AE678E">
        <w:rPr>
          <w:rFonts w:ascii="Verdana" w:hAnsi="Verdana" w:cs="Verdana"/>
          <w:i/>
          <w:iCs/>
          <w:sz w:val="24"/>
          <w:szCs w:val="24"/>
        </w:rPr>
        <w:t>úblico</w:t>
      </w:r>
      <w:r>
        <w:rPr>
          <w:rFonts w:ascii="Verdana" w:hAnsi="Verdana" w:cs="Verdana"/>
          <w:i/>
          <w:iCs/>
          <w:sz w:val="24"/>
          <w:szCs w:val="24"/>
        </w:rPr>
        <w:t>.</w:t>
      </w:r>
    </w:p>
    <w:p w:rsidR="00000000" w:rsidRDefault="00EE6EBF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299" w:lineRule="exact"/>
        <w:ind w:right="576"/>
        <w:jc w:val="both"/>
        <w:textAlignment w:val="baseline"/>
        <w:rPr>
          <w:rFonts w:ascii="Verdana" w:hAnsi="Verdana" w:cs="Verdana"/>
          <w:i/>
          <w:iCs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 xml:space="preserve">Las resoluciones del 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Tribunal </w:t>
      </w:r>
      <w:r>
        <w:rPr>
          <w:rFonts w:ascii="Verdana" w:hAnsi="Verdana" w:cs="Verdana"/>
          <w:i/>
          <w:iCs/>
          <w:sz w:val="24"/>
          <w:szCs w:val="24"/>
        </w:rPr>
        <w:t xml:space="preserve">no </w:t>
      </w:r>
      <w:r w:rsidR="00AE678E">
        <w:rPr>
          <w:rFonts w:ascii="Verdana" w:hAnsi="Verdana" w:cs="Verdana"/>
          <w:i/>
          <w:iCs/>
          <w:sz w:val="24"/>
          <w:szCs w:val="24"/>
        </w:rPr>
        <w:t>tendrán</w:t>
      </w:r>
      <w:r>
        <w:rPr>
          <w:rFonts w:ascii="Verdana" w:hAnsi="Verdana" w:cs="Verdana"/>
          <w:i/>
          <w:iCs/>
          <w:sz w:val="24"/>
          <w:szCs w:val="24"/>
        </w:rPr>
        <w:t xml:space="preserve"> mas recursos y </w:t>
      </w:r>
      <w:r w:rsidR="00AE678E">
        <w:rPr>
          <w:rFonts w:ascii="Verdana" w:hAnsi="Verdana" w:cs="Verdana"/>
          <w:i/>
          <w:iCs/>
          <w:sz w:val="24"/>
          <w:szCs w:val="24"/>
        </w:rPr>
        <w:t>darán</w:t>
      </w:r>
      <w:r>
        <w:rPr>
          <w:rFonts w:ascii="Verdana" w:hAnsi="Verdana" w:cs="Verdana"/>
          <w:i/>
          <w:iCs/>
          <w:sz w:val="24"/>
          <w:szCs w:val="24"/>
        </w:rPr>
        <w:t xml:space="preserve"> por agotada la </w:t>
      </w:r>
      <w:r w:rsidR="00AE678E">
        <w:rPr>
          <w:rFonts w:ascii="Verdana" w:hAnsi="Verdana" w:cs="Verdana"/>
          <w:i/>
          <w:iCs/>
          <w:sz w:val="24"/>
          <w:szCs w:val="24"/>
        </w:rPr>
        <w:t>vía</w:t>
      </w:r>
      <w:r>
        <w:rPr>
          <w:rFonts w:ascii="Verdana" w:hAnsi="Verdana" w:cs="Verdana"/>
          <w:i/>
          <w:iCs/>
          <w:sz w:val="24"/>
          <w:szCs w:val="24"/>
        </w:rPr>
        <w:t xml:space="preserve"> ad</w:t>
      </w:r>
      <w:r>
        <w:rPr>
          <w:rFonts w:ascii="Verdana" w:hAnsi="Verdana" w:cs="Verdana"/>
          <w:i/>
          <w:iCs/>
          <w:sz w:val="24"/>
          <w:szCs w:val="24"/>
        </w:rPr>
        <w:t>ministrativa." ( el resaltado es nuestro)</w:t>
      </w:r>
    </w:p>
    <w:p w:rsidR="00000000" w:rsidRDefault="00EE6EBF">
      <w:pPr>
        <w:kinsoku w:val="0"/>
        <w:overflowPunct w:val="0"/>
        <w:autoSpaceDE/>
        <w:autoSpaceDN/>
        <w:adjustRightInd/>
        <w:spacing w:before="599" w:line="295" w:lineRule="exact"/>
        <w:ind w:right="576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Como se puede verificar de lo dicho el </w:t>
      </w:r>
      <w:r w:rsidR="00AE678E">
        <w:rPr>
          <w:rFonts w:ascii="Verdana" w:hAnsi="Verdana" w:cs="Verdana"/>
          <w:sz w:val="24"/>
          <w:szCs w:val="24"/>
        </w:rPr>
        <w:t>órgano</w:t>
      </w:r>
      <w:r>
        <w:rPr>
          <w:rFonts w:ascii="Verdana" w:hAnsi="Verdana" w:cs="Verdana"/>
          <w:sz w:val="24"/>
          <w:szCs w:val="24"/>
        </w:rPr>
        <w:t xml:space="preserve"> de alzada, tiene la competencia para conocer de los recursos de </w:t>
      </w:r>
      <w:r w:rsidR="00AE678E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que se le presenten contra los actos del Consejo de Transporte </w:t>
      </w:r>
      <w:r w:rsidR="00AE678E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, sin embargo, al revisar el acto impugnado, se puede determinar con meridiana claridad que dicho acto es directo y propio de un </w:t>
      </w:r>
      <w:r w:rsidR="00AE678E">
        <w:rPr>
          <w:rFonts w:ascii="Verdana" w:hAnsi="Verdana" w:cs="Verdana"/>
          <w:sz w:val="24"/>
          <w:szCs w:val="24"/>
        </w:rPr>
        <w:t>órgano</w:t>
      </w:r>
      <w:r>
        <w:rPr>
          <w:rFonts w:ascii="Verdana" w:hAnsi="Verdana" w:cs="Verdana"/>
          <w:sz w:val="24"/>
          <w:szCs w:val="24"/>
        </w:rPr>
        <w:t xml:space="preserve"> inferior dentro de la estructura organizacional del Consejo, el cual no es recurrible ante el Tribunal Administrativo de</w:t>
      </w:r>
      <w:r>
        <w:rPr>
          <w:rFonts w:ascii="Verdana" w:hAnsi="Verdana" w:cs="Verdana"/>
          <w:sz w:val="24"/>
          <w:szCs w:val="24"/>
        </w:rPr>
        <w:t xml:space="preserve"> Transporte, sino ante la Junta Directiva del </w:t>
      </w:r>
      <w:r w:rsidR="00AE678E">
        <w:rPr>
          <w:rFonts w:ascii="Verdana" w:hAnsi="Verdana" w:cs="Verdana"/>
          <w:sz w:val="24"/>
          <w:szCs w:val="24"/>
        </w:rPr>
        <w:t>órgano</w:t>
      </w:r>
      <w:r>
        <w:rPr>
          <w:rFonts w:ascii="Verdana" w:hAnsi="Verdana" w:cs="Verdana"/>
          <w:sz w:val="24"/>
          <w:szCs w:val="24"/>
        </w:rPr>
        <w:t xml:space="preserve"> colegiado de referencia.</w:t>
      </w:r>
    </w:p>
    <w:p w:rsidR="00000000" w:rsidRDefault="00EE6EBF">
      <w:pPr>
        <w:kinsoku w:val="0"/>
        <w:overflowPunct w:val="0"/>
        <w:autoSpaceDE/>
        <w:autoSpaceDN/>
        <w:adjustRightInd/>
        <w:spacing w:line="288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El </w:t>
      </w:r>
      <w:r w:rsidR="00AE678E">
        <w:rPr>
          <w:rFonts w:ascii="Verdana" w:hAnsi="Verdana" w:cs="Verdana"/>
          <w:sz w:val="24"/>
          <w:szCs w:val="24"/>
        </w:rPr>
        <w:t>artículo</w:t>
      </w:r>
      <w:r>
        <w:rPr>
          <w:rFonts w:ascii="Verdana" w:hAnsi="Verdana" w:cs="Verdana"/>
          <w:sz w:val="24"/>
          <w:szCs w:val="24"/>
        </w:rPr>
        <w:t xml:space="preserve"> 106 de la Ley General de la </w:t>
      </w:r>
      <w:r w:rsidR="00AE678E">
        <w:rPr>
          <w:rFonts w:ascii="Verdana" w:hAnsi="Verdana" w:cs="Verdana"/>
          <w:sz w:val="24"/>
          <w:szCs w:val="24"/>
        </w:rPr>
        <w:t>Administración Pú</w:t>
      </w:r>
      <w:r>
        <w:rPr>
          <w:rFonts w:ascii="Verdana" w:hAnsi="Verdana" w:cs="Verdana"/>
          <w:sz w:val="24"/>
          <w:szCs w:val="24"/>
        </w:rPr>
        <w:t>blica indica:</w:t>
      </w:r>
    </w:p>
    <w:p w:rsidR="00000000" w:rsidRDefault="00EE6EBF">
      <w:pPr>
        <w:kinsoku w:val="0"/>
        <w:overflowPunct w:val="0"/>
        <w:autoSpaceDE/>
        <w:autoSpaceDN/>
        <w:adjustRightInd/>
        <w:spacing w:before="303" w:line="295" w:lineRule="exact"/>
        <w:ind w:right="576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"Articulo 106.- </w:t>
      </w:r>
      <w:r>
        <w:rPr>
          <w:rFonts w:ascii="Verdana" w:hAnsi="Verdana" w:cs="Verdana"/>
          <w:sz w:val="24"/>
          <w:szCs w:val="24"/>
        </w:rPr>
        <w:t xml:space="preserve">De no excluirse expresamente, </w:t>
      </w:r>
      <w:r w:rsidR="00AE678E">
        <w:rPr>
          <w:rFonts w:ascii="Verdana" w:hAnsi="Verdana" w:cs="Verdana"/>
          <w:sz w:val="24"/>
          <w:szCs w:val="24"/>
        </w:rPr>
        <w:t>habrá</w:t>
      </w:r>
      <w:r>
        <w:rPr>
          <w:rFonts w:ascii="Verdana" w:hAnsi="Verdana" w:cs="Verdana"/>
          <w:sz w:val="24"/>
          <w:szCs w:val="24"/>
        </w:rPr>
        <w:t xml:space="preserve"> recurso </w:t>
      </w:r>
      <w:r w:rsidR="00AE678E">
        <w:rPr>
          <w:rFonts w:ascii="Verdana" w:hAnsi="Verdana" w:cs="Verdana"/>
          <w:sz w:val="24"/>
          <w:szCs w:val="24"/>
        </w:rPr>
        <w:t>jerárquico</w:t>
      </w:r>
      <w:r>
        <w:rPr>
          <w:rFonts w:ascii="Verdana" w:hAnsi="Verdana" w:cs="Verdana"/>
          <w:sz w:val="24"/>
          <w:szCs w:val="24"/>
        </w:rPr>
        <w:t xml:space="preserve"> contra todo acto del inferior, en lo</w:t>
      </w:r>
      <w:r>
        <w:rPr>
          <w:rFonts w:ascii="Verdana" w:hAnsi="Verdana" w:cs="Verdana"/>
          <w:sz w:val="24"/>
          <w:szCs w:val="24"/>
        </w:rPr>
        <w:t xml:space="preserve">s </w:t>
      </w:r>
      <w:r w:rsidR="00AE678E">
        <w:rPr>
          <w:rFonts w:ascii="Verdana" w:hAnsi="Verdana" w:cs="Verdana"/>
          <w:sz w:val="24"/>
          <w:szCs w:val="24"/>
        </w:rPr>
        <w:t>términos</w:t>
      </w:r>
      <w:r>
        <w:rPr>
          <w:rFonts w:ascii="Verdana" w:hAnsi="Verdana" w:cs="Verdana"/>
          <w:sz w:val="24"/>
          <w:szCs w:val="24"/>
        </w:rPr>
        <w:t xml:space="preserve"> de esta ley."</w:t>
      </w:r>
    </w:p>
    <w:p w:rsidR="00000000" w:rsidRDefault="00EE6EBF">
      <w:pPr>
        <w:kinsoku w:val="0"/>
        <w:overflowPunct w:val="0"/>
        <w:autoSpaceDE/>
        <w:autoSpaceDN/>
        <w:adjustRightInd/>
        <w:spacing w:before="577" w:line="295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Como se colige del numeral 106 de </w:t>
      </w:r>
      <w:r w:rsidR="00AE678E">
        <w:rPr>
          <w:rFonts w:ascii="Verdana" w:hAnsi="Verdana" w:cs="Verdana"/>
          <w:sz w:val="24"/>
          <w:szCs w:val="24"/>
        </w:rPr>
        <w:t>la Ley General de l</w:t>
      </w:r>
      <w:r>
        <w:rPr>
          <w:rFonts w:ascii="Verdana" w:hAnsi="Verdana" w:cs="Verdana"/>
          <w:sz w:val="24"/>
          <w:szCs w:val="24"/>
        </w:rPr>
        <w:t xml:space="preserve">a </w:t>
      </w:r>
      <w:r w:rsidR="00AE678E">
        <w:rPr>
          <w:rFonts w:ascii="Verdana" w:hAnsi="Verdana" w:cs="Verdana"/>
          <w:sz w:val="24"/>
          <w:szCs w:val="24"/>
        </w:rPr>
        <w:t>Administración Pú</w:t>
      </w:r>
      <w:r>
        <w:rPr>
          <w:rFonts w:ascii="Verdana" w:hAnsi="Verdana" w:cs="Verdana"/>
          <w:sz w:val="24"/>
          <w:szCs w:val="24"/>
        </w:rPr>
        <w:t xml:space="preserve">blica, los actos Administrativos como el que </w:t>
      </w:r>
      <w:r w:rsidR="00AE678E">
        <w:rPr>
          <w:rFonts w:ascii="Verdana" w:hAnsi="Verdana" w:cs="Verdana"/>
          <w:sz w:val="24"/>
          <w:szCs w:val="24"/>
        </w:rPr>
        <w:t>impugna l</w:t>
      </w:r>
      <w:r>
        <w:rPr>
          <w:rFonts w:ascii="Verdana" w:hAnsi="Verdana" w:cs="Verdana"/>
          <w:sz w:val="24"/>
          <w:szCs w:val="24"/>
        </w:rPr>
        <w:t>a recurrente, si son susceptibles de ser recurridos, mas a</w:t>
      </w:r>
      <w:r w:rsidR="00AE678E">
        <w:rPr>
          <w:rFonts w:ascii="Verdana" w:hAnsi="Verdana" w:cs="Verdana"/>
          <w:sz w:val="24"/>
          <w:szCs w:val="24"/>
        </w:rPr>
        <w:t>ú</w:t>
      </w:r>
      <w:r>
        <w:rPr>
          <w:rFonts w:ascii="Verdana" w:hAnsi="Verdana" w:cs="Verdana"/>
          <w:sz w:val="24"/>
          <w:szCs w:val="24"/>
        </w:rPr>
        <w:t xml:space="preserve">n si causan estado al Administrado; Siendo </w:t>
      </w:r>
      <w:r w:rsidR="00AE678E">
        <w:rPr>
          <w:rFonts w:ascii="Verdana" w:hAnsi="Verdana" w:cs="Verdana"/>
          <w:sz w:val="24"/>
          <w:szCs w:val="24"/>
        </w:rPr>
        <w:t>así</w:t>
      </w:r>
      <w:r>
        <w:rPr>
          <w:rFonts w:ascii="Verdana" w:hAnsi="Verdana" w:cs="Verdana"/>
          <w:sz w:val="24"/>
          <w:szCs w:val="24"/>
        </w:rPr>
        <w:t xml:space="preserve">, un acto emanado de un </w:t>
      </w:r>
      <w:r w:rsidR="00AE678E">
        <w:rPr>
          <w:rFonts w:ascii="Verdana" w:hAnsi="Verdana" w:cs="Verdana"/>
          <w:sz w:val="24"/>
          <w:szCs w:val="24"/>
        </w:rPr>
        <w:t>órgano</w:t>
      </w:r>
      <w:r>
        <w:rPr>
          <w:rFonts w:ascii="Verdana" w:hAnsi="Verdana" w:cs="Verdana"/>
          <w:sz w:val="24"/>
          <w:szCs w:val="24"/>
        </w:rPr>
        <w:t xml:space="preserve"> inferior del Consejo de Transporte </w:t>
      </w:r>
      <w:r w:rsidR="00AE678E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 tiene Revocatoria ante aquel que lo </w:t>
      </w:r>
      <w:r w:rsidR="00AE678E">
        <w:rPr>
          <w:rFonts w:ascii="Verdana" w:hAnsi="Verdana" w:cs="Verdana"/>
          <w:sz w:val="24"/>
          <w:szCs w:val="24"/>
        </w:rPr>
        <w:t>emitió</w:t>
      </w:r>
      <w:r>
        <w:rPr>
          <w:rFonts w:ascii="Verdana" w:hAnsi="Verdana" w:cs="Verdana"/>
          <w:sz w:val="24"/>
          <w:szCs w:val="24"/>
        </w:rPr>
        <w:t xml:space="preserve"> y la </w:t>
      </w:r>
      <w:r w:rsidR="00AE678E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ante el </w:t>
      </w:r>
      <w:r w:rsidR="00AE678E">
        <w:rPr>
          <w:rFonts w:ascii="Verdana" w:hAnsi="Verdana" w:cs="Verdana"/>
          <w:sz w:val="24"/>
          <w:szCs w:val="24"/>
        </w:rPr>
        <w:t>órgano</w:t>
      </w:r>
      <w:r>
        <w:rPr>
          <w:rFonts w:ascii="Verdana" w:hAnsi="Verdana" w:cs="Verdana"/>
          <w:sz w:val="24"/>
          <w:szCs w:val="24"/>
        </w:rPr>
        <w:t xml:space="preserve"> superior de este que es La Junta Directiva del CTP.</w:t>
      </w:r>
    </w:p>
    <w:p w:rsidR="00000000" w:rsidRDefault="00EE6EBF">
      <w:pPr>
        <w:kinsoku w:val="0"/>
        <w:overflowPunct w:val="0"/>
        <w:autoSpaceDE/>
        <w:autoSpaceDN/>
        <w:adjustRightInd/>
        <w:spacing w:before="598" w:after="2384" w:line="295" w:lineRule="exact"/>
        <w:ind w:right="576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Por lo indicado anteriormente lo procedente es devolver c</w:t>
      </w:r>
      <w:r w:rsidR="00AE678E">
        <w:rPr>
          <w:rFonts w:ascii="Verdana" w:hAnsi="Verdana" w:cs="Verdana"/>
          <w:sz w:val="24"/>
          <w:szCs w:val="24"/>
        </w:rPr>
        <w:t>on l</w:t>
      </w:r>
      <w:r>
        <w:rPr>
          <w:rFonts w:ascii="Verdana" w:hAnsi="Verdana" w:cs="Verdana"/>
          <w:sz w:val="24"/>
          <w:szCs w:val="24"/>
        </w:rPr>
        <w:t xml:space="preserve">a premura del caso a la Junta Directiva del Consejo de Transporte </w:t>
      </w:r>
      <w:r w:rsidR="00AE678E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 el asunto de </w:t>
      </w:r>
      <w:r w:rsidR="00AE678E">
        <w:rPr>
          <w:rFonts w:ascii="Verdana" w:hAnsi="Verdana" w:cs="Verdana"/>
          <w:sz w:val="24"/>
          <w:szCs w:val="24"/>
        </w:rPr>
        <w:t>análisis</w:t>
      </w:r>
      <w:r>
        <w:rPr>
          <w:rFonts w:ascii="Verdana" w:hAnsi="Verdana" w:cs="Verdana"/>
          <w:sz w:val="24"/>
          <w:szCs w:val="24"/>
        </w:rPr>
        <w:t xml:space="preserve">, Para que proceda conforme a derecho corresponde, </w:t>
      </w:r>
      <w:r w:rsidR="00AE678E">
        <w:rPr>
          <w:rFonts w:ascii="Verdana" w:hAnsi="Verdana" w:cs="Verdana"/>
          <w:sz w:val="24"/>
          <w:szCs w:val="24"/>
        </w:rPr>
        <w:t>garantizándose</w:t>
      </w:r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al</w:t>
      </w:r>
      <w:proofErr w:type="gramEnd"/>
      <w:r>
        <w:rPr>
          <w:rFonts w:ascii="Verdana" w:hAnsi="Verdana" w:cs="Verdana"/>
          <w:sz w:val="24"/>
          <w:szCs w:val="24"/>
        </w:rPr>
        <w:t xml:space="preserve"> administrado la Justicia Pronta y Cumplida.</w:t>
      </w:r>
    </w:p>
    <w:p w:rsidR="00000000" w:rsidRDefault="00EE6EBF">
      <w:pPr>
        <w:widowControl/>
        <w:rPr>
          <w:sz w:val="24"/>
          <w:szCs w:val="24"/>
        </w:rPr>
        <w:sectPr w:rsidR="00000000">
          <w:pgSz w:w="12134" w:h="15840"/>
          <w:pgMar w:top="2100" w:right="626" w:bottom="364" w:left="1428" w:header="720" w:footer="720" w:gutter="0"/>
          <w:cols w:space="720"/>
          <w:noEndnote/>
        </w:sectPr>
      </w:pPr>
    </w:p>
    <w:p w:rsidR="00000000" w:rsidRDefault="00EE6EBF">
      <w:pPr>
        <w:kinsoku w:val="0"/>
        <w:overflowPunct w:val="0"/>
        <w:autoSpaceDE/>
        <w:autoSpaceDN/>
        <w:adjustRightInd/>
        <w:spacing w:before="4" w:after="279" w:line="289" w:lineRule="exact"/>
        <w:jc w:val="center"/>
        <w:textAlignment w:val="baseline"/>
        <w:rPr>
          <w:rFonts w:ascii="Verdana" w:hAnsi="Verdana" w:cs="Verdana"/>
          <w:b/>
          <w:bCs/>
          <w:spacing w:val="-14"/>
          <w:sz w:val="24"/>
          <w:szCs w:val="24"/>
        </w:rPr>
      </w:pPr>
      <w:r>
        <w:rPr>
          <w:rFonts w:ascii="Verdana" w:hAnsi="Verdana" w:cs="Verdana"/>
          <w:b/>
          <w:bCs/>
          <w:spacing w:val="-14"/>
          <w:sz w:val="24"/>
          <w:szCs w:val="24"/>
        </w:rPr>
        <w:t>POR TANTO</w:t>
      </w:r>
    </w:p>
    <w:p w:rsidR="00000000" w:rsidRDefault="00EE6EBF">
      <w:pPr>
        <w:widowControl/>
        <w:rPr>
          <w:sz w:val="24"/>
          <w:szCs w:val="24"/>
        </w:rPr>
        <w:sectPr w:rsidR="00000000">
          <w:pgSz w:w="12134" w:h="15840"/>
          <w:pgMar w:top="2120" w:right="5126" w:bottom="100" w:left="5448" w:header="720" w:footer="720" w:gutter="0"/>
          <w:cols w:space="720"/>
          <w:noEndnote/>
        </w:sectPr>
      </w:pPr>
    </w:p>
    <w:p w:rsidR="00000000" w:rsidRDefault="00EE6EBF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2" w:line="295" w:lineRule="exact"/>
        <w:jc w:val="both"/>
        <w:textAlignment w:val="baseline"/>
        <w:rPr>
          <w:rFonts w:ascii="Verdana" w:hAnsi="Verdana" w:cs="Verdana"/>
          <w:spacing w:val="-8"/>
          <w:sz w:val="24"/>
          <w:szCs w:val="24"/>
        </w:rPr>
      </w:pPr>
      <w:r>
        <w:rPr>
          <w:rFonts w:ascii="Verdana" w:hAnsi="Verdana" w:cs="Verdana"/>
          <w:spacing w:val="-8"/>
          <w:sz w:val="24"/>
          <w:szCs w:val="24"/>
        </w:rPr>
        <w:t xml:space="preserve">Se Rechaza por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mal </w:t>
      </w:r>
      <w:r>
        <w:rPr>
          <w:rFonts w:ascii="Verdana" w:hAnsi="Verdana" w:cs="Verdana"/>
          <w:spacing w:val="-8"/>
          <w:sz w:val="24"/>
          <w:szCs w:val="24"/>
        </w:rPr>
        <w:t xml:space="preserve">elevado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RECURSO DE APELACI</w:t>
      </w:r>
      <w:r w:rsidR="00AE678E">
        <w:rPr>
          <w:rFonts w:ascii="Verdana" w:hAnsi="Verdana" w:cs="Verdana"/>
          <w:b/>
          <w:bCs/>
          <w:spacing w:val="-8"/>
          <w:sz w:val="24"/>
          <w:szCs w:val="24"/>
        </w:rPr>
        <w:t>Ó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N EN SUBSIDIO Y NULIDAD CONCOMITANTE Y RECURSO EXTRAORDINARIO DE REVISION POR ACTIVIDAD DEFECTUOSA INTERPUESTO </w:t>
      </w:r>
      <w:r>
        <w:rPr>
          <w:rFonts w:ascii="Verdana" w:hAnsi="Verdana" w:cs="Verdana"/>
          <w:spacing w:val="-8"/>
          <w:sz w:val="24"/>
          <w:szCs w:val="24"/>
        </w:rPr>
        <w:t xml:space="preserve">por la empresa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T</w:t>
      </w:r>
      <w:r w:rsidR="00AE678E">
        <w:rPr>
          <w:rFonts w:ascii="Verdana" w:hAnsi="Verdana" w:cs="Verdana"/>
          <w:b/>
          <w:bCs/>
          <w:spacing w:val="-8"/>
          <w:sz w:val="24"/>
          <w:szCs w:val="24"/>
        </w:rPr>
        <w:t>.T.V.S.A.,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 c</w:t>
      </w:r>
      <w:r w:rsidR="00AE678E">
        <w:rPr>
          <w:rFonts w:ascii="Verdana" w:hAnsi="Verdana" w:cs="Verdana"/>
          <w:b/>
          <w:bCs/>
          <w:spacing w:val="-8"/>
          <w:sz w:val="24"/>
          <w:szCs w:val="24"/>
        </w:rPr>
        <w:t>édula jurídica nú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mero </w:t>
      </w:r>
      <w:r w:rsidR="00AE678E">
        <w:rPr>
          <w:rFonts w:ascii="Verdana" w:hAnsi="Verdana" w:cs="Verdana"/>
          <w:b/>
          <w:bCs/>
          <w:spacing w:val="-8"/>
          <w:sz w:val="24"/>
          <w:szCs w:val="24"/>
        </w:rPr>
        <w:t>…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, </w:t>
      </w:r>
      <w:r>
        <w:rPr>
          <w:rFonts w:ascii="Verdana" w:hAnsi="Verdana" w:cs="Verdana"/>
          <w:spacing w:val="-8"/>
          <w:sz w:val="24"/>
          <w:szCs w:val="24"/>
        </w:rPr>
        <w:t xml:space="preserve">por medio de su Apoderado </w:t>
      </w:r>
      <w:r w:rsidR="00AE678E">
        <w:rPr>
          <w:rFonts w:ascii="Verdana" w:hAnsi="Verdana" w:cs="Verdana"/>
          <w:spacing w:val="-8"/>
          <w:sz w:val="24"/>
          <w:szCs w:val="24"/>
        </w:rPr>
        <w:t>Generalísimo</w:t>
      </w:r>
      <w:r>
        <w:rPr>
          <w:rFonts w:ascii="Verdana" w:hAnsi="Verdana" w:cs="Verdana"/>
          <w:spacing w:val="-8"/>
          <w:sz w:val="24"/>
          <w:szCs w:val="24"/>
        </w:rPr>
        <w:t xml:space="preserve"> sin </w:t>
      </w:r>
      <w:r w:rsidR="00AE678E">
        <w:rPr>
          <w:rFonts w:ascii="Verdana" w:hAnsi="Verdana" w:cs="Verdana"/>
          <w:spacing w:val="-8"/>
          <w:sz w:val="24"/>
          <w:szCs w:val="24"/>
        </w:rPr>
        <w:t>Límite</w:t>
      </w:r>
      <w:r>
        <w:rPr>
          <w:rFonts w:ascii="Verdana" w:hAnsi="Verdana" w:cs="Verdana"/>
          <w:spacing w:val="-8"/>
          <w:sz w:val="24"/>
          <w:szCs w:val="24"/>
        </w:rPr>
        <w:t xml:space="preserve"> de suma </w:t>
      </w:r>
      <w:r w:rsidR="00AE678E">
        <w:rPr>
          <w:rFonts w:ascii="Verdana" w:hAnsi="Verdana" w:cs="Verdana"/>
          <w:spacing w:val="-8"/>
          <w:sz w:val="24"/>
          <w:szCs w:val="24"/>
        </w:rPr>
        <w:t>señor</w:t>
      </w:r>
      <w:r>
        <w:rPr>
          <w:rFonts w:ascii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I</w:t>
      </w:r>
      <w:r w:rsidR="00AE678E">
        <w:rPr>
          <w:rFonts w:ascii="Verdana" w:hAnsi="Verdana" w:cs="Verdana"/>
          <w:b/>
          <w:bCs/>
          <w:spacing w:val="-8"/>
          <w:sz w:val="24"/>
          <w:szCs w:val="24"/>
        </w:rPr>
        <w:t>.R.C.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, </w:t>
      </w:r>
      <w:r>
        <w:rPr>
          <w:rFonts w:ascii="Verdana" w:hAnsi="Verdana" w:cs="Verdana"/>
          <w:spacing w:val="-8"/>
          <w:sz w:val="24"/>
          <w:szCs w:val="24"/>
        </w:rPr>
        <w:t>c</w:t>
      </w:r>
      <w:r w:rsidR="00AE678E">
        <w:rPr>
          <w:rFonts w:ascii="Verdana" w:hAnsi="Verdana" w:cs="Verdana"/>
          <w:spacing w:val="-8"/>
          <w:sz w:val="24"/>
          <w:szCs w:val="24"/>
        </w:rPr>
        <w:t>édula de identidad nú</w:t>
      </w:r>
      <w:r>
        <w:rPr>
          <w:rFonts w:ascii="Verdana" w:hAnsi="Verdana" w:cs="Verdana"/>
          <w:spacing w:val="-8"/>
          <w:sz w:val="24"/>
          <w:szCs w:val="24"/>
        </w:rPr>
        <w:t xml:space="preserve">mero </w:t>
      </w:r>
      <w:r w:rsidR="00AE678E">
        <w:rPr>
          <w:rFonts w:ascii="Verdana" w:hAnsi="Verdana" w:cs="Verdana"/>
          <w:spacing w:val="-8"/>
          <w:sz w:val="24"/>
          <w:szCs w:val="24"/>
        </w:rPr>
        <w:t>…</w:t>
      </w:r>
      <w:r>
        <w:rPr>
          <w:rFonts w:ascii="Verdana" w:hAnsi="Verdana" w:cs="Verdana"/>
          <w:spacing w:val="-8"/>
          <w:sz w:val="24"/>
          <w:szCs w:val="24"/>
        </w:rPr>
        <w:t xml:space="preserve">,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contra el oficio DE-2013-2252, </w:t>
      </w:r>
      <w:r>
        <w:rPr>
          <w:rFonts w:ascii="Verdana" w:hAnsi="Verdana" w:cs="Verdana"/>
          <w:spacing w:val="-8"/>
          <w:sz w:val="24"/>
          <w:szCs w:val="24"/>
        </w:rPr>
        <w:t xml:space="preserve">del 30 de julio de 2013, suscrito </w:t>
      </w:r>
      <w:r>
        <w:rPr>
          <w:rFonts w:ascii="Verdana" w:hAnsi="Verdana" w:cs="Verdana"/>
          <w:spacing w:val="-8"/>
          <w:sz w:val="24"/>
          <w:szCs w:val="24"/>
        </w:rPr>
        <w:t xml:space="preserve">por el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Lic. Luis </w:t>
      </w:r>
      <w:r w:rsidR="00AE678E">
        <w:rPr>
          <w:rFonts w:ascii="Verdana" w:hAnsi="Verdana" w:cs="Verdana"/>
          <w:b/>
          <w:bCs/>
          <w:spacing w:val="-8"/>
          <w:sz w:val="24"/>
          <w:szCs w:val="24"/>
        </w:rPr>
        <w:t>Echeverría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spacing w:val="-8"/>
          <w:sz w:val="24"/>
          <w:szCs w:val="24"/>
        </w:rPr>
        <w:t>Monturiol</w:t>
      </w:r>
      <w:proofErr w:type="spellEnd"/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, </w:t>
      </w:r>
      <w:r>
        <w:rPr>
          <w:rFonts w:ascii="Verdana" w:hAnsi="Verdana" w:cs="Verdana"/>
          <w:spacing w:val="-8"/>
          <w:sz w:val="24"/>
          <w:szCs w:val="24"/>
        </w:rPr>
        <w:t xml:space="preserve">Asesor </w:t>
      </w:r>
      <w:r w:rsidR="00AE678E">
        <w:rPr>
          <w:rFonts w:ascii="Verdana" w:hAnsi="Verdana" w:cs="Verdana"/>
          <w:spacing w:val="-8"/>
          <w:sz w:val="24"/>
          <w:szCs w:val="24"/>
        </w:rPr>
        <w:t>Jurídico de l</w:t>
      </w:r>
      <w:r>
        <w:rPr>
          <w:rFonts w:ascii="Verdana" w:hAnsi="Verdana" w:cs="Verdana"/>
          <w:spacing w:val="-8"/>
          <w:sz w:val="24"/>
          <w:szCs w:val="24"/>
        </w:rPr>
        <w:t xml:space="preserve">a </w:t>
      </w:r>
      <w:r w:rsidR="00AE678E">
        <w:rPr>
          <w:rFonts w:ascii="Verdana" w:hAnsi="Verdana" w:cs="Verdana"/>
          <w:spacing w:val="-8"/>
          <w:sz w:val="24"/>
          <w:szCs w:val="24"/>
        </w:rPr>
        <w:t>Dirección</w:t>
      </w:r>
      <w:r>
        <w:rPr>
          <w:rFonts w:ascii="Verdana" w:hAnsi="Verdana" w:cs="Verdana"/>
          <w:spacing w:val="-8"/>
          <w:sz w:val="24"/>
          <w:szCs w:val="24"/>
        </w:rPr>
        <w:t xml:space="preserve"> Ejecutiva del Consejo de Transporte</w:t>
      </w:r>
    </w:p>
    <w:p w:rsidR="00000000" w:rsidRDefault="00AE678E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90" w:line="291" w:lineRule="exact"/>
        <w:jc w:val="both"/>
        <w:textAlignment w:val="baseline"/>
        <w:rPr>
          <w:rFonts w:ascii="Verdana" w:hAnsi="Verdana" w:cs="Verdana"/>
          <w:spacing w:val="5"/>
          <w:sz w:val="24"/>
          <w:szCs w:val="24"/>
        </w:rPr>
      </w:pPr>
      <w:r>
        <w:rPr>
          <w:rFonts w:ascii="Verdana" w:hAnsi="Verdana" w:cs="Verdana"/>
          <w:spacing w:val="5"/>
          <w:sz w:val="24"/>
          <w:szCs w:val="24"/>
        </w:rPr>
        <w:t>Devuélvase el asunto a la brevedad posible a l</w:t>
      </w:r>
      <w:r w:rsidR="00EE6EBF">
        <w:rPr>
          <w:rFonts w:ascii="Verdana" w:hAnsi="Verdana" w:cs="Verdana"/>
          <w:spacing w:val="5"/>
          <w:sz w:val="24"/>
          <w:szCs w:val="24"/>
        </w:rPr>
        <w:t>a Junta Directiva del</w:t>
      </w:r>
    </w:p>
    <w:p w:rsidR="00000000" w:rsidRDefault="00EE6EBF">
      <w:pPr>
        <w:kinsoku w:val="0"/>
        <w:overflowPunct w:val="0"/>
        <w:autoSpaceDE/>
        <w:autoSpaceDN/>
        <w:adjustRightInd/>
        <w:spacing w:before="1" w:line="292" w:lineRule="exact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Consejo de Transporte </w:t>
      </w:r>
      <w:r w:rsidR="00AE678E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 para lo pertinente.</w:t>
      </w:r>
    </w:p>
    <w:p w:rsidR="00AE678E" w:rsidRDefault="00EE6EBF" w:rsidP="00AE678E">
      <w:pPr>
        <w:kinsoku w:val="0"/>
        <w:overflowPunct w:val="0"/>
        <w:autoSpaceDE/>
        <w:autoSpaceDN/>
        <w:adjustRightInd/>
        <w:spacing w:before="13" w:after="125" w:line="289" w:lineRule="exact"/>
        <w:textAlignment w:val="baseline"/>
        <w:rPr>
          <w:rFonts w:ascii="Verdana" w:hAnsi="Verdana" w:cs="Verdana"/>
          <w:b/>
          <w:bCs/>
          <w:spacing w:val="-1"/>
          <w:sz w:val="24"/>
          <w:szCs w:val="24"/>
        </w:rPr>
      </w:pPr>
      <w:r>
        <w:rPr>
          <w:rFonts w:ascii="Verdana" w:hAnsi="Verdana" w:cs="Verdana"/>
          <w:b/>
          <w:bCs/>
          <w:spacing w:val="-1"/>
          <w:sz w:val="24"/>
          <w:szCs w:val="24"/>
        </w:rPr>
        <w:t>NOTIFIQUESE.</w:t>
      </w:r>
    </w:p>
    <w:p w:rsidR="00AE678E" w:rsidRDefault="00AE678E" w:rsidP="00AE678E">
      <w:pPr>
        <w:kinsoku w:val="0"/>
        <w:overflowPunct w:val="0"/>
        <w:autoSpaceDE/>
        <w:autoSpaceDN/>
        <w:adjustRightInd/>
        <w:spacing w:before="13" w:after="125" w:line="289" w:lineRule="exact"/>
        <w:textAlignment w:val="baseline"/>
        <w:rPr>
          <w:rFonts w:ascii="Verdana" w:hAnsi="Verdana" w:cs="Verdana"/>
          <w:b/>
          <w:bCs/>
          <w:spacing w:val="-1"/>
          <w:sz w:val="24"/>
          <w:szCs w:val="24"/>
        </w:rPr>
      </w:pPr>
    </w:p>
    <w:p w:rsidR="00AE678E" w:rsidRPr="00724304" w:rsidRDefault="00AE678E" w:rsidP="00AE678E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AE678E" w:rsidRDefault="00AE678E" w:rsidP="00AE678E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AE678E" w:rsidRDefault="00AE678E" w:rsidP="00AE678E">
      <w:pPr>
        <w:kinsoku w:val="0"/>
        <w:overflowPunct w:val="0"/>
        <w:autoSpaceDE/>
        <w:autoSpaceDN/>
        <w:adjustRightInd/>
        <w:spacing w:before="291" w:after="67" w:line="283" w:lineRule="exact"/>
        <w:ind w:left="144"/>
        <w:textAlignment w:val="baseline"/>
        <w:rPr>
          <w:b/>
          <w:bCs/>
          <w:i/>
          <w:iCs/>
          <w:spacing w:val="2"/>
          <w:sz w:val="23"/>
          <w:szCs w:val="23"/>
        </w:rPr>
      </w:pPr>
      <w:r>
        <w:rPr>
          <w:rStyle w:val="CharacterStyle1"/>
          <w:i/>
          <w:iCs/>
          <w:spacing w:val="5"/>
          <w:sz w:val="26"/>
          <w:szCs w:val="26"/>
        </w:rPr>
        <w:t>Licda.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 Lic. Mario Quesada Aguirre                 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Juez</w:t>
      </w:r>
    </w:p>
    <w:p w:rsidR="00000000" w:rsidRDefault="00AE678E" w:rsidP="00AE678E">
      <w:pPr>
        <w:kinsoku w:val="0"/>
        <w:overflowPunct w:val="0"/>
        <w:autoSpaceDE/>
        <w:autoSpaceDN/>
        <w:adjustRightInd/>
        <w:spacing w:before="13" w:after="125" w:line="289" w:lineRule="exact"/>
        <w:textAlignment w:val="baseline"/>
        <w:rPr>
          <w:sz w:val="24"/>
          <w:szCs w:val="24"/>
        </w:rPr>
        <w:sectPr w:rsidR="00000000">
          <w:type w:val="continuous"/>
          <w:pgSz w:w="12134" w:h="15840"/>
          <w:pgMar w:top="2120" w:right="622" w:bottom="100" w:left="1450" w:header="720" w:footer="720" w:gutter="0"/>
          <w:cols w:space="720"/>
          <w:noEndnote/>
        </w:sectPr>
      </w:pPr>
      <w:r>
        <w:rPr>
          <w:sz w:val="24"/>
          <w:szCs w:val="24"/>
        </w:rPr>
        <w:t xml:space="preserve"> </w:t>
      </w:r>
    </w:p>
    <w:p w:rsidR="00EE6EBF" w:rsidRDefault="00EE6EBF">
      <w:pPr>
        <w:kinsoku w:val="0"/>
        <w:overflowPunct w:val="0"/>
        <w:autoSpaceDE/>
        <w:autoSpaceDN/>
        <w:adjustRightInd/>
        <w:spacing w:line="212" w:lineRule="exact"/>
        <w:textAlignment w:val="baseline"/>
        <w:rPr>
          <w:spacing w:val="-2"/>
          <w:sz w:val="19"/>
          <w:szCs w:val="19"/>
        </w:rPr>
      </w:pPr>
    </w:p>
    <w:sectPr w:rsidR="00EE6EBF">
      <w:type w:val="continuous"/>
      <w:pgSz w:w="12134" w:h="15840"/>
      <w:pgMar w:top="2120" w:right="622" w:bottom="100" w:left="9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5E1A"/>
    <w:multiLevelType w:val="singleLevel"/>
    <w:tmpl w:val="3D519849"/>
    <w:lvl w:ilvl="0">
      <w:start w:val="1"/>
      <w:numFmt w:val="lowerLetter"/>
      <w:lvlText w:val="%1)"/>
      <w:lvlJc w:val="left"/>
      <w:pPr>
        <w:tabs>
          <w:tab w:val="num" w:pos="792"/>
        </w:tabs>
        <w:ind w:left="432"/>
      </w:pPr>
      <w:rPr>
        <w:rFonts w:ascii="Verdana" w:hAnsi="Verdana" w:cs="Verdana"/>
        <w:b/>
        <w:bCs/>
        <w:i/>
        <w:iCs/>
        <w:snapToGrid/>
        <w:sz w:val="24"/>
        <w:szCs w:val="24"/>
      </w:rPr>
    </w:lvl>
  </w:abstractNum>
  <w:abstractNum w:abstractNumId="1">
    <w:nsid w:val="0147A94A"/>
    <w:multiLevelType w:val="singleLevel"/>
    <w:tmpl w:val="1C30D247"/>
    <w:lvl w:ilvl="0">
      <w:start w:val="1"/>
      <w:numFmt w:val="upperRoman"/>
      <w:lvlText w:val="%1.-"/>
      <w:lvlJc w:val="left"/>
      <w:pPr>
        <w:tabs>
          <w:tab w:val="num" w:pos="648"/>
        </w:tabs>
      </w:pPr>
      <w:rPr>
        <w:rFonts w:ascii="Verdana" w:hAnsi="Verdana" w:cs="Verdana"/>
        <w:snapToGrid/>
        <w:spacing w:val="-8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)"/>
        <w:lvlJc w:val="left"/>
        <w:pPr>
          <w:tabs>
            <w:tab w:val="num" w:pos="792"/>
          </w:tabs>
          <w:ind w:left="432"/>
        </w:pPr>
        <w:rPr>
          <w:rFonts w:ascii="Verdana" w:hAnsi="Verdana" w:cs="Verdana"/>
          <w:i/>
          <w:iCs/>
          <w:snapToGrid/>
          <w:sz w:val="24"/>
          <w:szCs w:val="24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rFonts w:ascii="Verdana" w:hAnsi="Verdana" w:cs="Verdana"/>
          <w:snapToGrid/>
          <w:spacing w:val="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D95B3D"/>
    <w:rsid w:val="00AE678E"/>
    <w:rsid w:val="00D95B3D"/>
    <w:rsid w:val="00EE6EBF"/>
    <w:rsid w:val="00E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E678E"/>
  </w:style>
  <w:style w:type="character" w:customStyle="1" w:styleId="CharacterStyle1">
    <w:name w:val="Character Style 1"/>
    <w:uiPriority w:val="99"/>
    <w:rsid w:val="00AE67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2015-06-01T16:15:00Z</dcterms:created>
  <dcterms:modified xsi:type="dcterms:W3CDTF">2015-06-01T16:15:00Z</dcterms:modified>
</cp:coreProperties>
</file>