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016" w:rsidRDefault="000A371F">
      <w:pPr>
        <w:kinsoku w:val="0"/>
        <w:overflowPunct w:val="0"/>
        <w:autoSpaceDE/>
        <w:autoSpaceDN/>
        <w:adjustRightInd/>
        <w:spacing w:line="239" w:lineRule="exact"/>
        <w:jc w:val="center"/>
        <w:textAlignment w:val="baseline"/>
        <w:rPr>
          <w:rFonts w:ascii="Verdana" w:hAnsi="Verdana" w:cs="Verdana"/>
          <w:b/>
          <w:bCs/>
          <w:spacing w:val="3"/>
          <w:lang w:val="es-ES" w:eastAsia="es-ES"/>
        </w:rPr>
      </w:pPr>
      <w:bookmarkStart w:id="0" w:name="_GoBack"/>
      <w:bookmarkEnd w:id="0"/>
      <w:r>
        <w:rPr>
          <w:rFonts w:ascii="Verdana" w:hAnsi="Verdana" w:cs="Verdana"/>
          <w:b/>
          <w:bCs/>
          <w:spacing w:val="3"/>
          <w:lang w:val="es-ES" w:eastAsia="es-ES"/>
        </w:rPr>
        <w:t>RESOLUCION N. TAT-2544-2015</w:t>
      </w:r>
    </w:p>
    <w:p w:rsidR="00EF2016" w:rsidRDefault="000A371F">
      <w:pPr>
        <w:kinsoku w:val="0"/>
        <w:overflowPunct w:val="0"/>
        <w:autoSpaceDE/>
        <w:autoSpaceDN/>
        <w:adjustRightInd/>
        <w:spacing w:before="522" w:line="248" w:lineRule="exact"/>
        <w:ind w:right="576"/>
        <w:jc w:val="both"/>
        <w:textAlignment w:val="baseline"/>
        <w:rPr>
          <w:rFonts w:ascii="Verdana" w:hAnsi="Verdana" w:cs="Verdana"/>
          <w:lang w:val="es-ES" w:eastAsia="es-ES"/>
        </w:rPr>
      </w:pPr>
      <w:r>
        <w:rPr>
          <w:rFonts w:ascii="Verdana" w:hAnsi="Verdana" w:cs="Verdana"/>
          <w:b/>
          <w:bCs/>
          <w:lang w:val="es-ES" w:eastAsia="es-ES"/>
        </w:rPr>
        <w:t xml:space="preserve">TRIBUNAL ADMINISTRATIVO DE TRANSPORTE. </w:t>
      </w:r>
      <w:r>
        <w:rPr>
          <w:rFonts w:ascii="Verdana" w:hAnsi="Verdana" w:cs="Verdana"/>
          <w:lang w:val="es-ES" w:eastAsia="es-ES"/>
        </w:rPr>
        <w:t>San José, a las nueve horas diez minutos del treinta de abril de dos mil quince.</w:t>
      </w:r>
    </w:p>
    <w:p w:rsidR="00EF2016" w:rsidRDefault="000A371F">
      <w:pPr>
        <w:kinsoku w:val="0"/>
        <w:overflowPunct w:val="0"/>
        <w:autoSpaceDE/>
        <w:autoSpaceDN/>
        <w:adjustRightInd/>
        <w:spacing w:before="260" w:line="255" w:lineRule="exact"/>
        <w:ind w:right="576"/>
        <w:jc w:val="both"/>
        <w:textAlignment w:val="baseline"/>
        <w:rPr>
          <w:rFonts w:ascii="Verdana" w:hAnsi="Verdana" w:cs="Verdana"/>
          <w:b/>
          <w:bCs/>
          <w:lang w:val="es-ES" w:eastAsia="es-ES"/>
        </w:rPr>
      </w:pPr>
      <w:r>
        <w:rPr>
          <w:rFonts w:ascii="Verdana" w:hAnsi="Verdana" w:cs="Verdana"/>
          <w:lang w:val="es-ES" w:eastAsia="es-ES"/>
        </w:rPr>
        <w:t xml:space="preserve">RECURSO DE APELACIÓN EN SUBSIDIO Y NULIDAD ABSOLUTA CONCOMITANTE, interpuesto por la señora </w:t>
      </w:r>
      <w:r>
        <w:rPr>
          <w:rFonts w:ascii="Verdana" w:hAnsi="Verdana" w:cs="Verdana"/>
          <w:b/>
          <w:bCs/>
          <w:lang w:val="es-ES" w:eastAsia="es-ES"/>
        </w:rPr>
        <w:t>M</w:t>
      </w:r>
      <w:r w:rsidR="002E0C72">
        <w:rPr>
          <w:rFonts w:ascii="Verdana" w:hAnsi="Verdana" w:cs="Verdana"/>
          <w:b/>
          <w:bCs/>
          <w:lang w:val="es-ES" w:eastAsia="es-ES"/>
        </w:rPr>
        <w:t>.BA.P.</w:t>
      </w:r>
      <w:r>
        <w:rPr>
          <w:rFonts w:ascii="Verdana" w:hAnsi="Verdana" w:cs="Verdana"/>
          <w:b/>
          <w:bCs/>
          <w:lang w:val="es-ES" w:eastAsia="es-ES"/>
        </w:rPr>
        <w:t xml:space="preserve">, cédula de identidad </w:t>
      </w:r>
      <w:r w:rsidR="002E0C72">
        <w:rPr>
          <w:rFonts w:ascii="Verdana" w:hAnsi="Verdana" w:cs="Verdana"/>
          <w:b/>
          <w:bCs/>
          <w:lang w:val="es-ES" w:eastAsia="es-ES"/>
        </w:rPr>
        <w:t>…</w:t>
      </w:r>
      <w:r>
        <w:rPr>
          <w:rFonts w:ascii="Verdana" w:hAnsi="Verdana" w:cs="Verdana"/>
          <w:b/>
          <w:bCs/>
          <w:lang w:val="es-ES" w:eastAsia="es-ES"/>
        </w:rPr>
        <w:t xml:space="preserve">, </w:t>
      </w:r>
      <w:r>
        <w:rPr>
          <w:rFonts w:ascii="Verdana" w:hAnsi="Verdana" w:cs="Verdana"/>
          <w:lang w:val="es-ES" w:eastAsia="es-ES"/>
        </w:rPr>
        <w:t xml:space="preserve">en su condición de cónyuge supérstite del concesionario de Taxi de la placa número TSJ-4321 quien falleció y de quien solicita se le traspase Mortis Causa la misma, contra el </w:t>
      </w:r>
      <w:r>
        <w:rPr>
          <w:rFonts w:ascii="Verdana" w:hAnsi="Verdana" w:cs="Verdana"/>
          <w:b/>
          <w:bCs/>
          <w:lang w:val="es-ES" w:eastAsia="es-ES"/>
        </w:rPr>
        <w:t xml:space="preserve">Artículo 7.18.8 de la Sesión Ordinaria 59-2014 del 15 de octubre de 2014, </w:t>
      </w:r>
      <w:r>
        <w:rPr>
          <w:rFonts w:ascii="Verdana" w:hAnsi="Verdana" w:cs="Verdana"/>
          <w:lang w:val="es-ES" w:eastAsia="es-ES"/>
        </w:rPr>
        <w:t xml:space="preserve">dictado por la JUNTA DIRECTIVA DEL CONSEJO DE TRANSPORTE PÚBLICO. </w:t>
      </w:r>
      <w:r>
        <w:rPr>
          <w:rFonts w:ascii="Verdana" w:hAnsi="Verdana" w:cs="Verdana"/>
          <w:b/>
          <w:bCs/>
          <w:lang w:val="es-ES" w:eastAsia="es-ES"/>
        </w:rPr>
        <w:t>EL caso es tramitado bajo Expediente Administrativo No. TAT-176-15.</w:t>
      </w:r>
    </w:p>
    <w:p w:rsidR="00EF2016" w:rsidRDefault="000A371F">
      <w:pPr>
        <w:kinsoku w:val="0"/>
        <w:overflowPunct w:val="0"/>
        <w:autoSpaceDE/>
        <w:autoSpaceDN/>
        <w:adjustRightInd/>
        <w:spacing w:before="762" w:line="245" w:lineRule="exact"/>
        <w:jc w:val="center"/>
        <w:textAlignment w:val="baseline"/>
        <w:rPr>
          <w:rFonts w:ascii="Verdana" w:hAnsi="Verdana" w:cs="Verdana"/>
          <w:b/>
          <w:bCs/>
          <w:spacing w:val="-3"/>
          <w:lang w:val="es-ES" w:eastAsia="es-ES"/>
        </w:rPr>
      </w:pPr>
      <w:r>
        <w:rPr>
          <w:rFonts w:ascii="Verdana" w:hAnsi="Verdana" w:cs="Verdana"/>
          <w:b/>
          <w:bCs/>
          <w:spacing w:val="-3"/>
          <w:lang w:val="es-ES" w:eastAsia="es-ES"/>
        </w:rPr>
        <w:t>RESULTAN DO</w:t>
      </w:r>
    </w:p>
    <w:p w:rsidR="00EF2016" w:rsidRDefault="000A371F">
      <w:pPr>
        <w:kinsoku w:val="0"/>
        <w:overflowPunct w:val="0"/>
        <w:autoSpaceDE/>
        <w:autoSpaceDN/>
        <w:adjustRightInd/>
        <w:spacing w:before="515" w:line="255" w:lineRule="exact"/>
        <w:ind w:right="576"/>
        <w:jc w:val="both"/>
        <w:textAlignment w:val="baseline"/>
        <w:rPr>
          <w:rFonts w:ascii="Verdana" w:hAnsi="Verdana" w:cs="Verdana"/>
          <w:spacing w:val="3"/>
          <w:lang w:val="es-ES" w:eastAsia="es-ES"/>
        </w:rPr>
      </w:pPr>
      <w:r>
        <w:rPr>
          <w:rFonts w:ascii="Verdana" w:hAnsi="Verdana" w:cs="Verdana"/>
          <w:b/>
          <w:bCs/>
          <w:spacing w:val="3"/>
          <w:lang w:val="es-ES" w:eastAsia="es-ES"/>
        </w:rPr>
        <w:t xml:space="preserve">PRIMERO: </w:t>
      </w:r>
      <w:r>
        <w:rPr>
          <w:rFonts w:ascii="Verdana" w:hAnsi="Verdana" w:cs="Verdana"/>
          <w:spacing w:val="3"/>
          <w:lang w:val="es-ES" w:eastAsia="es-ES"/>
        </w:rPr>
        <w:t xml:space="preserve">Mediante </w:t>
      </w:r>
      <w:r>
        <w:rPr>
          <w:rFonts w:ascii="Verdana" w:hAnsi="Verdana" w:cs="Verdana"/>
          <w:b/>
          <w:bCs/>
          <w:spacing w:val="3"/>
          <w:lang w:val="es-ES" w:eastAsia="es-ES"/>
        </w:rPr>
        <w:t xml:space="preserve">7.18.8 de la Sesión Ordinaria 59-2014 del 15 de octubre de 2014, </w:t>
      </w:r>
      <w:r>
        <w:rPr>
          <w:rFonts w:ascii="Verdana" w:hAnsi="Verdana" w:cs="Verdana"/>
          <w:spacing w:val="3"/>
          <w:lang w:val="es-ES" w:eastAsia="es-ES"/>
        </w:rPr>
        <w:t>la Junta Directiva del Consejo de Transporte Público conoce y avala el Informe DAJ 2014-001531 de la Dirección de Asuntos Jurídicos y rechaza la solicitud de traspaso Mortis Causa de la Concesión de C</w:t>
      </w:r>
      <w:r w:rsidR="002E0C72">
        <w:rPr>
          <w:rFonts w:ascii="Verdana" w:hAnsi="Verdana" w:cs="Verdana"/>
          <w:spacing w:val="3"/>
          <w:lang w:val="es-ES" w:eastAsia="es-ES"/>
        </w:rPr>
        <w:t>.D.M.V.</w:t>
      </w:r>
      <w:r>
        <w:rPr>
          <w:rFonts w:ascii="Verdana" w:hAnsi="Verdana" w:cs="Verdana"/>
          <w:spacing w:val="3"/>
          <w:lang w:val="es-ES" w:eastAsia="es-ES"/>
        </w:rPr>
        <w:t>. (Léanse folios del 15 al 17 del expediente administrativo)</w:t>
      </w:r>
    </w:p>
    <w:p w:rsidR="00EF2016" w:rsidRDefault="000A371F">
      <w:pPr>
        <w:kinsoku w:val="0"/>
        <w:overflowPunct w:val="0"/>
        <w:autoSpaceDE/>
        <w:autoSpaceDN/>
        <w:adjustRightInd/>
        <w:spacing w:before="514" w:after="1300" w:line="255" w:lineRule="exact"/>
        <w:ind w:right="576"/>
        <w:jc w:val="both"/>
        <w:textAlignment w:val="baseline"/>
        <w:rPr>
          <w:rFonts w:ascii="Verdana" w:hAnsi="Verdana" w:cs="Verdana"/>
          <w:spacing w:val="4"/>
          <w:lang w:val="es-ES" w:eastAsia="es-ES"/>
        </w:rPr>
      </w:pPr>
      <w:r>
        <w:rPr>
          <w:rFonts w:ascii="Verdana" w:hAnsi="Verdana" w:cs="Verdana"/>
          <w:b/>
          <w:bCs/>
          <w:spacing w:val="4"/>
          <w:lang w:val="es-ES" w:eastAsia="es-ES"/>
        </w:rPr>
        <w:t xml:space="preserve">SEGUNDO: </w:t>
      </w:r>
      <w:r>
        <w:rPr>
          <w:rFonts w:ascii="Verdana" w:hAnsi="Verdana" w:cs="Verdana"/>
          <w:spacing w:val="4"/>
          <w:lang w:val="es-ES" w:eastAsia="es-ES"/>
        </w:rPr>
        <w:t>La recurrente manifiesta en su escrito de impugnación que presenta nulidad absoluta del acuerdo impugnado ya que se dejo de lado en el procedimiento analizar correctamente el artículo 42 bis de la Ley 9027, ya que del mismo se desprende que el concesionario podrá designar libremente e incluir en el registro respectivo una persona beneficiaria titular y una suplente y el grado de consanguinidad de estos; por lo dicho y existiendo norma expresa en el Código Civil en cuanto al orden del grado que debe existir entre el difunto y los herederos debe indicar que ella tiene orden de prioridad pues si bien su difunto esposo no la dejo directamente como beneficiaria esto se dio ya que no se dio la suficiente información en cuanto a que debía suscribir un documento donde dejara los beneficiarios. Indica además que se encuentra en condición de vulnerabilidad es adulta mayor, jefa de hogar por lo que solicita se le autorice el traspaso. Para finalizar indica no entender para que se le previno requisitos si no podía traspasársele al no haberse dejado beneficiario. (Léase folios 6 al 8 del expediente administrativo).</w:t>
      </w:r>
    </w:p>
    <w:p w:rsidR="00EF2016" w:rsidRDefault="00EF2016">
      <w:pPr>
        <w:widowControl/>
        <w:rPr>
          <w:sz w:val="24"/>
          <w:szCs w:val="24"/>
        </w:rPr>
        <w:sectPr w:rsidR="00EF2016">
          <w:pgSz w:w="12134" w:h="15840"/>
          <w:pgMar w:top="820" w:right="1334" w:bottom="200" w:left="2160" w:header="720" w:footer="720" w:gutter="0"/>
          <w:cols w:space="720"/>
          <w:noEndnote/>
        </w:sectPr>
      </w:pPr>
    </w:p>
    <w:p w:rsidR="00EF2016" w:rsidRDefault="000A371F">
      <w:pPr>
        <w:tabs>
          <w:tab w:val="right" w:pos="2736"/>
        </w:tabs>
        <w:kinsoku w:val="0"/>
        <w:overflowPunct w:val="0"/>
        <w:autoSpaceDE/>
        <w:autoSpaceDN/>
        <w:adjustRightInd/>
        <w:spacing w:before="2" w:line="209" w:lineRule="exact"/>
        <w:textAlignment w:val="baseline"/>
        <w:rPr>
          <w:sz w:val="19"/>
          <w:szCs w:val="19"/>
          <w:lang w:val="es-ES" w:eastAsia="es-ES"/>
        </w:rPr>
      </w:pPr>
      <w:r>
        <w:rPr>
          <w:sz w:val="19"/>
          <w:szCs w:val="19"/>
          <w:lang w:val="es-ES" w:eastAsia="es-ES"/>
        </w:rPr>
        <w:tab/>
      </w:r>
    </w:p>
    <w:p w:rsidR="00EF2016" w:rsidRDefault="00EF2016">
      <w:pPr>
        <w:widowControl/>
        <w:rPr>
          <w:sz w:val="24"/>
          <w:szCs w:val="24"/>
        </w:rPr>
        <w:sectPr w:rsidR="00EF2016">
          <w:type w:val="continuous"/>
          <w:pgSz w:w="12134" w:h="15840"/>
          <w:pgMar w:top="820" w:right="1974" w:bottom="200" w:left="7440" w:header="720" w:footer="720" w:gutter="0"/>
          <w:cols w:space="720"/>
          <w:noEndnote/>
        </w:sectPr>
      </w:pPr>
    </w:p>
    <w:p w:rsidR="00EF2016" w:rsidRDefault="000A371F">
      <w:pPr>
        <w:kinsoku w:val="0"/>
        <w:overflowPunct w:val="0"/>
        <w:autoSpaceDE/>
        <w:autoSpaceDN/>
        <w:adjustRightInd/>
        <w:spacing w:before="24" w:line="254" w:lineRule="exact"/>
        <w:ind w:left="72"/>
        <w:jc w:val="both"/>
        <w:textAlignment w:val="baseline"/>
        <w:rPr>
          <w:rFonts w:ascii="Verdana" w:hAnsi="Verdana" w:cs="Verdana"/>
          <w:spacing w:val="3"/>
          <w:lang w:val="es-ES" w:eastAsia="es-ES"/>
        </w:rPr>
      </w:pPr>
      <w:r>
        <w:rPr>
          <w:rFonts w:ascii="Verdana" w:hAnsi="Verdana" w:cs="Verdana"/>
          <w:b/>
          <w:bCs/>
          <w:spacing w:val="3"/>
          <w:lang w:val="es-ES" w:eastAsia="es-ES"/>
        </w:rPr>
        <w:lastRenderedPageBreak/>
        <w:t xml:space="preserve">TERCERO: </w:t>
      </w:r>
      <w:r>
        <w:rPr>
          <w:rFonts w:ascii="Verdana" w:hAnsi="Verdana" w:cs="Verdana"/>
          <w:spacing w:val="3"/>
          <w:lang w:val="es-ES" w:eastAsia="es-ES"/>
        </w:rPr>
        <w:t>La Junta Directiva del Consejo de Transporte Público mediante Artículo 7.3.3 de la Sesión Ordinaria 11-2015 de 26 de febrero de 2015, aprueba el informe de la Dirección de Asuntos Jurídicos el DAJ-2015000553 de 23 de febrero de 2015 y rechaza el recurso de Revocatoria por considerar que es improcedente ya que según se indica la Administración actuó bajo el principio de Legalidad ya que el concesionario, no designó beneficiario y siendo que la Ley 9027 se publico el 28 de febrero de 2012 y el señor Madrigal Villalobos murió el 13 de noviembre de 2012, es improcedente otorgar la concesión a la recurrente aún cuando sea la cónyuge supérstite (Léase folios del 1 al 4 del expediente administrativo).</w:t>
      </w:r>
    </w:p>
    <w:p w:rsidR="00EF2016" w:rsidRDefault="000A371F">
      <w:pPr>
        <w:kinsoku w:val="0"/>
        <w:overflowPunct w:val="0"/>
        <w:autoSpaceDE/>
        <w:autoSpaceDN/>
        <w:adjustRightInd/>
        <w:spacing w:before="259" w:line="254" w:lineRule="exact"/>
        <w:ind w:left="72"/>
        <w:jc w:val="both"/>
        <w:textAlignment w:val="baseline"/>
        <w:rPr>
          <w:rFonts w:ascii="Verdana" w:hAnsi="Verdana" w:cs="Verdana"/>
          <w:lang w:val="es-ES" w:eastAsia="es-ES"/>
        </w:rPr>
      </w:pPr>
      <w:r>
        <w:rPr>
          <w:rFonts w:ascii="Verdana" w:hAnsi="Verdana" w:cs="Verdana"/>
          <w:b/>
          <w:bCs/>
          <w:lang w:val="es-ES" w:eastAsia="es-ES"/>
        </w:rPr>
        <w:t xml:space="preserve">CUARTO </w:t>
      </w:r>
      <w:r>
        <w:rPr>
          <w:rFonts w:ascii="Verdana" w:hAnsi="Verdana" w:cs="Verdana"/>
          <w:lang w:val="es-ES" w:eastAsia="es-ES"/>
        </w:rPr>
        <w:t>En los procedimientos seguidos se han observado las prescripciones legales.</w:t>
      </w:r>
    </w:p>
    <w:p w:rsidR="00EF2016" w:rsidRDefault="000A371F">
      <w:pPr>
        <w:kinsoku w:val="0"/>
        <w:overflowPunct w:val="0"/>
        <w:autoSpaceDE/>
        <w:autoSpaceDN/>
        <w:adjustRightInd/>
        <w:spacing w:before="515" w:line="254" w:lineRule="exact"/>
        <w:ind w:left="72"/>
        <w:textAlignment w:val="baseline"/>
        <w:rPr>
          <w:rFonts w:ascii="Verdana" w:hAnsi="Verdana" w:cs="Verdana"/>
          <w:spacing w:val="3"/>
          <w:lang w:val="es-ES" w:eastAsia="es-ES"/>
        </w:rPr>
      </w:pPr>
      <w:r>
        <w:rPr>
          <w:rFonts w:ascii="Verdana" w:hAnsi="Verdana" w:cs="Verdana"/>
          <w:spacing w:val="3"/>
          <w:lang w:val="es-ES" w:eastAsia="es-ES"/>
        </w:rPr>
        <w:t>Redacta la Jueza Pérez Peláez.</w:t>
      </w:r>
    </w:p>
    <w:p w:rsidR="00EF2016" w:rsidRDefault="000A371F">
      <w:pPr>
        <w:kinsoku w:val="0"/>
        <w:overflowPunct w:val="0"/>
        <w:autoSpaceDE/>
        <w:autoSpaceDN/>
        <w:adjustRightInd/>
        <w:spacing w:before="258" w:line="243" w:lineRule="exact"/>
        <w:ind w:left="72"/>
        <w:jc w:val="center"/>
        <w:textAlignment w:val="baseline"/>
        <w:rPr>
          <w:rFonts w:ascii="Verdana" w:hAnsi="Verdana" w:cs="Verdana"/>
          <w:b/>
          <w:bCs/>
          <w:spacing w:val="3"/>
          <w:lang w:val="es-ES" w:eastAsia="es-ES"/>
        </w:rPr>
      </w:pPr>
      <w:r>
        <w:rPr>
          <w:rFonts w:ascii="Verdana" w:hAnsi="Verdana" w:cs="Verdana"/>
          <w:b/>
          <w:bCs/>
          <w:spacing w:val="3"/>
          <w:lang w:val="es-ES" w:eastAsia="es-ES"/>
        </w:rPr>
        <w:t>CONSIDERANDO</w:t>
      </w:r>
    </w:p>
    <w:p w:rsidR="00EF2016" w:rsidRDefault="000A371F">
      <w:pPr>
        <w:numPr>
          <w:ilvl w:val="0"/>
          <w:numId w:val="1"/>
        </w:numPr>
        <w:kinsoku w:val="0"/>
        <w:overflowPunct w:val="0"/>
        <w:autoSpaceDE/>
        <w:autoSpaceDN/>
        <w:adjustRightInd/>
        <w:spacing w:before="525" w:line="254" w:lineRule="exact"/>
        <w:jc w:val="both"/>
        <w:textAlignment w:val="baseline"/>
        <w:rPr>
          <w:rFonts w:ascii="Verdana" w:hAnsi="Verdana" w:cs="Verdana"/>
          <w:lang w:val="es-ES" w:eastAsia="es-ES"/>
        </w:rPr>
      </w:pPr>
      <w:r>
        <w:rPr>
          <w:rFonts w:ascii="Verdana" w:hAnsi="Verdana" w:cs="Verdana"/>
          <w:b/>
          <w:bCs/>
          <w:lang w:val="es-ES" w:eastAsia="es-ES"/>
        </w:rPr>
        <w:t xml:space="preserve">SOBRE LA COMPETENCIA: </w:t>
      </w:r>
      <w:r>
        <w:rPr>
          <w:rFonts w:ascii="Verdana" w:hAnsi="Verdana" w:cs="Verdana"/>
          <w:lang w:val="es-ES" w:eastAsia="es-ES"/>
        </w:rPr>
        <w:t>El TRIBUNAL ADMINISTRATIVO DE TRANSPORTE es el competente para conocer y resolver el presente RECURSO DE APELACIÓN EN SUBSIDIO, De conformidad con el Artículo 22 de la Ley Reguladora del Servicio Público de Transporte Remunerado de Personas en Vehículos en la Modalidad de Taxi, N. 7969 del 22 de diciembre de 1999.</w:t>
      </w:r>
    </w:p>
    <w:p w:rsidR="00EF2016" w:rsidRDefault="000A371F">
      <w:pPr>
        <w:numPr>
          <w:ilvl w:val="0"/>
          <w:numId w:val="1"/>
        </w:numPr>
        <w:kinsoku w:val="0"/>
        <w:overflowPunct w:val="0"/>
        <w:autoSpaceDE/>
        <w:autoSpaceDN/>
        <w:adjustRightInd/>
        <w:spacing w:before="262" w:line="254" w:lineRule="exact"/>
        <w:jc w:val="both"/>
        <w:textAlignment w:val="baseline"/>
        <w:rPr>
          <w:rFonts w:ascii="Verdana" w:hAnsi="Verdana" w:cs="Verdana"/>
          <w:spacing w:val="3"/>
          <w:lang w:val="es-ES" w:eastAsia="es-ES"/>
        </w:rPr>
      </w:pPr>
      <w:r>
        <w:rPr>
          <w:rFonts w:ascii="Verdana" w:hAnsi="Verdana" w:cs="Verdana"/>
          <w:b/>
          <w:bCs/>
          <w:spacing w:val="3"/>
          <w:lang w:val="es-ES" w:eastAsia="es-ES"/>
        </w:rPr>
        <w:t xml:space="preserve">SOBRE LA ADMISIBILIDAD DEL RECURSO: </w:t>
      </w:r>
      <w:r>
        <w:rPr>
          <w:rFonts w:ascii="Verdana" w:hAnsi="Verdana" w:cs="Verdana"/>
          <w:b/>
          <w:bCs/>
          <w:spacing w:val="3"/>
          <w:u w:val="single"/>
          <w:lang w:val="es-ES" w:eastAsia="es-ES"/>
        </w:rPr>
        <w:t>Legitimación:</w:t>
      </w:r>
      <w:r>
        <w:rPr>
          <w:rFonts w:ascii="Verdana" w:hAnsi="Verdana" w:cs="Verdana"/>
          <w:spacing w:val="3"/>
          <w:lang w:val="es-ES" w:eastAsia="es-ES"/>
        </w:rPr>
        <w:t xml:space="preserve"> a la señora </w:t>
      </w:r>
      <w:r>
        <w:rPr>
          <w:rFonts w:ascii="Verdana" w:hAnsi="Verdana" w:cs="Verdana"/>
          <w:b/>
          <w:bCs/>
          <w:spacing w:val="3"/>
          <w:lang w:val="es-ES" w:eastAsia="es-ES"/>
        </w:rPr>
        <w:t>M</w:t>
      </w:r>
      <w:r w:rsidR="002E0C72">
        <w:rPr>
          <w:rFonts w:ascii="Verdana" w:hAnsi="Verdana" w:cs="Verdana"/>
          <w:b/>
          <w:bCs/>
          <w:spacing w:val="3"/>
          <w:lang w:val="es-ES" w:eastAsia="es-ES"/>
        </w:rPr>
        <w:t>.B.P.</w:t>
      </w:r>
      <w:r>
        <w:rPr>
          <w:rFonts w:ascii="Verdana" w:hAnsi="Verdana" w:cs="Verdana"/>
          <w:b/>
          <w:bCs/>
          <w:spacing w:val="3"/>
          <w:lang w:val="es-ES" w:eastAsia="es-ES"/>
        </w:rPr>
        <w:t xml:space="preserve">, cédula de identidad </w:t>
      </w:r>
      <w:r w:rsidR="002E0C72">
        <w:rPr>
          <w:rFonts w:ascii="Verdana" w:hAnsi="Verdana" w:cs="Verdana"/>
          <w:b/>
          <w:bCs/>
          <w:spacing w:val="3"/>
          <w:lang w:val="es-ES" w:eastAsia="es-ES"/>
        </w:rPr>
        <w:t>…</w:t>
      </w:r>
      <w:r>
        <w:rPr>
          <w:rFonts w:ascii="Verdana" w:hAnsi="Verdana" w:cs="Verdana"/>
          <w:b/>
          <w:bCs/>
          <w:spacing w:val="3"/>
          <w:lang w:val="es-ES" w:eastAsia="es-ES"/>
        </w:rPr>
        <w:t xml:space="preserve">, le </w:t>
      </w:r>
      <w:r>
        <w:rPr>
          <w:rFonts w:ascii="Verdana" w:hAnsi="Verdana" w:cs="Verdana"/>
          <w:spacing w:val="3"/>
          <w:lang w:val="es-ES" w:eastAsia="es-ES"/>
        </w:rPr>
        <w:t xml:space="preserve">rechazan su solicitud de que se le autorice el traspaso mortis causa del derecho de concesión sobre la placa de taxi </w:t>
      </w:r>
      <w:r w:rsidR="002E0C72">
        <w:rPr>
          <w:rFonts w:ascii="Verdana" w:hAnsi="Verdana" w:cs="Verdana"/>
          <w:b/>
          <w:bCs/>
          <w:spacing w:val="3"/>
          <w:lang w:val="es-ES" w:eastAsia="es-ES"/>
        </w:rPr>
        <w:t>TSJ</w:t>
      </w:r>
      <w:r>
        <w:rPr>
          <w:rFonts w:ascii="Verdana" w:hAnsi="Verdana" w:cs="Verdana"/>
          <w:b/>
          <w:bCs/>
          <w:spacing w:val="3"/>
          <w:lang w:val="es-ES" w:eastAsia="es-ES"/>
        </w:rPr>
        <w:t>-</w:t>
      </w:r>
      <w:r w:rsidR="002E0C72">
        <w:rPr>
          <w:rFonts w:ascii="Verdana" w:hAnsi="Verdana" w:cs="Verdana"/>
          <w:b/>
          <w:bCs/>
          <w:spacing w:val="3"/>
          <w:lang w:val="es-ES" w:eastAsia="es-ES"/>
        </w:rPr>
        <w:t>XXXX</w:t>
      </w:r>
      <w:r>
        <w:rPr>
          <w:rFonts w:ascii="Verdana" w:hAnsi="Verdana" w:cs="Verdana"/>
          <w:b/>
          <w:bCs/>
          <w:spacing w:val="3"/>
          <w:lang w:val="es-ES" w:eastAsia="es-ES"/>
        </w:rPr>
        <w:t xml:space="preserve">, </w:t>
      </w:r>
      <w:r>
        <w:rPr>
          <w:rFonts w:ascii="Verdana" w:hAnsi="Verdana" w:cs="Verdana"/>
          <w:spacing w:val="3"/>
          <w:lang w:val="es-ES" w:eastAsia="es-ES"/>
        </w:rPr>
        <w:t xml:space="preserve">mediante el acuerdo impugnado, por lo que cuenta con la legitimación necesaria para actuar en el presente asunto. </w:t>
      </w:r>
      <w:r>
        <w:rPr>
          <w:rFonts w:ascii="Verdana" w:hAnsi="Verdana" w:cs="Verdana"/>
          <w:b/>
          <w:bCs/>
          <w:spacing w:val="3"/>
          <w:u w:val="single"/>
          <w:lang w:val="es-ES" w:eastAsia="es-ES"/>
        </w:rPr>
        <w:t>En cuanto al plazo:</w:t>
      </w:r>
      <w:r>
        <w:rPr>
          <w:rFonts w:ascii="Verdana" w:hAnsi="Verdana" w:cs="Verdana"/>
          <w:spacing w:val="3"/>
          <w:lang w:val="es-ES" w:eastAsia="es-ES"/>
        </w:rPr>
        <w:t xml:space="preserve"> El Recurso de Apelación fue presentado dentro del plazo legal de cinco días establecido en el artículo 11 de la Ley N. 7969, ya que el acuerdo fue notificado el día 24 de noviembre de 2014 y el recurso se presentó el 1 de diciembre de 2014.</w:t>
      </w:r>
    </w:p>
    <w:p w:rsidR="00EF2016" w:rsidRDefault="000A371F">
      <w:pPr>
        <w:numPr>
          <w:ilvl w:val="0"/>
          <w:numId w:val="1"/>
        </w:numPr>
        <w:kinsoku w:val="0"/>
        <w:overflowPunct w:val="0"/>
        <w:autoSpaceDE/>
        <w:autoSpaceDN/>
        <w:adjustRightInd/>
        <w:spacing w:before="251" w:line="254" w:lineRule="exact"/>
        <w:jc w:val="both"/>
        <w:textAlignment w:val="baseline"/>
        <w:rPr>
          <w:rFonts w:ascii="Verdana" w:hAnsi="Verdana" w:cs="Verdana"/>
          <w:spacing w:val="4"/>
          <w:lang w:val="es-ES" w:eastAsia="es-ES"/>
        </w:rPr>
      </w:pPr>
      <w:r>
        <w:rPr>
          <w:rFonts w:ascii="Verdana" w:hAnsi="Verdana" w:cs="Verdana"/>
          <w:b/>
          <w:bCs/>
          <w:spacing w:val="4"/>
          <w:lang w:val="es-ES" w:eastAsia="es-ES"/>
        </w:rPr>
        <w:t xml:space="preserve">HECHOS PROBADOS DE IMPORTANCIA PARA ESTE ASUNTO: A).- </w:t>
      </w:r>
      <w:r>
        <w:rPr>
          <w:rFonts w:ascii="Verdana" w:hAnsi="Verdana" w:cs="Verdana"/>
          <w:spacing w:val="4"/>
          <w:lang w:val="es-ES" w:eastAsia="es-ES"/>
        </w:rPr>
        <w:t xml:space="preserve">Mediante </w:t>
      </w:r>
      <w:r>
        <w:rPr>
          <w:rFonts w:ascii="Verdana" w:hAnsi="Verdana" w:cs="Verdana"/>
          <w:b/>
          <w:bCs/>
          <w:spacing w:val="4"/>
          <w:lang w:val="es-ES" w:eastAsia="es-ES"/>
        </w:rPr>
        <w:t xml:space="preserve">7.18.8 de la Sesión Ordinaria 59-2014 del 15 de octubre de 2014, </w:t>
      </w:r>
      <w:r>
        <w:rPr>
          <w:rFonts w:ascii="Verdana" w:hAnsi="Verdana" w:cs="Verdana"/>
          <w:spacing w:val="4"/>
          <w:lang w:val="es-ES" w:eastAsia="es-ES"/>
        </w:rPr>
        <w:t>la Junta Directiva del Consejo de Transporte Público conoce y avala el Informe DAJ 2014-001531 de la Dirección de Asuntos Jurídicos y rechaza la solicitud de traspaso Mortis Causa de la Concesión de C</w:t>
      </w:r>
      <w:r w:rsidR="002E0C72">
        <w:rPr>
          <w:rFonts w:ascii="Verdana" w:hAnsi="Verdana" w:cs="Verdana"/>
          <w:spacing w:val="4"/>
          <w:lang w:val="es-ES" w:eastAsia="es-ES"/>
        </w:rPr>
        <w:t>.D.M.V.</w:t>
      </w:r>
      <w:r>
        <w:rPr>
          <w:rFonts w:ascii="Verdana" w:hAnsi="Verdana" w:cs="Verdana"/>
          <w:spacing w:val="4"/>
          <w:lang w:val="es-ES" w:eastAsia="es-ES"/>
        </w:rPr>
        <w:t xml:space="preserve"> (Léanse folios del 15 al 17 del expediente administrativo)</w:t>
      </w:r>
    </w:p>
    <w:p w:rsidR="00EF2016" w:rsidRDefault="000A371F">
      <w:pPr>
        <w:kinsoku w:val="0"/>
        <w:overflowPunct w:val="0"/>
        <w:autoSpaceDE/>
        <w:autoSpaceDN/>
        <w:adjustRightInd/>
        <w:spacing w:before="18" w:after="537" w:line="254" w:lineRule="exact"/>
        <w:ind w:left="72"/>
        <w:jc w:val="both"/>
        <w:textAlignment w:val="baseline"/>
        <w:rPr>
          <w:rFonts w:ascii="Verdana" w:hAnsi="Verdana" w:cs="Verdana"/>
          <w:spacing w:val="4"/>
          <w:lang w:val="es-ES" w:eastAsia="es-ES"/>
        </w:rPr>
      </w:pPr>
      <w:r>
        <w:rPr>
          <w:rFonts w:ascii="Verdana" w:hAnsi="Verdana" w:cs="Verdana"/>
          <w:spacing w:val="4"/>
          <w:lang w:val="es-ES" w:eastAsia="es-ES"/>
        </w:rPr>
        <w:t>B).-.La recurrente manifiesta en su escrito de impugnación que presenta nulidad absoluta del acuerdo impugnado ya que se dejo de lado en el procedimiento analizar correctamente el artículo 42 bis de la Ley 9027, ya que del mismo se desprende que el concesionario podrá designar libremente e incluir en el registro respectivo una persona beneficiaria titular y una suplente y el grado de consanguinidad de estos; por lo dicho y existiendo norma expresa en el Código Civil en cuanto al orden del grado que debe existir entre el difunto y los herederos debe indicar que ella tiene orden de prioridad pues si bien su difunto esposo no la dejo directamente</w:t>
      </w:r>
    </w:p>
    <w:p w:rsidR="00EF2016" w:rsidRDefault="00EF2016">
      <w:pPr>
        <w:widowControl/>
        <w:rPr>
          <w:sz w:val="24"/>
          <w:szCs w:val="24"/>
        </w:rPr>
        <w:sectPr w:rsidR="00EF2016">
          <w:pgSz w:w="12134" w:h="15840"/>
          <w:pgMar w:top="1320" w:right="1957" w:bottom="180" w:left="2117" w:header="720" w:footer="720" w:gutter="0"/>
          <w:cols w:space="720"/>
          <w:noEndnote/>
        </w:sectPr>
      </w:pPr>
    </w:p>
    <w:p w:rsidR="00EF2016" w:rsidRDefault="00EF2016">
      <w:pPr>
        <w:widowControl/>
        <w:rPr>
          <w:sz w:val="24"/>
          <w:szCs w:val="24"/>
        </w:rPr>
        <w:sectPr w:rsidR="00EF2016">
          <w:type w:val="continuous"/>
          <w:pgSz w:w="12134" w:h="15840"/>
          <w:pgMar w:top="1320" w:right="1988" w:bottom="180" w:left="7374" w:header="720" w:footer="720" w:gutter="0"/>
          <w:cols w:space="720"/>
          <w:noEndnote/>
        </w:sectPr>
      </w:pPr>
    </w:p>
    <w:p w:rsidR="00EF2016" w:rsidRDefault="000A371F">
      <w:pPr>
        <w:kinsoku w:val="0"/>
        <w:overflowPunct w:val="0"/>
        <w:autoSpaceDE/>
        <w:autoSpaceDN/>
        <w:adjustRightInd/>
        <w:spacing w:before="18" w:line="255" w:lineRule="exact"/>
        <w:jc w:val="both"/>
        <w:textAlignment w:val="baseline"/>
        <w:rPr>
          <w:rFonts w:ascii="Verdana" w:hAnsi="Verdana" w:cs="Verdana"/>
          <w:lang w:val="es-ES" w:eastAsia="es-ES"/>
        </w:rPr>
      </w:pPr>
      <w:r>
        <w:rPr>
          <w:rFonts w:ascii="Verdana" w:hAnsi="Verdana" w:cs="Verdana"/>
          <w:lang w:val="es-ES" w:eastAsia="es-ES"/>
        </w:rPr>
        <w:lastRenderedPageBreak/>
        <w:t>como beneficiaria esto se dio ya que no se dio la suficiente información en cuanto a que debía suscribir un documento donde dejara los beneficiarios. Indica además que se encuentra en condición de vulnerabilidad es adulta mayor, jefa de hogar por lo que solicita se le autorice el traspaso. Para finalizar indica no entender para que se le previno requisitos si no podía traspasársele al no haberse dejado beneficiario. (Léase folios 6 al 8 del expediente administrativo).</w:t>
      </w:r>
    </w:p>
    <w:p w:rsidR="00EF2016" w:rsidRDefault="000A371F">
      <w:pPr>
        <w:kinsoku w:val="0"/>
        <w:overflowPunct w:val="0"/>
        <w:autoSpaceDE/>
        <w:autoSpaceDN/>
        <w:adjustRightInd/>
        <w:spacing w:line="253" w:lineRule="exact"/>
        <w:jc w:val="both"/>
        <w:textAlignment w:val="baseline"/>
        <w:rPr>
          <w:rFonts w:ascii="Verdana" w:hAnsi="Verdana" w:cs="Verdana"/>
          <w:spacing w:val="4"/>
          <w:lang w:val="es-ES" w:eastAsia="es-ES"/>
        </w:rPr>
      </w:pPr>
      <w:r>
        <w:rPr>
          <w:rFonts w:ascii="Verdana" w:hAnsi="Verdana" w:cs="Verdana"/>
          <w:b/>
          <w:bCs/>
          <w:spacing w:val="4"/>
          <w:lang w:val="es-ES" w:eastAsia="es-ES"/>
        </w:rPr>
        <w:t xml:space="preserve">C). </w:t>
      </w:r>
      <w:r>
        <w:rPr>
          <w:rFonts w:ascii="Verdana" w:hAnsi="Verdana" w:cs="Verdana"/>
          <w:spacing w:val="4"/>
          <w:lang w:val="es-ES" w:eastAsia="es-ES"/>
        </w:rPr>
        <w:t>La Junta Directiva del Consejo de Transporte Público mediante Artículo 7.3.3 de la Sesión Ordinaria 11-2015 de 26 de febrero de 2015, aprueba el informe de la Dirección de Asuntos Jurídicos el DAJ-2015000553 de 23 de febrero de 2015 y rechaza el recurso de Revocatoria por considerar que es improcedente ya que según se indica la Administración actuó bajo el principio de Legalidad ya que el concesionario, no designo beneficiario y siendo que la Ley 9027 se publico el 28 de febrero de 2012 y el señor M</w:t>
      </w:r>
      <w:r w:rsidR="002E0C72">
        <w:rPr>
          <w:rFonts w:ascii="Verdana" w:hAnsi="Verdana" w:cs="Verdana"/>
          <w:spacing w:val="4"/>
          <w:lang w:val="es-ES" w:eastAsia="es-ES"/>
        </w:rPr>
        <w:t>.V.</w:t>
      </w:r>
      <w:r>
        <w:rPr>
          <w:rFonts w:ascii="Verdana" w:hAnsi="Verdana" w:cs="Verdana"/>
          <w:spacing w:val="4"/>
          <w:lang w:val="es-ES" w:eastAsia="es-ES"/>
        </w:rPr>
        <w:t xml:space="preserve"> murió el 13 de noviembre de 2012, es improcedente otorgar la concesión a la recurrente aún cuando sea la cónyuge supérstite.(Léase folios del 1 al 4 del expediente administrativo).</w:t>
      </w:r>
    </w:p>
    <w:p w:rsidR="00EF2016" w:rsidRDefault="000A371F">
      <w:pPr>
        <w:kinsoku w:val="0"/>
        <w:overflowPunct w:val="0"/>
        <w:autoSpaceDE/>
        <w:autoSpaceDN/>
        <w:adjustRightInd/>
        <w:spacing w:before="6" w:line="255" w:lineRule="exact"/>
        <w:jc w:val="both"/>
        <w:textAlignment w:val="baseline"/>
        <w:rPr>
          <w:rFonts w:ascii="Verdana" w:hAnsi="Verdana" w:cs="Verdana"/>
          <w:spacing w:val="3"/>
          <w:lang w:val="es-ES" w:eastAsia="es-ES"/>
        </w:rPr>
      </w:pPr>
      <w:r>
        <w:rPr>
          <w:rFonts w:ascii="Verdana" w:hAnsi="Verdana" w:cs="Verdana"/>
          <w:b/>
          <w:bCs/>
          <w:spacing w:val="3"/>
          <w:lang w:val="es-ES" w:eastAsia="es-ES"/>
        </w:rPr>
        <w:t xml:space="preserve">D).- </w:t>
      </w:r>
      <w:r>
        <w:rPr>
          <w:rFonts w:ascii="Verdana" w:hAnsi="Verdana" w:cs="Verdana"/>
          <w:spacing w:val="3"/>
          <w:lang w:val="es-ES" w:eastAsia="es-ES"/>
        </w:rPr>
        <w:t>A quedado fehacientemente demostrado que el señor C</w:t>
      </w:r>
      <w:r w:rsidR="002E0C72">
        <w:rPr>
          <w:rFonts w:ascii="Verdana" w:hAnsi="Verdana" w:cs="Verdana"/>
          <w:spacing w:val="3"/>
          <w:lang w:val="es-ES" w:eastAsia="es-ES"/>
        </w:rPr>
        <w:t>.D.M.V.</w:t>
      </w:r>
      <w:r>
        <w:rPr>
          <w:rFonts w:ascii="Verdana" w:hAnsi="Verdana" w:cs="Verdana"/>
          <w:spacing w:val="3"/>
          <w:lang w:val="es-ES" w:eastAsia="es-ES"/>
        </w:rPr>
        <w:t xml:space="preserve"> quien fuera en vida concesionario de la Placa de Taxi número TSJ-</w:t>
      </w:r>
      <w:r w:rsidR="002E0C72">
        <w:rPr>
          <w:rFonts w:ascii="Verdana" w:hAnsi="Verdana" w:cs="Verdana"/>
          <w:spacing w:val="3"/>
          <w:lang w:val="es-ES" w:eastAsia="es-ES"/>
        </w:rPr>
        <w:t>XXXX</w:t>
      </w:r>
      <w:r>
        <w:rPr>
          <w:rFonts w:ascii="Verdana" w:hAnsi="Verdana" w:cs="Verdana"/>
          <w:spacing w:val="3"/>
          <w:lang w:val="es-ES" w:eastAsia="es-ES"/>
        </w:rPr>
        <w:t>, al momento de su defunción nueve meses después de la entrada en vigencia de la Ley 9027, no dejo beneficiario alguno, lo anterior se demuestra tanto del informe de la Dirección de Asuntos Jurídicos el DAJ-2015000553 de 23 de febrero de 2015, como del propio dicho de la recurrente.</w:t>
      </w:r>
    </w:p>
    <w:p w:rsidR="00EF2016" w:rsidRDefault="000A371F">
      <w:pPr>
        <w:numPr>
          <w:ilvl w:val="0"/>
          <w:numId w:val="2"/>
        </w:numPr>
        <w:kinsoku w:val="0"/>
        <w:overflowPunct w:val="0"/>
        <w:autoSpaceDE/>
        <w:autoSpaceDN/>
        <w:adjustRightInd/>
        <w:spacing w:before="508" w:line="244" w:lineRule="exact"/>
        <w:textAlignment w:val="baseline"/>
        <w:rPr>
          <w:rFonts w:ascii="Verdana" w:hAnsi="Verdana" w:cs="Verdana"/>
          <w:b/>
          <w:bCs/>
          <w:spacing w:val="3"/>
          <w:lang w:val="es-ES" w:eastAsia="es-ES"/>
        </w:rPr>
      </w:pPr>
      <w:r>
        <w:rPr>
          <w:rFonts w:ascii="Verdana" w:hAnsi="Verdana" w:cs="Verdana"/>
          <w:b/>
          <w:bCs/>
          <w:spacing w:val="3"/>
          <w:lang w:val="es-ES" w:eastAsia="es-ES"/>
        </w:rPr>
        <w:t>HECHOS NO PROBADOS</w:t>
      </w:r>
    </w:p>
    <w:p w:rsidR="00EF2016" w:rsidRDefault="000A371F">
      <w:pPr>
        <w:kinsoku w:val="0"/>
        <w:overflowPunct w:val="0"/>
        <w:autoSpaceDE/>
        <w:autoSpaceDN/>
        <w:adjustRightInd/>
        <w:spacing w:line="571" w:lineRule="exact"/>
        <w:ind w:right="1368"/>
        <w:textAlignment w:val="baseline"/>
        <w:rPr>
          <w:rFonts w:ascii="Verdana" w:hAnsi="Verdana" w:cs="Verdana"/>
          <w:b/>
          <w:bCs/>
          <w:lang w:val="es-ES" w:eastAsia="es-ES"/>
        </w:rPr>
      </w:pPr>
      <w:r>
        <w:rPr>
          <w:rFonts w:ascii="Verdana" w:hAnsi="Verdana" w:cs="Verdana"/>
          <w:lang w:val="es-ES" w:eastAsia="es-ES"/>
        </w:rPr>
        <w:t xml:space="preserve">Ninguno de importancia para la resolución del presente asunto. </w:t>
      </w:r>
      <w:r>
        <w:rPr>
          <w:rFonts w:ascii="Verdana" w:hAnsi="Verdana" w:cs="Verdana"/>
          <w:b/>
          <w:bCs/>
          <w:lang w:val="es-ES" w:eastAsia="es-ES"/>
        </w:rPr>
        <w:t>5.- SOBRE EL FONDO</w:t>
      </w:r>
    </w:p>
    <w:p w:rsidR="00EF2016" w:rsidRDefault="000A371F">
      <w:pPr>
        <w:kinsoku w:val="0"/>
        <w:overflowPunct w:val="0"/>
        <w:autoSpaceDE/>
        <w:autoSpaceDN/>
        <w:adjustRightInd/>
        <w:spacing w:before="244" w:line="255" w:lineRule="exact"/>
        <w:jc w:val="both"/>
        <w:textAlignment w:val="baseline"/>
        <w:rPr>
          <w:rFonts w:ascii="Verdana" w:hAnsi="Verdana" w:cs="Verdana"/>
          <w:b/>
          <w:bCs/>
          <w:spacing w:val="4"/>
          <w:lang w:val="es-ES" w:eastAsia="es-ES"/>
        </w:rPr>
      </w:pPr>
      <w:r>
        <w:rPr>
          <w:rFonts w:ascii="Verdana" w:hAnsi="Verdana" w:cs="Verdana"/>
          <w:b/>
          <w:bCs/>
          <w:spacing w:val="4"/>
          <w:lang w:val="es-ES" w:eastAsia="es-ES"/>
        </w:rPr>
        <w:t xml:space="preserve">OBJETO DEL PROCEDIMIENTO. </w:t>
      </w:r>
      <w:r>
        <w:rPr>
          <w:rFonts w:ascii="Verdana" w:hAnsi="Verdana" w:cs="Verdana"/>
          <w:spacing w:val="4"/>
          <w:lang w:val="es-ES" w:eastAsia="es-ES"/>
        </w:rPr>
        <w:t xml:space="preserve">Determinar si existe ilegalidad del </w:t>
      </w:r>
      <w:r>
        <w:rPr>
          <w:rFonts w:ascii="Verdana" w:hAnsi="Verdana" w:cs="Verdana"/>
          <w:b/>
          <w:bCs/>
          <w:spacing w:val="4"/>
          <w:lang w:val="es-ES" w:eastAsia="es-ES"/>
        </w:rPr>
        <w:t xml:space="preserve">7.18.8 de la Sesión Ordinaria 59-2014 del 15 de octubre de 2014, </w:t>
      </w:r>
      <w:r>
        <w:rPr>
          <w:rFonts w:ascii="Verdana" w:hAnsi="Verdana" w:cs="Verdana"/>
          <w:spacing w:val="4"/>
          <w:lang w:val="es-ES" w:eastAsia="es-ES"/>
        </w:rPr>
        <w:t xml:space="preserve">del Consejo de Transporte Público y de ser así, se proceda a la anulación del mismo y se le otorgue la concesión de la placa de taxi </w:t>
      </w:r>
      <w:r>
        <w:rPr>
          <w:rFonts w:ascii="Verdana" w:hAnsi="Verdana" w:cs="Verdana"/>
          <w:b/>
          <w:bCs/>
          <w:spacing w:val="4"/>
          <w:lang w:val="es-ES" w:eastAsia="es-ES"/>
        </w:rPr>
        <w:t>TSJ-</w:t>
      </w:r>
      <w:r w:rsidR="002E0C72">
        <w:rPr>
          <w:rFonts w:ascii="Verdana" w:hAnsi="Verdana" w:cs="Verdana"/>
          <w:b/>
          <w:bCs/>
          <w:spacing w:val="4"/>
          <w:lang w:val="es-ES" w:eastAsia="es-ES"/>
        </w:rPr>
        <w:t>XXXX</w:t>
      </w:r>
      <w:r>
        <w:rPr>
          <w:rFonts w:ascii="Verdana" w:hAnsi="Verdana" w:cs="Verdana"/>
          <w:b/>
          <w:bCs/>
          <w:spacing w:val="4"/>
          <w:lang w:val="es-ES" w:eastAsia="es-ES"/>
        </w:rPr>
        <w:t>, a la señora M</w:t>
      </w:r>
      <w:r w:rsidR="002E0C72">
        <w:rPr>
          <w:rFonts w:ascii="Verdana" w:hAnsi="Verdana" w:cs="Verdana"/>
          <w:b/>
          <w:bCs/>
          <w:spacing w:val="4"/>
          <w:lang w:val="es-ES" w:eastAsia="es-ES"/>
        </w:rPr>
        <w:t>.B.P.</w:t>
      </w:r>
      <w:r>
        <w:rPr>
          <w:rFonts w:ascii="Verdana" w:hAnsi="Verdana" w:cs="Verdana"/>
          <w:b/>
          <w:bCs/>
          <w:spacing w:val="4"/>
          <w:lang w:val="es-ES" w:eastAsia="es-ES"/>
        </w:rPr>
        <w:t xml:space="preserve">, cédula de identidad </w:t>
      </w:r>
      <w:r w:rsidR="002E0C72">
        <w:rPr>
          <w:rFonts w:ascii="Verdana" w:hAnsi="Verdana" w:cs="Verdana"/>
          <w:b/>
          <w:bCs/>
          <w:spacing w:val="4"/>
          <w:lang w:val="es-ES" w:eastAsia="es-ES"/>
        </w:rPr>
        <w:t>..</w:t>
      </w:r>
      <w:r>
        <w:rPr>
          <w:rFonts w:ascii="Verdana" w:hAnsi="Verdana" w:cs="Verdana"/>
          <w:b/>
          <w:bCs/>
          <w:spacing w:val="4"/>
          <w:lang w:val="es-ES" w:eastAsia="es-ES"/>
        </w:rPr>
        <w:t>.</w:t>
      </w:r>
    </w:p>
    <w:p w:rsidR="00EF2016" w:rsidRDefault="000A371F">
      <w:pPr>
        <w:kinsoku w:val="0"/>
        <w:overflowPunct w:val="0"/>
        <w:autoSpaceDE/>
        <w:autoSpaceDN/>
        <w:adjustRightInd/>
        <w:spacing w:before="537" w:line="244" w:lineRule="exact"/>
        <w:textAlignment w:val="baseline"/>
        <w:rPr>
          <w:rFonts w:ascii="Verdana" w:hAnsi="Verdana" w:cs="Verdana"/>
          <w:b/>
          <w:bCs/>
          <w:spacing w:val="3"/>
          <w:lang w:val="es-ES" w:eastAsia="es-ES"/>
        </w:rPr>
      </w:pPr>
      <w:r>
        <w:rPr>
          <w:rFonts w:ascii="Verdana" w:hAnsi="Verdana" w:cs="Verdana"/>
          <w:b/>
          <w:bCs/>
          <w:spacing w:val="3"/>
          <w:lang w:val="es-ES" w:eastAsia="es-ES"/>
        </w:rPr>
        <w:t>DEL RECURSO PLANTEADO.</w:t>
      </w:r>
    </w:p>
    <w:p w:rsidR="00EF2016" w:rsidRDefault="000A371F">
      <w:pPr>
        <w:kinsoku w:val="0"/>
        <w:overflowPunct w:val="0"/>
        <w:autoSpaceDE/>
        <w:autoSpaceDN/>
        <w:adjustRightInd/>
        <w:spacing w:before="278" w:after="648" w:line="255" w:lineRule="exact"/>
        <w:jc w:val="both"/>
        <w:textAlignment w:val="baseline"/>
        <w:rPr>
          <w:rFonts w:ascii="Verdana" w:hAnsi="Verdana" w:cs="Verdana"/>
          <w:spacing w:val="6"/>
          <w:lang w:val="es-ES" w:eastAsia="es-ES"/>
        </w:rPr>
      </w:pPr>
      <w:r>
        <w:rPr>
          <w:rFonts w:ascii="Verdana" w:hAnsi="Verdana" w:cs="Verdana"/>
          <w:spacing w:val="6"/>
          <w:lang w:val="es-ES" w:eastAsia="es-ES"/>
        </w:rPr>
        <w:t xml:space="preserve">La recurrente </w:t>
      </w:r>
      <w:r>
        <w:rPr>
          <w:rFonts w:ascii="Verdana" w:hAnsi="Verdana" w:cs="Verdana"/>
          <w:b/>
          <w:bCs/>
          <w:spacing w:val="6"/>
          <w:lang w:val="es-ES" w:eastAsia="es-ES"/>
        </w:rPr>
        <w:t>M</w:t>
      </w:r>
      <w:r w:rsidR="002E0C72">
        <w:rPr>
          <w:rFonts w:ascii="Verdana" w:hAnsi="Verdana" w:cs="Verdana"/>
          <w:b/>
          <w:bCs/>
          <w:spacing w:val="6"/>
          <w:lang w:val="es-ES" w:eastAsia="es-ES"/>
        </w:rPr>
        <w:t>.B.P.</w:t>
      </w:r>
      <w:r>
        <w:rPr>
          <w:rFonts w:ascii="Verdana" w:hAnsi="Verdana" w:cs="Verdana"/>
          <w:b/>
          <w:bCs/>
          <w:spacing w:val="6"/>
          <w:lang w:val="es-ES" w:eastAsia="es-ES"/>
        </w:rPr>
        <w:t xml:space="preserve">, </w:t>
      </w:r>
      <w:r>
        <w:rPr>
          <w:rFonts w:ascii="Verdana" w:hAnsi="Verdana" w:cs="Verdana"/>
          <w:spacing w:val="6"/>
          <w:lang w:val="es-ES" w:eastAsia="es-ES"/>
        </w:rPr>
        <w:t>manifiesta en su escrito de impugnación que presenta nulidad absoluta del acuerdo impugnado ya que se dejo de lado en el procedimiento analizar correctamente el artículo 42 bis de la Ley 9027, ya que del mismo se desprende que el concesionario podrá designar libremente e incluir en el registro respectivo una persona beneficiaria titular y una suplente y el grado de consanguinidad de estos; por lo dicho y existiendo norma expresa en el Código Civil en cuanto al orden del grado que debe existir entre el difunto y los herederos debe indicar que ella tiene orden de prioridad pues si bien su difunto esposo no la dejo directamente como beneficiaria esto se dio ya que no se dio la</w:t>
      </w:r>
    </w:p>
    <w:p w:rsidR="00EF2016" w:rsidRDefault="00EF2016">
      <w:pPr>
        <w:widowControl/>
        <w:rPr>
          <w:sz w:val="24"/>
          <w:szCs w:val="24"/>
        </w:rPr>
        <w:sectPr w:rsidR="00EF2016">
          <w:pgSz w:w="12134" w:h="15840"/>
          <w:pgMar w:top="1360" w:right="1955" w:bottom="170" w:left="2119" w:header="720" w:footer="720" w:gutter="0"/>
          <w:cols w:space="720"/>
          <w:noEndnote/>
        </w:sectPr>
      </w:pPr>
    </w:p>
    <w:p w:rsidR="00EF2016" w:rsidRDefault="000A371F">
      <w:pPr>
        <w:tabs>
          <w:tab w:val="right" w:pos="2736"/>
        </w:tabs>
        <w:kinsoku w:val="0"/>
        <w:overflowPunct w:val="0"/>
        <w:autoSpaceDE/>
        <w:autoSpaceDN/>
        <w:adjustRightInd/>
        <w:spacing w:line="227" w:lineRule="exact"/>
        <w:textAlignment w:val="baseline"/>
        <w:rPr>
          <w:rFonts w:ascii="Verdana" w:hAnsi="Verdana" w:cs="Verdana"/>
          <w:lang w:val="es-ES" w:eastAsia="es-ES"/>
        </w:rPr>
      </w:pPr>
      <w:r>
        <w:rPr>
          <w:sz w:val="19"/>
          <w:szCs w:val="19"/>
          <w:lang w:val="es-ES" w:eastAsia="es-ES"/>
        </w:rPr>
        <w:tab/>
      </w:r>
    </w:p>
    <w:p w:rsidR="00EF2016" w:rsidRDefault="00EF2016">
      <w:pPr>
        <w:widowControl/>
        <w:rPr>
          <w:sz w:val="24"/>
          <w:szCs w:val="24"/>
        </w:rPr>
        <w:sectPr w:rsidR="00EF2016">
          <w:type w:val="continuous"/>
          <w:pgSz w:w="12134" w:h="15840"/>
          <w:pgMar w:top="1360" w:right="1971" w:bottom="170" w:left="7391" w:header="720" w:footer="720" w:gutter="0"/>
          <w:cols w:space="720"/>
          <w:noEndnote/>
        </w:sectPr>
      </w:pPr>
    </w:p>
    <w:p w:rsidR="00EF2016" w:rsidRDefault="000A371F">
      <w:pPr>
        <w:kinsoku w:val="0"/>
        <w:overflowPunct w:val="0"/>
        <w:autoSpaceDE/>
        <w:autoSpaceDN/>
        <w:adjustRightInd/>
        <w:spacing w:before="9" w:line="256" w:lineRule="exact"/>
        <w:jc w:val="both"/>
        <w:textAlignment w:val="baseline"/>
        <w:rPr>
          <w:rFonts w:ascii="Verdana" w:hAnsi="Verdana" w:cs="Verdana"/>
          <w:spacing w:val="6"/>
          <w:lang w:val="es-ES" w:eastAsia="es-ES"/>
        </w:rPr>
      </w:pPr>
      <w:r>
        <w:rPr>
          <w:rFonts w:ascii="Verdana" w:hAnsi="Verdana" w:cs="Verdana"/>
          <w:spacing w:val="6"/>
          <w:lang w:val="es-ES" w:eastAsia="es-ES"/>
        </w:rPr>
        <w:lastRenderedPageBreak/>
        <w:t>suficiente información en cuanto a que debía suscribir un documento donde dejara los beneficiarios. Indica además que se encuentra en condición de vulnerabilidad es adulta mayor, jefa de hogar por lo que solicita se le autorice el traspaso. Para finalizar indica no entender para que se le previno requisitos si no podía traspasársele al no haberse dejado beneficiario.</w:t>
      </w:r>
    </w:p>
    <w:p w:rsidR="00EF2016" w:rsidRDefault="000A371F">
      <w:pPr>
        <w:kinsoku w:val="0"/>
        <w:overflowPunct w:val="0"/>
        <w:autoSpaceDE/>
        <w:autoSpaceDN/>
        <w:adjustRightInd/>
        <w:spacing w:before="245" w:line="257" w:lineRule="exact"/>
        <w:textAlignment w:val="baseline"/>
        <w:rPr>
          <w:rFonts w:ascii="Verdana" w:hAnsi="Verdana" w:cs="Verdana"/>
          <w:b/>
          <w:bCs/>
          <w:spacing w:val="4"/>
          <w:lang w:val="es-ES" w:eastAsia="es-ES"/>
        </w:rPr>
      </w:pPr>
      <w:r>
        <w:rPr>
          <w:rFonts w:ascii="Verdana" w:hAnsi="Verdana" w:cs="Verdana"/>
          <w:b/>
          <w:bCs/>
          <w:spacing w:val="4"/>
          <w:lang w:val="es-ES" w:eastAsia="es-ES"/>
        </w:rPr>
        <w:t>DE LO ACTUADO POR EL CONSEJO DE TRANSPORTE PÚBLICO</w:t>
      </w:r>
    </w:p>
    <w:p w:rsidR="00EF2016" w:rsidRDefault="000A371F">
      <w:pPr>
        <w:kinsoku w:val="0"/>
        <w:overflowPunct w:val="0"/>
        <w:autoSpaceDE/>
        <w:autoSpaceDN/>
        <w:adjustRightInd/>
        <w:spacing w:before="258" w:line="256" w:lineRule="exact"/>
        <w:jc w:val="both"/>
        <w:textAlignment w:val="baseline"/>
        <w:rPr>
          <w:rFonts w:ascii="Verdana" w:hAnsi="Verdana" w:cs="Verdana"/>
          <w:lang w:val="es-ES" w:eastAsia="es-ES"/>
        </w:rPr>
      </w:pPr>
      <w:r>
        <w:rPr>
          <w:rFonts w:ascii="Verdana" w:hAnsi="Verdana" w:cs="Verdana"/>
          <w:lang w:val="es-ES" w:eastAsia="es-ES"/>
        </w:rPr>
        <w:t xml:space="preserve">Mediante </w:t>
      </w:r>
      <w:r>
        <w:rPr>
          <w:rFonts w:ascii="Verdana" w:hAnsi="Verdana" w:cs="Verdana"/>
          <w:b/>
          <w:bCs/>
          <w:lang w:val="es-ES" w:eastAsia="es-ES"/>
        </w:rPr>
        <w:t xml:space="preserve">7.18.8 de la Sesión Ordinaria 59-2014 del 15 de octubre de 2014, </w:t>
      </w:r>
      <w:r>
        <w:rPr>
          <w:rFonts w:ascii="Verdana" w:hAnsi="Verdana" w:cs="Verdana"/>
          <w:lang w:val="es-ES" w:eastAsia="es-ES"/>
        </w:rPr>
        <w:t>la Junta Directiva del Consejo de Transporte Público conoce y avala el Informe DAJ 2014-001531 de la Dirección de Asuntos Jurídicos y rechaza la solicitud de traspaso Mortis Causa de la Concesión de C</w:t>
      </w:r>
      <w:r w:rsidR="0077170C">
        <w:rPr>
          <w:rFonts w:ascii="Verdana" w:hAnsi="Verdana" w:cs="Verdana"/>
          <w:lang w:val="es-ES" w:eastAsia="es-ES"/>
        </w:rPr>
        <w:t>.D.M.V.</w:t>
      </w:r>
    </w:p>
    <w:p w:rsidR="00EF2016" w:rsidRDefault="000A371F">
      <w:pPr>
        <w:kinsoku w:val="0"/>
        <w:overflowPunct w:val="0"/>
        <w:autoSpaceDE/>
        <w:autoSpaceDN/>
        <w:adjustRightInd/>
        <w:spacing w:before="245" w:line="256" w:lineRule="exact"/>
        <w:jc w:val="both"/>
        <w:textAlignment w:val="baseline"/>
        <w:rPr>
          <w:rFonts w:ascii="Verdana" w:hAnsi="Verdana" w:cs="Verdana"/>
          <w:spacing w:val="4"/>
          <w:lang w:val="es-ES" w:eastAsia="es-ES"/>
        </w:rPr>
      </w:pPr>
      <w:r>
        <w:rPr>
          <w:rFonts w:ascii="Verdana" w:hAnsi="Verdana" w:cs="Verdana"/>
          <w:spacing w:val="4"/>
          <w:lang w:val="es-ES" w:eastAsia="es-ES"/>
        </w:rPr>
        <w:t>La Junta Directiva del Consejo de Transporte Público mediante Artículo 7.3.3 de la Sesión Ordinaria 11-2015 de 26 de febrero de 2015, aprueba el informe de la Dirección de Asuntos Jurídicos el DAJ-2015000553 de 23 de febrero de 2015 y rechaza el recurso de Revocatoria por considerar que es improcedente ya que según se indica la Administración actuó bajo el principio de Legalidad ya que el concesionario, no designo beneficiario y siendo que la Ley 9027 se publico el 28 de febrero de 2012 y el señor M</w:t>
      </w:r>
      <w:r w:rsidR="0077170C">
        <w:rPr>
          <w:rFonts w:ascii="Verdana" w:hAnsi="Verdana" w:cs="Verdana"/>
          <w:spacing w:val="4"/>
          <w:lang w:val="es-ES" w:eastAsia="es-ES"/>
        </w:rPr>
        <w:t>.V.</w:t>
      </w:r>
      <w:r>
        <w:rPr>
          <w:rFonts w:ascii="Verdana" w:hAnsi="Verdana" w:cs="Verdana"/>
          <w:spacing w:val="4"/>
          <w:lang w:val="es-ES" w:eastAsia="es-ES"/>
        </w:rPr>
        <w:t xml:space="preserve"> murió el 13 de noviembre de 2012, es improcedente otorgar la concesión a la recurrente aún cuando sea la cónyuge supérstite.</w:t>
      </w:r>
    </w:p>
    <w:p w:rsidR="00EF2016" w:rsidRDefault="000A371F">
      <w:pPr>
        <w:kinsoku w:val="0"/>
        <w:overflowPunct w:val="0"/>
        <w:autoSpaceDE/>
        <w:autoSpaceDN/>
        <w:adjustRightInd/>
        <w:spacing w:before="258" w:line="246" w:lineRule="exact"/>
        <w:textAlignment w:val="baseline"/>
        <w:rPr>
          <w:rFonts w:ascii="Verdana" w:hAnsi="Verdana" w:cs="Verdana"/>
          <w:b/>
          <w:bCs/>
          <w:spacing w:val="4"/>
          <w:lang w:val="es-ES" w:eastAsia="es-ES"/>
        </w:rPr>
      </w:pPr>
      <w:r>
        <w:rPr>
          <w:rFonts w:ascii="Verdana" w:hAnsi="Verdana" w:cs="Verdana"/>
          <w:b/>
          <w:bCs/>
          <w:spacing w:val="4"/>
          <w:lang w:val="es-ES" w:eastAsia="es-ES"/>
        </w:rPr>
        <w:t>DEL PRINCIPIO DE LEGALIDAD</w:t>
      </w:r>
    </w:p>
    <w:p w:rsidR="00EF2016" w:rsidRDefault="000A371F">
      <w:pPr>
        <w:kinsoku w:val="0"/>
        <w:overflowPunct w:val="0"/>
        <w:autoSpaceDE/>
        <w:autoSpaceDN/>
        <w:adjustRightInd/>
        <w:spacing w:before="267" w:line="256" w:lineRule="exact"/>
        <w:jc w:val="both"/>
        <w:textAlignment w:val="baseline"/>
        <w:rPr>
          <w:rFonts w:ascii="Verdana" w:hAnsi="Verdana" w:cs="Verdana"/>
          <w:spacing w:val="4"/>
          <w:lang w:val="es-ES" w:eastAsia="es-ES"/>
        </w:rPr>
      </w:pPr>
      <w:r>
        <w:rPr>
          <w:rFonts w:ascii="Verdana" w:hAnsi="Verdana" w:cs="Verdana"/>
          <w:spacing w:val="4"/>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EF2016" w:rsidRDefault="000A371F">
      <w:pPr>
        <w:kinsoku w:val="0"/>
        <w:overflowPunct w:val="0"/>
        <w:autoSpaceDE/>
        <w:autoSpaceDN/>
        <w:adjustRightInd/>
        <w:spacing w:before="259" w:line="256" w:lineRule="exact"/>
        <w:jc w:val="both"/>
        <w:textAlignment w:val="baseline"/>
        <w:rPr>
          <w:rFonts w:ascii="Verdana" w:hAnsi="Verdana" w:cs="Verdana"/>
          <w:lang w:val="es-ES" w:eastAsia="es-ES"/>
        </w:rPr>
      </w:pPr>
      <w:r>
        <w:rPr>
          <w:rFonts w:ascii="Verdana" w:hAnsi="Verdana" w:cs="Verdana"/>
          <w:lang w:val="es-ES" w:eastAsia="es-ES"/>
        </w:rPr>
        <w:t>La Sala Constitucional de la Corte Suprema de Justicia, en su sentencia No. 2001-02493, de las dieciséis horas, con veinticinco minutos, del veintisiete de marzo del dos mil uno, respecto del Principio de Legalidad, manifestó:</w:t>
      </w:r>
    </w:p>
    <w:p w:rsidR="00EF2016" w:rsidRDefault="000A371F">
      <w:pPr>
        <w:kinsoku w:val="0"/>
        <w:overflowPunct w:val="0"/>
        <w:autoSpaceDE/>
        <w:autoSpaceDN/>
        <w:adjustRightInd/>
        <w:spacing w:before="221" w:after="508" w:line="257" w:lineRule="exact"/>
        <w:jc w:val="both"/>
        <w:textAlignment w:val="baseline"/>
        <w:rPr>
          <w:rFonts w:ascii="Verdana" w:hAnsi="Verdana" w:cs="Verdana"/>
          <w:b/>
          <w:bCs/>
          <w:spacing w:val="4"/>
          <w:lang w:val="es-ES" w:eastAsia="es-ES"/>
        </w:rPr>
      </w:pPr>
      <w:r>
        <w:rPr>
          <w:rFonts w:ascii="Verdana" w:hAnsi="Verdana" w:cs="Verdana"/>
          <w:spacing w:val="4"/>
          <w:lang w:val="es-ES" w:eastAsia="es-ES"/>
        </w:rPr>
        <w:t xml:space="preserve">"II.- Sobre el principio de legalidad: El principio de legalidad que se consagra en el artículo 11 de nuestra Constitución Política, significa que </w:t>
      </w:r>
      <w:r>
        <w:rPr>
          <w:rFonts w:ascii="Verdana" w:hAnsi="Verdana" w:cs="Verdana"/>
          <w:b/>
          <w:bCs/>
          <w:spacing w:val="4"/>
          <w:lang w:val="es-ES" w:eastAsia="es-ES"/>
        </w:rPr>
        <w:t xml:space="preserve">los </w:t>
      </w:r>
      <w:r>
        <w:rPr>
          <w:rFonts w:ascii="Verdana" w:hAnsi="Verdana" w:cs="Verdana"/>
          <w:b/>
          <w:bCs/>
          <w:spacing w:val="4"/>
          <w:u w:val="single"/>
          <w:lang w:val="es-ES" w:eastAsia="es-ES"/>
        </w:rPr>
        <w:t>actos y comportamientos de la Administración deben de estar regulados por norma escrita,</w:t>
      </w:r>
      <w:r>
        <w:rPr>
          <w:rFonts w:ascii="Verdana" w:hAnsi="Verdana" w:cs="Verdana"/>
          <w:spacing w:val="4"/>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spacing w:val="4"/>
          <w:u w:val="single"/>
          <w:lang w:val="es-ES" w:eastAsia="es-ES"/>
        </w:rPr>
        <w:t>el cual s</w:t>
      </w:r>
      <w:r w:rsidR="0077170C">
        <w:rPr>
          <w:rFonts w:ascii="Verdana" w:hAnsi="Verdana" w:cs="Verdana"/>
          <w:b/>
          <w:bCs/>
          <w:spacing w:val="4"/>
          <w:u w:val="single"/>
          <w:lang w:val="es-ES" w:eastAsia="es-ES"/>
        </w:rPr>
        <w:t>ignifica q</w:t>
      </w:r>
      <w:r>
        <w:rPr>
          <w:rFonts w:ascii="Verdana" w:hAnsi="Verdana" w:cs="Verdana"/>
          <w:b/>
          <w:bCs/>
          <w:spacing w:val="4"/>
          <w:u w:val="single"/>
          <w:lang w:val="es-ES" w:eastAsia="es-ES"/>
        </w:rPr>
        <w:t xml:space="preserve">ue las instituciones públicas solamente pueden actuar en la medida en la  que se encuentren apoderadas para hacerlo por el mismo  ordenamiento y normalmente a texto expreso, en consecuencia solo  le es permitido lo que esté constitucionalmente y legalmente  autorizado en forma expresa </w:t>
      </w:r>
      <w:r>
        <w:rPr>
          <w:rFonts w:ascii="Verdana" w:hAnsi="Verdana" w:cs="Verdana"/>
          <w:b/>
          <w:bCs/>
          <w:i/>
          <w:iCs/>
          <w:spacing w:val="4"/>
          <w:u w:val="single"/>
          <w:lang w:val="es-ES" w:eastAsia="es-ES"/>
        </w:rPr>
        <w:t xml:space="preserve">y todo lo </w:t>
      </w:r>
      <w:r w:rsidR="0077170C">
        <w:rPr>
          <w:rFonts w:ascii="Verdana" w:hAnsi="Verdana" w:cs="Verdana"/>
          <w:b/>
          <w:bCs/>
          <w:i/>
          <w:iCs/>
          <w:spacing w:val="4"/>
          <w:u w:val="single"/>
          <w:lang w:val="es-ES" w:eastAsia="es-ES"/>
        </w:rPr>
        <w:t>q</w:t>
      </w:r>
      <w:r>
        <w:rPr>
          <w:rFonts w:ascii="Verdana" w:hAnsi="Verdana" w:cs="Verdana"/>
          <w:b/>
          <w:bCs/>
          <w:i/>
          <w:iCs/>
          <w:spacing w:val="4"/>
          <w:u w:val="single"/>
          <w:lang w:val="es-ES" w:eastAsia="es-ES"/>
        </w:rPr>
        <w:t>ue no les esté autorizado les está vedado. "</w:t>
      </w:r>
      <w:r>
        <w:rPr>
          <w:rFonts w:ascii="Verdana" w:hAnsi="Verdana" w:cs="Verdana"/>
          <w:b/>
          <w:bCs/>
          <w:spacing w:val="4"/>
          <w:lang w:val="es-ES" w:eastAsia="es-ES"/>
        </w:rPr>
        <w:t xml:space="preserve"> (Lo resaltado no es del original)</w:t>
      </w:r>
    </w:p>
    <w:p w:rsidR="00EF2016" w:rsidRDefault="00EF2016">
      <w:pPr>
        <w:widowControl/>
        <w:rPr>
          <w:sz w:val="24"/>
          <w:szCs w:val="24"/>
        </w:rPr>
        <w:sectPr w:rsidR="00EF2016">
          <w:pgSz w:w="12134" w:h="15840"/>
          <w:pgMar w:top="1340" w:right="1953" w:bottom="190" w:left="2121" w:header="720" w:footer="720" w:gutter="0"/>
          <w:cols w:space="720"/>
          <w:noEndnote/>
        </w:sectPr>
      </w:pPr>
    </w:p>
    <w:p w:rsidR="00EF2016" w:rsidRDefault="000A371F">
      <w:pPr>
        <w:tabs>
          <w:tab w:val="right" w:pos="2736"/>
        </w:tabs>
        <w:kinsoku w:val="0"/>
        <w:overflowPunct w:val="0"/>
        <w:autoSpaceDE/>
        <w:autoSpaceDN/>
        <w:adjustRightInd/>
        <w:spacing w:line="225" w:lineRule="exact"/>
        <w:textAlignment w:val="baseline"/>
        <w:rPr>
          <w:rFonts w:ascii="Verdana" w:hAnsi="Verdana" w:cs="Verdana"/>
          <w:lang w:val="es-ES" w:eastAsia="es-ES"/>
        </w:rPr>
      </w:pPr>
      <w:r>
        <w:rPr>
          <w:sz w:val="19"/>
          <w:szCs w:val="19"/>
          <w:lang w:val="es-ES" w:eastAsia="es-ES"/>
        </w:rPr>
        <w:tab/>
      </w:r>
    </w:p>
    <w:p w:rsidR="00EF2016" w:rsidRDefault="00EF2016">
      <w:pPr>
        <w:widowControl/>
        <w:rPr>
          <w:sz w:val="24"/>
          <w:szCs w:val="24"/>
        </w:rPr>
        <w:sectPr w:rsidR="00EF2016">
          <w:type w:val="continuous"/>
          <w:pgSz w:w="12134" w:h="15840"/>
          <w:pgMar w:top="1340" w:right="1954" w:bottom="190" w:left="7408" w:header="720" w:footer="720" w:gutter="0"/>
          <w:cols w:space="720"/>
          <w:noEndnote/>
        </w:sectPr>
      </w:pPr>
    </w:p>
    <w:p w:rsidR="00EF2016" w:rsidRDefault="000A371F">
      <w:pPr>
        <w:kinsoku w:val="0"/>
        <w:overflowPunct w:val="0"/>
        <w:autoSpaceDE/>
        <w:autoSpaceDN/>
        <w:adjustRightInd/>
        <w:spacing w:before="10" w:line="255" w:lineRule="exact"/>
        <w:jc w:val="both"/>
        <w:textAlignment w:val="baseline"/>
        <w:rPr>
          <w:rFonts w:ascii="Verdana" w:hAnsi="Verdana" w:cs="Verdana"/>
          <w:lang w:val="es-ES" w:eastAsia="es-ES"/>
        </w:rPr>
      </w:pPr>
      <w:r>
        <w:rPr>
          <w:rFonts w:ascii="Verdana" w:hAnsi="Verdana" w:cs="Verdana"/>
          <w:lang w:val="es-ES" w:eastAsia="es-ES"/>
        </w:rPr>
        <w:lastRenderedPageBreak/>
        <w:t>El Principio de Legalidad constituye pues el marco de acción o actuación al cual se encuentra sujeto todo funcionario público y de no ajustarse a éste sus actos son nulos.</w:t>
      </w:r>
    </w:p>
    <w:p w:rsidR="00EF2016" w:rsidRDefault="000A371F">
      <w:pPr>
        <w:kinsoku w:val="0"/>
        <w:overflowPunct w:val="0"/>
        <w:autoSpaceDE/>
        <w:autoSpaceDN/>
        <w:adjustRightInd/>
        <w:spacing w:before="258" w:line="254" w:lineRule="exact"/>
        <w:textAlignment w:val="baseline"/>
        <w:rPr>
          <w:rFonts w:ascii="Verdana" w:hAnsi="Verdana" w:cs="Verdana"/>
          <w:b/>
          <w:bCs/>
          <w:spacing w:val="4"/>
          <w:lang w:val="es-ES" w:eastAsia="es-ES"/>
        </w:rPr>
      </w:pPr>
      <w:r>
        <w:rPr>
          <w:rFonts w:ascii="Verdana" w:hAnsi="Verdana" w:cs="Verdana"/>
          <w:b/>
          <w:bCs/>
          <w:spacing w:val="4"/>
          <w:lang w:val="es-ES" w:eastAsia="es-ES"/>
        </w:rPr>
        <w:t>LA MOTIVACIÓN DE LOS ACTOS ADMINISTRATIVOS</w:t>
      </w:r>
    </w:p>
    <w:p w:rsidR="00EF2016" w:rsidRDefault="000A371F" w:rsidP="0077170C">
      <w:pPr>
        <w:tabs>
          <w:tab w:val="right" w:pos="8064"/>
        </w:tabs>
        <w:kinsoku w:val="0"/>
        <w:overflowPunct w:val="0"/>
        <w:autoSpaceDE/>
        <w:autoSpaceDN/>
        <w:adjustRightInd/>
        <w:spacing w:before="760" w:line="255" w:lineRule="exact"/>
        <w:jc w:val="both"/>
        <w:textAlignment w:val="baseline"/>
        <w:rPr>
          <w:rFonts w:ascii="Verdana" w:hAnsi="Verdana" w:cs="Verdana"/>
          <w:spacing w:val="1"/>
          <w:lang w:val="es-ES" w:eastAsia="es-ES"/>
        </w:rPr>
      </w:pPr>
      <w:r>
        <w:rPr>
          <w:rFonts w:ascii="Verdana" w:hAnsi="Verdana" w:cs="Verdana"/>
          <w:lang w:val="es-ES" w:eastAsia="es-ES"/>
        </w:rPr>
        <w:t>La Motivación de los actos administrativos, de conformidad con</w:t>
      </w:r>
      <w:r w:rsidR="0077170C">
        <w:rPr>
          <w:rFonts w:ascii="Verdana" w:hAnsi="Verdana" w:cs="Verdana"/>
          <w:lang w:val="es-ES" w:eastAsia="es-ES"/>
        </w:rPr>
        <w:t xml:space="preserve"> </w:t>
      </w:r>
      <w:r>
        <w:rPr>
          <w:rFonts w:ascii="Verdana" w:hAnsi="Verdana" w:cs="Verdana"/>
          <w:lang w:val="es-ES" w:eastAsia="es-ES"/>
        </w:rPr>
        <w:t>los</w:t>
      </w:r>
      <w:r w:rsidR="0077170C">
        <w:rPr>
          <w:rFonts w:ascii="Verdana" w:hAnsi="Verdana" w:cs="Verdana"/>
          <w:lang w:val="es-ES" w:eastAsia="es-ES"/>
        </w:rPr>
        <w:t xml:space="preserve"> </w:t>
      </w:r>
      <w:r>
        <w:rPr>
          <w:rFonts w:ascii="Verdana" w:hAnsi="Verdana" w:cs="Verdana"/>
          <w:spacing w:val="1"/>
          <w:lang w:val="es-ES" w:eastAsia="es-ES"/>
        </w:rPr>
        <w:t>artículos 133 y 136</w:t>
      </w:r>
      <w:r w:rsidR="0077170C">
        <w:rPr>
          <w:rFonts w:ascii="Verdana" w:hAnsi="Verdana" w:cs="Verdana"/>
          <w:spacing w:val="1"/>
          <w:lang w:val="es-ES" w:eastAsia="es-ES"/>
        </w:rPr>
        <w:t xml:space="preserve"> </w:t>
      </w:r>
      <w:r>
        <w:rPr>
          <w:rFonts w:ascii="Verdana" w:hAnsi="Verdana" w:cs="Verdana"/>
          <w:spacing w:val="1"/>
          <w:lang w:val="es-ES" w:eastAsia="es-ES"/>
        </w:rPr>
        <w:t>de la</w:t>
      </w:r>
      <w:r w:rsidR="0077170C">
        <w:rPr>
          <w:rFonts w:ascii="Verdana" w:hAnsi="Verdana" w:cs="Verdana"/>
          <w:spacing w:val="1"/>
          <w:lang w:val="es-ES" w:eastAsia="es-ES"/>
        </w:rPr>
        <w:t xml:space="preserve"> </w:t>
      </w:r>
      <w:r>
        <w:rPr>
          <w:rFonts w:ascii="Verdana" w:hAnsi="Verdana" w:cs="Verdana"/>
          <w:spacing w:val="1"/>
          <w:lang w:val="es-ES" w:eastAsia="es-ES"/>
        </w:rPr>
        <w:t>Ley General de Administración Pública,</w:t>
      </w:r>
      <w:r w:rsidR="0077170C">
        <w:rPr>
          <w:rFonts w:ascii="Verdana" w:hAnsi="Verdana" w:cs="Verdana"/>
          <w:spacing w:val="1"/>
          <w:lang w:val="es-ES" w:eastAsia="es-ES"/>
        </w:rPr>
        <w:t xml:space="preserve"> </w:t>
      </w:r>
      <w:r>
        <w:rPr>
          <w:rFonts w:ascii="Verdana" w:hAnsi="Verdana" w:cs="Verdana"/>
          <w:spacing w:val="1"/>
          <w:lang w:val="es-ES" w:eastAsia="es-ES"/>
        </w:rPr>
        <w:t xml:space="preserve">constituye un </w:t>
      </w:r>
      <w:r w:rsidR="0077170C">
        <w:rPr>
          <w:rFonts w:ascii="Verdana" w:hAnsi="Verdana" w:cs="Verdana"/>
          <w:spacing w:val="1"/>
          <w:lang w:val="es-ES" w:eastAsia="es-ES"/>
        </w:rPr>
        <w:t xml:space="preserve"> </w:t>
      </w:r>
      <w:r>
        <w:rPr>
          <w:rFonts w:ascii="Verdana" w:hAnsi="Verdana" w:cs="Verdana"/>
          <w:spacing w:val="1"/>
          <w:lang w:val="es-ES" w:eastAsia="es-ES"/>
        </w:rPr>
        <w:t>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p>
    <w:p w:rsidR="00EF2016" w:rsidRDefault="000A371F">
      <w:pPr>
        <w:kinsoku w:val="0"/>
        <w:overflowPunct w:val="0"/>
        <w:autoSpaceDE/>
        <w:autoSpaceDN/>
        <w:adjustRightInd/>
        <w:spacing w:before="239" w:line="255" w:lineRule="exact"/>
        <w:jc w:val="both"/>
        <w:textAlignment w:val="baseline"/>
        <w:rPr>
          <w:rFonts w:ascii="Verdana" w:hAnsi="Verdana" w:cs="Verdana"/>
          <w:spacing w:val="4"/>
          <w:lang w:val="es-ES" w:eastAsia="es-ES"/>
        </w:rPr>
      </w:pPr>
      <w:r>
        <w:rPr>
          <w:rFonts w:ascii="Verdana" w:hAnsi="Verdana" w:cs="Verdana"/>
          <w:spacing w:val="4"/>
          <w:lang w:val="es-ES" w:eastAsia="es-ES"/>
        </w:rPr>
        <w:t xml:space="preserve">La Motivación, además debe ser coherente, tanto con el Principio de Legalidad, como con los hechos a los que se circunscribe, esto es de suma importancia pues como se dijo la Ley exige la motivación cuando: </w:t>
      </w:r>
      <w:r>
        <w:rPr>
          <w:rFonts w:ascii="Verdana" w:hAnsi="Verdana" w:cs="Verdana"/>
          <w:b/>
          <w:bCs/>
          <w:i/>
          <w:iCs/>
          <w:spacing w:val="4"/>
          <w:lang w:val="es-ES" w:eastAsia="es-ES"/>
        </w:rPr>
        <w:t xml:space="preserve">"a) Los actos que impongan obligaciones o que limiten, supriman o denieguen derechos subjetivos;", </w:t>
      </w:r>
      <w:r>
        <w:rPr>
          <w:rFonts w:ascii="Verdana" w:hAnsi="Verdana" w:cs="Verdana"/>
          <w:spacing w:val="4"/>
          <w:lang w:val="es-ES" w:eastAsia="es-ES"/>
        </w:rPr>
        <w:t>esto es así ya que la tutela que nuestro ordenamiento jurídico hace de los derechos subjetivos de los administrado es de gran relevancia, de ahí que si el acto, por una u otra razón ha de denegar derecho alguno debe ser justificado hartamente pero esa justificación debe ser coherente con el cuadro fáctico que el operador del derecho tiene frente a sí y el marco legal que regula la materia. (El resaltado es nuestro)</w:t>
      </w:r>
    </w:p>
    <w:p w:rsidR="00EF2016" w:rsidRDefault="000A371F">
      <w:pPr>
        <w:kinsoku w:val="0"/>
        <w:overflowPunct w:val="0"/>
        <w:autoSpaceDE/>
        <w:autoSpaceDN/>
        <w:adjustRightInd/>
        <w:spacing w:before="289" w:line="244" w:lineRule="exact"/>
        <w:ind w:left="576"/>
        <w:textAlignment w:val="baseline"/>
        <w:rPr>
          <w:rFonts w:ascii="Verdana" w:hAnsi="Verdana" w:cs="Verdana"/>
          <w:sz w:val="24"/>
          <w:szCs w:val="24"/>
          <w:lang w:eastAsia="en-US"/>
        </w:rPr>
      </w:pPr>
      <w:r>
        <w:rPr>
          <w:rFonts w:ascii="Verdana" w:hAnsi="Verdana" w:cs="Verdana"/>
          <w:i/>
          <w:iCs/>
          <w:lang w:val="es-ES" w:eastAsia="es-ES"/>
        </w:rPr>
        <w:t>"Artículo 136.</w:t>
      </w:r>
      <w:r>
        <w:rPr>
          <w:rFonts w:ascii="Verdana" w:hAnsi="Verdana" w:cs="Verdana"/>
          <w:i/>
          <w:iCs/>
          <w:lang w:val="es-ES" w:eastAsia="es-ES"/>
        </w:rPr>
        <w:noBreakHyphen/>
      </w:r>
    </w:p>
    <w:p w:rsidR="00EF2016" w:rsidRDefault="000A371F">
      <w:pPr>
        <w:kinsoku w:val="0"/>
        <w:overflowPunct w:val="0"/>
        <w:autoSpaceDE/>
        <w:autoSpaceDN/>
        <w:adjustRightInd/>
        <w:spacing w:before="256" w:line="256" w:lineRule="exact"/>
        <w:ind w:left="576" w:right="504"/>
        <w:jc w:val="both"/>
        <w:textAlignment w:val="baseline"/>
        <w:rPr>
          <w:rFonts w:ascii="Verdana" w:hAnsi="Verdana" w:cs="Verdana"/>
          <w:i/>
          <w:iCs/>
          <w:lang w:val="es-ES" w:eastAsia="es-ES"/>
        </w:rPr>
      </w:pPr>
      <w:r>
        <w:rPr>
          <w:rFonts w:ascii="Verdana" w:hAnsi="Verdana" w:cs="Verdana"/>
          <w:i/>
          <w:iCs/>
          <w:lang w:val="es-ES" w:eastAsia="es-ES"/>
        </w:rPr>
        <w:t>I. Serán motivados con mención, sucinta al menos, de sus fundamentos:</w:t>
      </w:r>
    </w:p>
    <w:p w:rsidR="00EF2016" w:rsidRDefault="000A371F">
      <w:pPr>
        <w:numPr>
          <w:ilvl w:val="0"/>
          <w:numId w:val="3"/>
        </w:numPr>
        <w:kinsoku w:val="0"/>
        <w:overflowPunct w:val="0"/>
        <w:autoSpaceDE/>
        <w:autoSpaceDN/>
        <w:adjustRightInd/>
        <w:spacing w:before="248" w:line="255" w:lineRule="exact"/>
        <w:ind w:right="504"/>
        <w:jc w:val="both"/>
        <w:textAlignment w:val="baseline"/>
        <w:rPr>
          <w:rFonts w:ascii="Verdana" w:hAnsi="Verdana" w:cs="Verdana"/>
          <w:b/>
          <w:bCs/>
          <w:i/>
          <w:iCs/>
          <w:lang w:val="es-ES" w:eastAsia="es-ES"/>
        </w:rPr>
      </w:pPr>
      <w:r>
        <w:rPr>
          <w:rFonts w:ascii="Verdana" w:hAnsi="Verdana" w:cs="Verdana"/>
          <w:b/>
          <w:bCs/>
          <w:i/>
          <w:iCs/>
          <w:lang w:val="es-ES" w:eastAsia="es-ES"/>
        </w:rPr>
        <w:t>Los actos que impongan obligaciones o que limiten, supriman o denieguen derechos subjetivos;</w:t>
      </w:r>
    </w:p>
    <w:p w:rsidR="00EF2016" w:rsidRDefault="000A371F">
      <w:pPr>
        <w:numPr>
          <w:ilvl w:val="0"/>
          <w:numId w:val="4"/>
        </w:numPr>
        <w:kinsoku w:val="0"/>
        <w:overflowPunct w:val="0"/>
        <w:autoSpaceDE/>
        <w:autoSpaceDN/>
        <w:adjustRightInd/>
        <w:spacing w:before="6" w:line="248" w:lineRule="exact"/>
        <w:jc w:val="both"/>
        <w:textAlignment w:val="baseline"/>
        <w:rPr>
          <w:rFonts w:ascii="Verdana" w:hAnsi="Verdana" w:cs="Verdana"/>
          <w:i/>
          <w:iCs/>
          <w:spacing w:val="1"/>
          <w:lang w:val="es-ES" w:eastAsia="es-ES"/>
        </w:rPr>
      </w:pPr>
      <w:r>
        <w:rPr>
          <w:rFonts w:ascii="Verdana" w:hAnsi="Verdana" w:cs="Verdana"/>
          <w:i/>
          <w:iCs/>
          <w:spacing w:val="1"/>
          <w:lang w:val="es-ES" w:eastAsia="es-ES"/>
        </w:rPr>
        <w:t>Los que resuelvan recursos;</w:t>
      </w:r>
    </w:p>
    <w:p w:rsidR="00EF2016" w:rsidRDefault="000A371F">
      <w:pPr>
        <w:numPr>
          <w:ilvl w:val="0"/>
          <w:numId w:val="5"/>
        </w:numPr>
        <w:kinsoku w:val="0"/>
        <w:overflowPunct w:val="0"/>
        <w:autoSpaceDE/>
        <w:autoSpaceDN/>
        <w:adjustRightInd/>
        <w:spacing w:line="254" w:lineRule="exact"/>
        <w:ind w:right="504"/>
        <w:jc w:val="both"/>
        <w:textAlignment w:val="baseline"/>
        <w:rPr>
          <w:rFonts w:ascii="Verdana" w:hAnsi="Verdana" w:cs="Verdana"/>
          <w:i/>
          <w:iCs/>
          <w:u w:val="single"/>
          <w:lang w:val="es-ES" w:eastAsia="es-ES"/>
        </w:rPr>
      </w:pPr>
      <w:r>
        <w:rPr>
          <w:rFonts w:ascii="Verdana" w:hAnsi="Verdana" w:cs="Verdana"/>
          <w:i/>
          <w:iCs/>
          <w:u w:val="single"/>
          <w:lang w:val="es-ES" w:eastAsia="es-ES"/>
        </w:rPr>
        <w:t xml:space="preserve">Los que se separen del criterio seguido en actuaciones precedentes o del dictamen de órganos consultivos; </w:t>
      </w:r>
    </w:p>
    <w:p w:rsidR="00EF2016" w:rsidRDefault="000A371F">
      <w:pPr>
        <w:numPr>
          <w:ilvl w:val="0"/>
          <w:numId w:val="4"/>
        </w:numPr>
        <w:kinsoku w:val="0"/>
        <w:overflowPunct w:val="0"/>
        <w:autoSpaceDE/>
        <w:autoSpaceDN/>
        <w:adjustRightInd/>
        <w:spacing w:line="255" w:lineRule="exact"/>
        <w:ind w:right="504"/>
        <w:jc w:val="both"/>
        <w:textAlignment w:val="baseline"/>
        <w:rPr>
          <w:rFonts w:ascii="Verdana" w:hAnsi="Verdana" w:cs="Verdana"/>
          <w:i/>
          <w:iCs/>
          <w:spacing w:val="2"/>
          <w:lang w:val="es-ES" w:eastAsia="es-ES"/>
        </w:rPr>
      </w:pPr>
      <w:r>
        <w:rPr>
          <w:rFonts w:ascii="Verdana" w:hAnsi="Verdana" w:cs="Verdana"/>
          <w:i/>
          <w:iCs/>
          <w:spacing w:val="2"/>
          <w:lang w:val="es-ES" w:eastAsia="es-ES"/>
        </w:rPr>
        <w:t>Los de suspensión de actos que hayan sido objeto del recurso;</w:t>
      </w:r>
    </w:p>
    <w:p w:rsidR="00EF2016" w:rsidRDefault="000A371F">
      <w:pPr>
        <w:numPr>
          <w:ilvl w:val="0"/>
          <w:numId w:val="4"/>
        </w:numPr>
        <w:kinsoku w:val="0"/>
        <w:overflowPunct w:val="0"/>
        <w:autoSpaceDE/>
        <w:autoSpaceDN/>
        <w:adjustRightInd/>
        <w:spacing w:before="4" w:line="256" w:lineRule="exact"/>
        <w:ind w:right="504"/>
        <w:textAlignment w:val="baseline"/>
        <w:rPr>
          <w:rFonts w:ascii="Verdana" w:hAnsi="Verdana" w:cs="Verdana"/>
          <w:i/>
          <w:iCs/>
          <w:spacing w:val="6"/>
          <w:lang w:val="es-ES" w:eastAsia="es-ES"/>
        </w:rPr>
      </w:pPr>
      <w:r>
        <w:rPr>
          <w:rFonts w:ascii="Verdana" w:hAnsi="Verdana" w:cs="Verdana"/>
          <w:i/>
          <w:iCs/>
          <w:spacing w:val="6"/>
          <w:lang w:val="es-ES" w:eastAsia="es-ES"/>
        </w:rPr>
        <w:t>Los reglamentos y actos discrecionales de alcance general; y</w:t>
      </w:r>
    </w:p>
    <w:p w:rsidR="00EF2016" w:rsidRDefault="000A371F">
      <w:pPr>
        <w:numPr>
          <w:ilvl w:val="0"/>
          <w:numId w:val="4"/>
        </w:numPr>
        <w:kinsoku w:val="0"/>
        <w:overflowPunct w:val="0"/>
        <w:autoSpaceDE/>
        <w:autoSpaceDN/>
        <w:adjustRightInd/>
        <w:spacing w:before="9" w:line="246" w:lineRule="exact"/>
        <w:textAlignment w:val="baseline"/>
        <w:rPr>
          <w:rFonts w:ascii="Verdana" w:hAnsi="Verdana" w:cs="Verdana"/>
          <w:i/>
          <w:iCs/>
          <w:lang w:val="es-ES" w:eastAsia="es-ES"/>
        </w:rPr>
      </w:pPr>
      <w:r>
        <w:rPr>
          <w:rFonts w:ascii="Verdana" w:hAnsi="Verdana" w:cs="Verdana"/>
          <w:i/>
          <w:iCs/>
          <w:lang w:val="es-ES" w:eastAsia="es-ES"/>
        </w:rPr>
        <w:t>Los que deban serlo en virtud de ley.</w:t>
      </w:r>
    </w:p>
    <w:p w:rsidR="00EF2016" w:rsidRDefault="000A371F">
      <w:pPr>
        <w:kinsoku w:val="0"/>
        <w:overflowPunct w:val="0"/>
        <w:autoSpaceDE/>
        <w:autoSpaceDN/>
        <w:adjustRightInd/>
        <w:spacing w:before="265" w:after="494" w:line="254" w:lineRule="exact"/>
        <w:ind w:left="576" w:right="504"/>
        <w:jc w:val="both"/>
        <w:textAlignment w:val="baseline"/>
        <w:rPr>
          <w:rFonts w:ascii="Verdana" w:hAnsi="Verdana" w:cs="Verdana"/>
          <w:b/>
          <w:bCs/>
          <w:lang w:val="es-ES" w:eastAsia="es-ES"/>
        </w:rPr>
      </w:pPr>
      <w:r>
        <w:rPr>
          <w:rFonts w:ascii="Verdana" w:hAnsi="Verdana" w:cs="Verdana"/>
          <w:i/>
          <w:iCs/>
          <w:lang w:val="es-ES" w:eastAsia="es-ES"/>
        </w:rPr>
        <w:t xml:space="preserve">2. </w:t>
      </w:r>
      <w:r>
        <w:rPr>
          <w:rFonts w:ascii="Verdana" w:hAnsi="Verdana" w:cs="Verdana"/>
          <w:b/>
          <w:bCs/>
          <w:lang w:val="es-ES" w:eastAsia="es-ES"/>
        </w:rPr>
        <w:t>La motivación podrá consistir en la referencia explícita o inequívoca a los motivos de la petición del administrado, o bien a propuestas, dictámenes o resoluciones previas que hayan determinado realmente la adopción del acto, a</w:t>
      </w:r>
    </w:p>
    <w:p w:rsidR="00EF2016" w:rsidRDefault="00EF2016">
      <w:pPr>
        <w:widowControl/>
        <w:rPr>
          <w:sz w:val="24"/>
          <w:szCs w:val="24"/>
        </w:rPr>
        <w:sectPr w:rsidR="00EF2016">
          <w:pgSz w:w="12134" w:h="15840"/>
          <w:pgMar w:top="1580" w:right="1998" w:bottom="200" w:left="2076" w:header="720" w:footer="720" w:gutter="0"/>
          <w:cols w:space="720"/>
          <w:noEndnote/>
        </w:sectPr>
      </w:pPr>
    </w:p>
    <w:p w:rsidR="00EF2016" w:rsidRDefault="00EF2016">
      <w:pPr>
        <w:tabs>
          <w:tab w:val="right" w:pos="2736"/>
        </w:tabs>
        <w:kinsoku w:val="0"/>
        <w:overflowPunct w:val="0"/>
        <w:autoSpaceDE/>
        <w:autoSpaceDN/>
        <w:adjustRightInd/>
        <w:spacing w:line="230" w:lineRule="exact"/>
        <w:textAlignment w:val="baseline"/>
        <w:rPr>
          <w:rFonts w:ascii="Verdana" w:hAnsi="Verdana" w:cs="Verdana"/>
          <w:lang w:val="es-ES" w:eastAsia="es-ES"/>
        </w:rPr>
      </w:pPr>
    </w:p>
    <w:p w:rsidR="00EF2016" w:rsidRDefault="00EF2016">
      <w:pPr>
        <w:widowControl/>
        <w:rPr>
          <w:sz w:val="24"/>
          <w:szCs w:val="24"/>
        </w:rPr>
        <w:sectPr w:rsidR="00EF2016">
          <w:type w:val="continuous"/>
          <w:pgSz w:w="12134" w:h="15840"/>
          <w:pgMar w:top="1580" w:right="2007" w:bottom="200" w:left="7355" w:header="720" w:footer="720" w:gutter="0"/>
          <w:cols w:space="720"/>
          <w:noEndnote/>
        </w:sectPr>
      </w:pPr>
    </w:p>
    <w:p w:rsidR="00EF2016" w:rsidRDefault="000A371F">
      <w:pPr>
        <w:kinsoku w:val="0"/>
        <w:overflowPunct w:val="0"/>
        <w:autoSpaceDE/>
        <w:autoSpaceDN/>
        <w:adjustRightInd/>
        <w:spacing w:before="19" w:line="257" w:lineRule="exact"/>
        <w:ind w:left="504" w:right="504"/>
        <w:textAlignment w:val="baseline"/>
        <w:rPr>
          <w:rFonts w:ascii="Verdana" w:hAnsi="Verdana" w:cs="Verdana"/>
          <w:lang w:val="es-ES" w:eastAsia="es-ES"/>
        </w:rPr>
      </w:pPr>
      <w:r>
        <w:rPr>
          <w:rFonts w:ascii="Verdana" w:hAnsi="Verdana" w:cs="Verdana"/>
          <w:b/>
          <w:bCs/>
          <w:lang w:val="es-ES" w:eastAsia="es-ES"/>
        </w:rPr>
        <w:lastRenderedPageBreak/>
        <w:t xml:space="preserve">condición de que se acompañe su copia." </w:t>
      </w:r>
      <w:r>
        <w:rPr>
          <w:rFonts w:ascii="Verdana" w:hAnsi="Verdana" w:cs="Verdana"/>
          <w:lang w:val="es-ES" w:eastAsia="es-ES"/>
        </w:rPr>
        <w:t>(El resaltado no es del original)</w:t>
      </w:r>
    </w:p>
    <w:p w:rsidR="00EF2016" w:rsidRDefault="000A371F">
      <w:pPr>
        <w:kinsoku w:val="0"/>
        <w:overflowPunct w:val="0"/>
        <w:autoSpaceDE/>
        <w:autoSpaceDN/>
        <w:adjustRightInd/>
        <w:spacing w:before="247" w:line="257" w:lineRule="exact"/>
        <w:jc w:val="both"/>
        <w:textAlignment w:val="baseline"/>
        <w:rPr>
          <w:rFonts w:ascii="Verdana" w:hAnsi="Verdana" w:cs="Verdana"/>
          <w:spacing w:val="4"/>
          <w:lang w:val="es-ES" w:eastAsia="es-ES"/>
        </w:rPr>
      </w:pPr>
      <w:r>
        <w:rPr>
          <w:rFonts w:ascii="Verdana" w:hAnsi="Verdana" w:cs="Verdana"/>
          <w:spacing w:val="4"/>
          <w:lang w:val="es-ES" w:eastAsia="es-ES"/>
        </w:rPr>
        <w:t>El Tribunal Contencioso Administrativo Sección II en su sentencia 00542 de las diez horas cincuenta minutos del veintitrés de noviembre del 2007 indico:</w:t>
      </w:r>
    </w:p>
    <w:p w:rsidR="00EF2016" w:rsidRDefault="000A371F">
      <w:pPr>
        <w:kinsoku w:val="0"/>
        <w:overflowPunct w:val="0"/>
        <w:autoSpaceDE/>
        <w:autoSpaceDN/>
        <w:adjustRightInd/>
        <w:spacing w:before="305" w:line="207" w:lineRule="exact"/>
        <w:ind w:left="288" w:right="288"/>
        <w:jc w:val="both"/>
        <w:textAlignment w:val="baseline"/>
        <w:rPr>
          <w:rFonts w:ascii="Verdana" w:hAnsi="Verdana" w:cs="Verdana"/>
          <w:i/>
          <w:iCs/>
          <w:spacing w:val="1"/>
          <w:sz w:val="17"/>
          <w:szCs w:val="17"/>
          <w:lang w:val="es-ES" w:eastAsia="es-ES"/>
        </w:rPr>
      </w:pPr>
      <w:r>
        <w:rPr>
          <w:rFonts w:ascii="Verdana" w:hAnsi="Verdana" w:cs="Verdana"/>
          <w:b/>
          <w:bCs/>
          <w:i/>
          <w:iCs/>
          <w:spacing w:val="1"/>
          <w:sz w:val="17"/>
          <w:szCs w:val="17"/>
          <w:lang w:val="es-ES" w:eastAsia="es-ES"/>
        </w:rPr>
        <w:t xml:space="preserve">"IV.- DE LA MOTIVACIÓN COMO ELEMENTO ESENCIAL DE LA ACTUACIÓN FORMAL DE LA ADMINISTRACIÓN </w:t>
      </w:r>
      <w:proofErr w:type="gramStart"/>
      <w:r>
        <w:rPr>
          <w:rFonts w:ascii="Verdana" w:hAnsi="Verdana" w:cs="Verdana"/>
          <w:b/>
          <w:bCs/>
          <w:i/>
          <w:iCs/>
          <w:spacing w:val="1"/>
          <w:sz w:val="17"/>
          <w:szCs w:val="17"/>
          <w:lang w:val="es-ES" w:eastAsia="es-ES"/>
        </w:rPr>
        <w:t>PÚBLICA.-</w:t>
      </w:r>
      <w:proofErr w:type="gramEnd"/>
      <w:r>
        <w:rPr>
          <w:rFonts w:ascii="Verdana" w:hAnsi="Verdana" w:cs="Verdana"/>
          <w:b/>
          <w:bCs/>
          <w:i/>
          <w:iCs/>
          <w:spacing w:val="1"/>
          <w:sz w:val="17"/>
          <w:szCs w:val="17"/>
          <w:lang w:val="es-ES" w:eastAsia="es-ES"/>
        </w:rPr>
        <w:t xml:space="preserve"> </w:t>
      </w:r>
      <w:r>
        <w:rPr>
          <w:rFonts w:ascii="Verdana" w:hAnsi="Verdana" w:cs="Verdana"/>
          <w:i/>
          <w:iCs/>
          <w:spacing w:val="1"/>
          <w:sz w:val="17"/>
          <w:szCs w:val="17"/>
          <w:lang w:val="es-ES" w:eastAsia="es-ES"/>
        </w:rPr>
        <w:t xml:space="preserve">El </w:t>
      </w:r>
      <w:r>
        <w:rPr>
          <w:rFonts w:ascii="Verdana" w:hAnsi="Verdana" w:cs="Verdana"/>
          <w:b/>
          <w:bCs/>
          <w:i/>
          <w:iCs/>
          <w:spacing w:val="1"/>
          <w:sz w:val="17"/>
          <w:szCs w:val="17"/>
          <w:lang w:val="es-ES" w:eastAsia="es-ES"/>
        </w:rPr>
        <w:t xml:space="preserve">primer motivo de impugnación </w:t>
      </w:r>
      <w:r>
        <w:rPr>
          <w:rFonts w:ascii="Verdana" w:hAnsi="Verdana" w:cs="Verdana"/>
          <w:i/>
          <w:iCs/>
          <w:spacing w:val="1"/>
          <w:sz w:val="17"/>
          <w:szCs w:val="17"/>
          <w:lang w:val="es-ES" w:eastAsia="es-ES"/>
        </w:rPr>
        <w:t xml:space="preserve">es la </w:t>
      </w:r>
      <w:r>
        <w:rPr>
          <w:rFonts w:ascii="Verdana" w:hAnsi="Verdana" w:cs="Verdana"/>
          <w:b/>
          <w:bCs/>
          <w:i/>
          <w:iCs/>
          <w:spacing w:val="1"/>
          <w:sz w:val="17"/>
          <w:szCs w:val="17"/>
          <w:lang w:val="es-ES" w:eastAsia="es-ES"/>
        </w:rPr>
        <w:t xml:space="preserve">falta de fundamentación e incongruencia de la resolución administrativa impugnada . </w:t>
      </w:r>
      <w:r>
        <w:rPr>
          <w:rFonts w:ascii="Verdana" w:hAnsi="Verdana" w:cs="Verdana"/>
          <w:i/>
          <w:iCs/>
          <w:spacing w:val="1"/>
          <w:sz w:val="17"/>
          <w:szCs w:val="17"/>
          <w:lang w:val="es-ES" w:eastAsia="es-ES"/>
        </w:rPr>
        <w:t xml:space="preserve">En efecto, cabe advertir que la existencia y validez de todo acto administrativo depende de la concurrencia de varios elementos esenciales, impuestos por el ordenamiento jurídico, que para una mayor comprensión, pueden clasificarse en </w:t>
      </w:r>
      <w:r>
        <w:rPr>
          <w:rFonts w:ascii="Verdana" w:hAnsi="Verdana" w:cs="Verdana"/>
          <w:b/>
          <w:bCs/>
          <w:i/>
          <w:iCs/>
          <w:spacing w:val="1"/>
          <w:sz w:val="17"/>
          <w:szCs w:val="17"/>
          <w:u w:val="single"/>
          <w:lang w:val="es-ES" w:eastAsia="es-ES"/>
        </w:rPr>
        <w:t xml:space="preserve">materiales </w:t>
      </w:r>
      <w:r>
        <w:rPr>
          <w:rFonts w:ascii="Verdana" w:hAnsi="Verdana" w:cs="Verdana"/>
          <w:i/>
          <w:iCs/>
          <w:spacing w:val="1"/>
          <w:sz w:val="17"/>
          <w:szCs w:val="17"/>
          <w:lang w:val="es-ES" w:eastAsia="es-ES"/>
        </w:rPr>
        <w:t xml:space="preserve"> relativos a los </w:t>
      </w:r>
      <w:r>
        <w:rPr>
          <w:rFonts w:ascii="Verdana" w:hAnsi="Verdana" w:cs="Verdana"/>
          <w:b/>
          <w:bCs/>
          <w:i/>
          <w:iCs/>
          <w:spacing w:val="1"/>
          <w:sz w:val="17"/>
          <w:szCs w:val="17"/>
          <w:lang w:val="es-ES" w:eastAsia="es-ES"/>
        </w:rPr>
        <w:t xml:space="preserve">elementos subjetivos ( </w:t>
      </w:r>
      <w:r>
        <w:rPr>
          <w:rFonts w:ascii="Verdana" w:hAnsi="Verdana" w:cs="Verdana"/>
          <w:i/>
          <w:iCs/>
          <w:spacing w:val="1"/>
          <w:sz w:val="17"/>
          <w:szCs w:val="17"/>
          <w:lang w:val="es-ES" w:eastAsia="es-ES"/>
        </w:rPr>
        <w:t xml:space="preserve">competencia, legitimación e investidura ), </w:t>
      </w:r>
      <w:r>
        <w:rPr>
          <w:rFonts w:ascii="Verdana" w:hAnsi="Verdana" w:cs="Verdana"/>
          <w:b/>
          <w:bCs/>
          <w:i/>
          <w:iCs/>
          <w:spacing w:val="1"/>
          <w:sz w:val="17"/>
          <w:szCs w:val="17"/>
          <w:lang w:val="es-ES" w:eastAsia="es-ES"/>
        </w:rPr>
        <w:t xml:space="preserve">objetivos ( </w:t>
      </w:r>
      <w:r>
        <w:rPr>
          <w:rFonts w:ascii="Verdana" w:hAnsi="Verdana" w:cs="Verdana"/>
          <w:i/>
          <w:iCs/>
          <w:spacing w:val="1"/>
          <w:sz w:val="17"/>
          <w:szCs w:val="17"/>
          <w:lang w:val="es-ES" w:eastAsia="es-ES"/>
        </w:rPr>
        <w:t xml:space="preserve">fin, contenido y motivo -artículos 131, 132 y 133 de la Ley General de la Administración Pública y 49 de la Constitución Política ) y </w:t>
      </w:r>
      <w:r>
        <w:rPr>
          <w:rFonts w:ascii="Verdana" w:hAnsi="Verdana" w:cs="Verdana"/>
          <w:b/>
          <w:bCs/>
          <w:i/>
          <w:iCs/>
          <w:spacing w:val="1"/>
          <w:sz w:val="17"/>
          <w:szCs w:val="17"/>
          <w:u w:val="single"/>
          <w:lang w:val="es-ES" w:eastAsia="es-ES"/>
        </w:rPr>
        <w:t xml:space="preserve">formales </w:t>
      </w:r>
      <w:r>
        <w:rPr>
          <w:rFonts w:ascii="Verdana" w:hAnsi="Verdana" w:cs="Verdana"/>
          <w:b/>
          <w:bCs/>
          <w:i/>
          <w:iCs/>
          <w:spacing w:val="1"/>
          <w:sz w:val="17"/>
          <w:szCs w:val="17"/>
          <w:lang w:val="es-ES" w:eastAsia="es-ES"/>
        </w:rPr>
        <w:t xml:space="preserve">, </w:t>
      </w:r>
      <w:r>
        <w:rPr>
          <w:rFonts w:ascii="Verdana" w:hAnsi="Verdana" w:cs="Verdana"/>
          <w:i/>
          <w:iCs/>
          <w:spacing w:val="1"/>
          <w:sz w:val="17"/>
          <w:szCs w:val="17"/>
          <w:lang w:val="es-ES" w:eastAsia="es-ES"/>
        </w:rPr>
        <w:t xml:space="preserve">comprensivos de los forma en que se adopta el acto, sea, el medio de expresión o manifestación (instrumentación), la motivación o fundamentación (artículo 136 de la citada Ley General) y el procedimiento seguido para su adopción (artículos 214 y 308 de la Ley General de la Administración Pública y 39 y 41 de la Constitución). La motivación consiste "... 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(JINESTA LOBO, Ernesto. </w:t>
      </w:r>
      <w:r>
        <w:rPr>
          <w:rFonts w:ascii="Verdana" w:hAnsi="Verdana" w:cs="Verdana"/>
          <w:i/>
          <w:iCs/>
          <w:spacing w:val="1"/>
          <w:sz w:val="17"/>
          <w:szCs w:val="17"/>
          <w:u w:val="single"/>
          <w:lang w:val="es-ES" w:eastAsia="es-ES"/>
        </w:rPr>
        <w:t xml:space="preserve">Tratado de Derecho </w:t>
      </w:r>
      <w:proofErr w:type="gramStart"/>
      <w:r>
        <w:rPr>
          <w:rFonts w:ascii="Verdana" w:hAnsi="Verdana" w:cs="Verdana"/>
          <w:i/>
          <w:iCs/>
          <w:spacing w:val="1"/>
          <w:sz w:val="17"/>
          <w:szCs w:val="17"/>
          <w:u w:val="single"/>
          <w:lang w:val="es-ES" w:eastAsia="es-ES"/>
        </w:rPr>
        <w:t xml:space="preserve">Administrativo </w:t>
      </w:r>
      <w:r>
        <w:rPr>
          <w:rFonts w:ascii="Verdana" w:hAnsi="Verdana" w:cs="Verdana"/>
          <w:i/>
          <w:iCs/>
          <w:spacing w:val="1"/>
          <w:sz w:val="17"/>
          <w:szCs w:val="17"/>
          <w:lang w:val="es-ES" w:eastAsia="es-ES"/>
        </w:rPr>
        <w:t xml:space="preserve"> .</w:t>
      </w:r>
      <w:proofErr w:type="gramEnd"/>
      <w:r>
        <w:rPr>
          <w:rFonts w:ascii="Verdana" w:hAnsi="Verdana" w:cs="Verdana"/>
          <w:i/>
          <w:iCs/>
          <w:spacing w:val="1"/>
          <w:sz w:val="17"/>
          <w:szCs w:val="17"/>
          <w:lang w:val="es-ES" w:eastAsia="es-ES"/>
        </w:rPr>
        <w:t xml:space="preserve"> Tomo I. (Parte General). Biblioteca Jurídica </w:t>
      </w:r>
      <w:proofErr w:type="spellStart"/>
      <w:r>
        <w:rPr>
          <w:rFonts w:ascii="Verdana" w:hAnsi="Verdana" w:cs="Verdana"/>
          <w:i/>
          <w:iCs/>
          <w:spacing w:val="1"/>
          <w:sz w:val="17"/>
          <w:szCs w:val="17"/>
          <w:lang w:val="es-ES" w:eastAsia="es-ES"/>
        </w:rPr>
        <w:t>Dike</w:t>
      </w:r>
      <w:proofErr w:type="spellEnd"/>
      <w:r>
        <w:rPr>
          <w:rFonts w:ascii="Verdana" w:hAnsi="Verdana" w:cs="Verdana"/>
          <w:i/>
          <w:iCs/>
          <w:spacing w:val="1"/>
          <w:sz w:val="17"/>
          <w:szCs w:val="17"/>
          <w:lang w:val="es-ES" w:eastAsia="es-ES"/>
        </w:rPr>
        <w:t xml:space="preserve">. Primera edición. </w:t>
      </w:r>
      <w:proofErr w:type="gramStart"/>
      <w:r>
        <w:rPr>
          <w:rFonts w:ascii="Verdana" w:hAnsi="Verdana" w:cs="Verdana"/>
          <w:i/>
          <w:iCs/>
          <w:spacing w:val="1"/>
          <w:sz w:val="17"/>
          <w:szCs w:val="17"/>
          <w:lang w:val="es-ES" w:eastAsia="es-ES"/>
        </w:rPr>
        <w:t>Medellín ,</w:t>
      </w:r>
      <w:proofErr w:type="gramEnd"/>
      <w:r>
        <w:rPr>
          <w:rFonts w:ascii="Verdana" w:hAnsi="Verdana" w:cs="Verdana"/>
          <w:i/>
          <w:iCs/>
          <w:spacing w:val="1"/>
          <w:sz w:val="17"/>
          <w:szCs w:val="17"/>
          <w:lang w:val="es-ES" w:eastAsia="es-ES"/>
        </w:rPr>
        <w:t xml:space="preserve"> Colombia . 2002. p. 388.) De manera que la motivación debe </w:t>
      </w:r>
      <w:r>
        <w:rPr>
          <w:rFonts w:ascii="Verdana" w:hAnsi="Verdana" w:cs="Verdana"/>
          <w:b/>
          <w:bCs/>
          <w:i/>
          <w:iCs/>
          <w:spacing w:val="1"/>
          <w:sz w:val="17"/>
          <w:szCs w:val="17"/>
          <w:lang w:val="es-ES" w:eastAsia="es-ES"/>
        </w:rPr>
        <w:t xml:space="preserve">determinar la aplicación de un concepto a las circunstancias de hecho singulares de que se trate </w:t>
      </w:r>
      <w:r>
        <w:rPr>
          <w:rFonts w:ascii="Verdana" w:hAnsi="Verdana" w:cs="Verdana"/>
          <w:i/>
          <w:iCs/>
          <w:spacing w:val="1"/>
          <w:sz w:val="17"/>
          <w:szCs w:val="17"/>
          <w:lang w:val="es-ES" w:eastAsia="es-ES"/>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proofErr w:type="gramStart"/>
      <w:r>
        <w:rPr>
          <w:rFonts w:ascii="Verdana" w:hAnsi="Verdana" w:cs="Verdana"/>
          <w:i/>
          <w:iCs/>
          <w:spacing w:val="1"/>
          <w:sz w:val="17"/>
          <w:szCs w:val="17"/>
          <w:lang w:val="es-ES" w:eastAsia="es-ES"/>
        </w:rPr>
        <w:t xml:space="preserve">La </w:t>
      </w:r>
      <w:r>
        <w:rPr>
          <w:rFonts w:ascii="Verdana" w:hAnsi="Verdana" w:cs="Verdana"/>
          <w:i/>
          <w:iCs/>
          <w:spacing w:val="1"/>
          <w:sz w:val="17"/>
          <w:szCs w:val="17"/>
          <w:u w:val="single"/>
          <w:lang w:val="es-ES" w:eastAsia="es-ES"/>
        </w:rPr>
        <w:t xml:space="preserve"> motivación</w:t>
      </w:r>
      <w:proofErr w:type="gramEnd"/>
      <w:r>
        <w:rPr>
          <w:rFonts w:ascii="Verdana" w:hAnsi="Verdana" w:cs="Verdana"/>
          <w:i/>
          <w:iCs/>
          <w:spacing w:val="1"/>
          <w:sz w:val="17"/>
          <w:szCs w:val="17"/>
          <w:u w:val="single"/>
          <w:lang w:val="es-ES" w:eastAsia="es-ES"/>
        </w:rPr>
        <w:t xml:space="preserve"> del acto administrativo </w:t>
      </w:r>
      <w:r>
        <w:rPr>
          <w:rFonts w:ascii="Verdana" w:hAnsi="Verdana" w:cs="Verdana"/>
          <w:i/>
          <w:iCs/>
          <w:spacing w:val="1"/>
          <w:sz w:val="17"/>
          <w:szCs w:val="17"/>
          <w:lang w:val="es-ES" w:eastAsia="es-ES"/>
        </w:rPr>
        <w:t xml:space="preserve"> . (Editorial Tecnos, S. A. Madrid. 1993, página 190); es decir, se trata de una </w:t>
      </w:r>
      <w:proofErr w:type="spellStart"/>
      <w:r>
        <w:rPr>
          <w:rFonts w:ascii="Verdana" w:hAnsi="Verdana" w:cs="Verdana"/>
          <w:i/>
          <w:iCs/>
          <w:spacing w:val="1"/>
          <w:sz w:val="17"/>
          <w:szCs w:val="17"/>
          <w:lang w:val="es-ES" w:eastAsia="es-ES"/>
        </w:rPr>
        <w:t>deción</w:t>
      </w:r>
      <w:proofErr w:type="spellEnd"/>
      <w:r>
        <w:rPr>
          <w:rFonts w:ascii="Verdana" w:hAnsi="Verdana" w:cs="Verdana"/>
          <w:i/>
          <w:iCs/>
          <w:spacing w:val="1"/>
          <w:sz w:val="17"/>
          <w:szCs w:val="17"/>
          <w:lang w:val="es-ES" w:eastAsia="es-ES"/>
        </w:rPr>
        <w:t xml:space="preserve"> concreta, que liga los hechos con el sustento normativo; de manera que cuando hay una breve alusión a normas generales y hechos inespecíficos, se puede concluir que no hay aporte suficiente de </w:t>
      </w:r>
      <w:proofErr w:type="spellStart"/>
      <w:r>
        <w:rPr>
          <w:rFonts w:ascii="Verdana" w:hAnsi="Verdana" w:cs="Verdana"/>
          <w:i/>
          <w:iCs/>
          <w:spacing w:val="1"/>
          <w:sz w:val="17"/>
          <w:szCs w:val="17"/>
          <w:lang w:val="es-ES" w:eastAsia="es-ES"/>
        </w:rPr>
        <w:t>justicación</w:t>
      </w:r>
      <w:proofErr w:type="spellEnd"/>
      <w:r>
        <w:rPr>
          <w:rFonts w:ascii="Verdana" w:hAnsi="Verdana" w:cs="Verdana"/>
          <w:i/>
          <w:iCs/>
          <w:spacing w:val="1"/>
          <w:sz w:val="17"/>
          <w:szCs w:val="17"/>
          <w:lang w:val="es-ES" w:eastAsia="es-ES"/>
        </w:rPr>
        <w:t>, en la medida en que de ellos no es posible deducir los elementos valorados por la autoridad gubernativa para tomar la decisión ...</w:t>
      </w:r>
      <w:r w:rsidR="0077170C">
        <w:rPr>
          <w:rFonts w:ascii="Verdana" w:hAnsi="Verdana" w:cs="Verdana"/>
          <w:i/>
          <w:iCs/>
          <w:spacing w:val="1"/>
          <w:sz w:val="17"/>
          <w:szCs w:val="17"/>
          <w:lang w:val="es-ES" w:eastAsia="es-ES"/>
        </w:rPr>
        <w:t>”</w:t>
      </w:r>
    </w:p>
    <w:p w:rsidR="00EF2016" w:rsidRDefault="000A371F">
      <w:pPr>
        <w:kinsoku w:val="0"/>
        <w:overflowPunct w:val="0"/>
        <w:autoSpaceDE/>
        <w:autoSpaceDN/>
        <w:adjustRightInd/>
        <w:spacing w:before="710" w:line="247" w:lineRule="exact"/>
        <w:textAlignment w:val="baseline"/>
        <w:rPr>
          <w:rFonts w:ascii="Verdana" w:hAnsi="Verdana" w:cs="Verdana"/>
          <w:b/>
          <w:bCs/>
          <w:spacing w:val="3"/>
          <w:lang w:val="es-ES" w:eastAsia="es-ES"/>
        </w:rPr>
      </w:pPr>
      <w:r>
        <w:rPr>
          <w:rFonts w:ascii="Verdana" w:hAnsi="Verdana" w:cs="Verdana"/>
          <w:b/>
          <w:bCs/>
          <w:spacing w:val="3"/>
          <w:lang w:val="es-ES" w:eastAsia="es-ES"/>
        </w:rPr>
        <w:t>CASO CONCRETO.</w:t>
      </w:r>
    </w:p>
    <w:p w:rsidR="00EF2016" w:rsidRDefault="000A371F">
      <w:pPr>
        <w:kinsoku w:val="0"/>
        <w:overflowPunct w:val="0"/>
        <w:autoSpaceDE/>
        <w:autoSpaceDN/>
        <w:adjustRightInd/>
        <w:spacing w:before="507" w:line="257" w:lineRule="exact"/>
        <w:jc w:val="both"/>
        <w:textAlignment w:val="baseline"/>
        <w:rPr>
          <w:rFonts w:ascii="Verdana" w:hAnsi="Verdana" w:cs="Verdana"/>
          <w:spacing w:val="4"/>
          <w:lang w:val="es-ES" w:eastAsia="es-ES"/>
        </w:rPr>
      </w:pPr>
      <w:r>
        <w:rPr>
          <w:rFonts w:ascii="Verdana" w:hAnsi="Verdana" w:cs="Verdana"/>
          <w:spacing w:val="4"/>
          <w:lang w:val="es-ES" w:eastAsia="es-ES"/>
        </w:rPr>
        <w:t>En cuanto al caso bajo análisis, es claro que el Consejo de Transporte Público debe actuar bajo el principio de Legalidad y no cuenta con la posibilidad, de hacer valoraciones de índole subjetivo aún cuando pueda parecer muy loable el hacerlo.</w:t>
      </w:r>
    </w:p>
    <w:p w:rsidR="00EF2016" w:rsidRDefault="000A371F">
      <w:pPr>
        <w:kinsoku w:val="0"/>
        <w:overflowPunct w:val="0"/>
        <w:autoSpaceDE/>
        <w:autoSpaceDN/>
        <w:adjustRightInd/>
        <w:spacing w:before="250" w:after="672" w:line="257" w:lineRule="exact"/>
        <w:jc w:val="both"/>
        <w:textAlignment w:val="baseline"/>
        <w:rPr>
          <w:rFonts w:ascii="Verdana" w:hAnsi="Verdana" w:cs="Verdana"/>
          <w:spacing w:val="6"/>
          <w:lang w:val="es-ES" w:eastAsia="es-ES"/>
        </w:rPr>
      </w:pPr>
      <w:r>
        <w:rPr>
          <w:rFonts w:ascii="Verdana" w:hAnsi="Verdana" w:cs="Verdana"/>
          <w:spacing w:val="6"/>
          <w:lang w:val="es-ES" w:eastAsia="es-ES"/>
        </w:rPr>
        <w:t>Si nos remitimos a las piezas del expediente, específicamente al informe de la Dirección de Asuntos Jurídicos el DAJ-2015000553 de 23 de febrero de 2015 que es el sustento jurídico del acuerdo que rechaza el recurso de revocatoria el 7.3.3 de la Sesión Ordinaria 11-2015 de 26 de febrero de 2015 y al mismo recurso de Apelación presentado se tiene por demostrado</w:t>
      </w:r>
    </w:p>
    <w:p w:rsidR="00EF2016" w:rsidRDefault="00EF2016">
      <w:pPr>
        <w:widowControl/>
        <w:rPr>
          <w:sz w:val="24"/>
          <w:szCs w:val="24"/>
        </w:rPr>
        <w:sectPr w:rsidR="00EF2016">
          <w:pgSz w:w="12134" w:h="15840"/>
          <w:pgMar w:top="1320" w:right="1969" w:bottom="190" w:left="2105" w:header="720" w:footer="720" w:gutter="0"/>
          <w:cols w:space="720"/>
          <w:noEndnote/>
        </w:sectPr>
      </w:pPr>
    </w:p>
    <w:p w:rsidR="00EF2016" w:rsidRDefault="000A371F">
      <w:pPr>
        <w:tabs>
          <w:tab w:val="right" w:pos="2736"/>
        </w:tabs>
        <w:kinsoku w:val="0"/>
        <w:overflowPunct w:val="0"/>
        <w:autoSpaceDE/>
        <w:autoSpaceDN/>
        <w:adjustRightInd/>
        <w:spacing w:line="226" w:lineRule="exact"/>
        <w:textAlignment w:val="baseline"/>
        <w:rPr>
          <w:rFonts w:ascii="Verdana" w:hAnsi="Verdana" w:cs="Verdana"/>
          <w:lang w:val="es-ES" w:eastAsia="es-ES"/>
        </w:rPr>
      </w:pPr>
      <w:r>
        <w:rPr>
          <w:sz w:val="19"/>
          <w:szCs w:val="19"/>
          <w:lang w:val="es-ES" w:eastAsia="es-ES"/>
        </w:rPr>
        <w:tab/>
      </w:r>
    </w:p>
    <w:p w:rsidR="00EF2016" w:rsidRDefault="00EF2016">
      <w:pPr>
        <w:widowControl/>
        <w:rPr>
          <w:sz w:val="24"/>
          <w:szCs w:val="24"/>
        </w:rPr>
        <w:sectPr w:rsidR="00EF2016">
          <w:type w:val="continuous"/>
          <w:pgSz w:w="12134" w:h="15840"/>
          <w:pgMar w:top="1320" w:right="1981" w:bottom="190" w:left="7381" w:header="720" w:footer="720" w:gutter="0"/>
          <w:cols w:space="720"/>
          <w:noEndnote/>
        </w:sectPr>
      </w:pPr>
    </w:p>
    <w:p w:rsidR="00EF2016" w:rsidRPr="0077170C" w:rsidRDefault="000A371F">
      <w:pPr>
        <w:kinsoku w:val="0"/>
        <w:overflowPunct w:val="0"/>
        <w:autoSpaceDE/>
        <w:autoSpaceDN/>
        <w:adjustRightInd/>
        <w:spacing w:line="252" w:lineRule="exact"/>
        <w:jc w:val="both"/>
        <w:textAlignment w:val="baseline"/>
        <w:rPr>
          <w:rFonts w:ascii="Verdana" w:hAnsi="Verdana" w:cs="Arial"/>
          <w:spacing w:val="16"/>
          <w:lang w:val="es-ES" w:eastAsia="es-ES"/>
        </w:rPr>
      </w:pPr>
      <w:r w:rsidRPr="0077170C">
        <w:rPr>
          <w:rFonts w:ascii="Verdana" w:hAnsi="Verdana" w:cs="Arial"/>
          <w:spacing w:val="16"/>
          <w:lang w:val="es-ES" w:eastAsia="es-ES"/>
        </w:rPr>
        <w:lastRenderedPageBreak/>
        <w:t>con toda claridad que el causante M</w:t>
      </w:r>
      <w:r w:rsidR="0077170C">
        <w:rPr>
          <w:rFonts w:ascii="Verdana" w:hAnsi="Verdana" w:cs="Arial"/>
          <w:spacing w:val="16"/>
          <w:lang w:val="es-ES" w:eastAsia="es-ES"/>
        </w:rPr>
        <w:t>.V.</w:t>
      </w:r>
      <w:r w:rsidRPr="0077170C">
        <w:rPr>
          <w:rFonts w:ascii="Verdana" w:hAnsi="Verdana" w:cs="Arial"/>
          <w:spacing w:val="16"/>
          <w:lang w:val="es-ES" w:eastAsia="es-ES"/>
        </w:rPr>
        <w:t>, no dejo beneficiario de la concesión, por lo que en los términos del numeral 42 bis de la Ley 9027, no puede el consejo traspasar la concesión de la Placa TSJ-</w:t>
      </w:r>
      <w:r w:rsidR="0077170C">
        <w:rPr>
          <w:rFonts w:ascii="Verdana" w:hAnsi="Verdana" w:cs="Arial"/>
          <w:spacing w:val="16"/>
          <w:lang w:val="es-ES" w:eastAsia="es-ES"/>
        </w:rPr>
        <w:t>XXXX</w:t>
      </w:r>
      <w:r w:rsidRPr="0077170C">
        <w:rPr>
          <w:rFonts w:ascii="Verdana" w:hAnsi="Verdana" w:cs="Arial"/>
          <w:spacing w:val="16"/>
          <w:lang w:val="es-ES" w:eastAsia="es-ES"/>
        </w:rPr>
        <w:t xml:space="preserve"> a la señora B</w:t>
      </w:r>
      <w:r w:rsidR="0077170C">
        <w:rPr>
          <w:rFonts w:ascii="Verdana" w:hAnsi="Verdana" w:cs="Arial"/>
          <w:spacing w:val="16"/>
          <w:lang w:val="es-ES" w:eastAsia="es-ES"/>
        </w:rPr>
        <w:t>.P.</w:t>
      </w:r>
    </w:p>
    <w:p w:rsidR="00EF2016" w:rsidRPr="0077170C" w:rsidRDefault="000A371F">
      <w:pPr>
        <w:kinsoku w:val="0"/>
        <w:overflowPunct w:val="0"/>
        <w:autoSpaceDE/>
        <w:autoSpaceDN/>
        <w:adjustRightInd/>
        <w:spacing w:before="248" w:line="254" w:lineRule="exact"/>
        <w:jc w:val="both"/>
        <w:textAlignment w:val="baseline"/>
        <w:rPr>
          <w:rFonts w:ascii="Verdana" w:hAnsi="Verdana" w:cs="Arial"/>
          <w:spacing w:val="14"/>
          <w:lang w:val="es-ES" w:eastAsia="es-ES"/>
        </w:rPr>
      </w:pPr>
      <w:r w:rsidRPr="0077170C">
        <w:rPr>
          <w:rFonts w:ascii="Verdana" w:hAnsi="Verdana" w:cs="Arial"/>
          <w:spacing w:val="14"/>
          <w:lang w:val="es-ES" w:eastAsia="es-ES"/>
        </w:rPr>
        <w:t>Por otro lado al fallecer el concesionario el 13 de noviembre de 2012 según el mismo informe de la Dirección de Asuntos Jurídicos el DAJ-2015000553, no le cubre el transitorio del numeral de reiterada cita por lo que al no establecerse un beneficiario, la Concesión debe caducarse.</w:t>
      </w:r>
    </w:p>
    <w:p w:rsidR="00EF2016" w:rsidRPr="0077170C" w:rsidRDefault="000A371F">
      <w:pPr>
        <w:kinsoku w:val="0"/>
        <w:overflowPunct w:val="0"/>
        <w:autoSpaceDE/>
        <w:autoSpaceDN/>
        <w:adjustRightInd/>
        <w:spacing w:before="256" w:line="254" w:lineRule="exact"/>
        <w:jc w:val="both"/>
        <w:textAlignment w:val="baseline"/>
        <w:rPr>
          <w:rFonts w:ascii="Verdana" w:hAnsi="Verdana" w:cs="Arial"/>
          <w:spacing w:val="17"/>
          <w:lang w:val="es-ES" w:eastAsia="es-ES"/>
        </w:rPr>
      </w:pPr>
      <w:r w:rsidRPr="0077170C">
        <w:rPr>
          <w:rFonts w:ascii="Verdana" w:hAnsi="Verdana" w:cs="Arial"/>
          <w:spacing w:val="17"/>
          <w:lang w:val="es-ES" w:eastAsia="es-ES"/>
        </w:rPr>
        <w:t>El artículo 42 bis, que reforma la Ley Reguladora del Servicio Público de Transporte Remunerado de Personas en Vehículos en la Modalidad de Taxi, N. 7969 del 22 de diciembre de 1999, indica.</w:t>
      </w:r>
    </w:p>
    <w:p w:rsidR="00EF2016" w:rsidRDefault="000A371F">
      <w:pPr>
        <w:kinsoku w:val="0"/>
        <w:overflowPunct w:val="0"/>
        <w:autoSpaceDE/>
        <w:autoSpaceDN/>
        <w:adjustRightInd/>
        <w:spacing w:before="501" w:line="184" w:lineRule="exact"/>
        <w:ind w:left="360" w:right="360"/>
        <w:jc w:val="both"/>
        <w:textAlignment w:val="baseline"/>
        <w:rPr>
          <w:rFonts w:ascii="Arial" w:hAnsi="Arial" w:cs="Arial"/>
          <w:i/>
          <w:iCs/>
          <w:spacing w:val="12"/>
          <w:sz w:val="15"/>
          <w:szCs w:val="15"/>
          <w:lang w:val="es-ES" w:eastAsia="es-ES"/>
        </w:rPr>
      </w:pPr>
      <w:r>
        <w:rPr>
          <w:rFonts w:ascii="Arial" w:hAnsi="Arial" w:cs="Arial"/>
          <w:i/>
          <w:iCs/>
          <w:spacing w:val="12"/>
          <w:sz w:val="15"/>
          <w:szCs w:val="15"/>
          <w:lang w:val="es-ES" w:eastAsia="es-ES"/>
        </w:rPr>
        <w:t>"Artículo 42 bis.- Traspaso de beneficio de la concesión en el servicio público de taxi por muelle de la persona concesionaria.</w:t>
      </w:r>
    </w:p>
    <w:p w:rsidR="00EF2016" w:rsidRDefault="000A371F">
      <w:pPr>
        <w:kinsoku w:val="0"/>
        <w:overflowPunct w:val="0"/>
        <w:autoSpaceDE/>
        <w:autoSpaceDN/>
        <w:adjustRightInd/>
        <w:spacing w:before="7" w:line="184" w:lineRule="exact"/>
        <w:ind w:left="360" w:right="360"/>
        <w:jc w:val="both"/>
        <w:textAlignment w:val="baseline"/>
        <w:rPr>
          <w:rFonts w:ascii="Arial" w:hAnsi="Arial" w:cs="Arial"/>
          <w:i/>
          <w:iCs/>
          <w:spacing w:val="11"/>
          <w:sz w:val="15"/>
          <w:szCs w:val="15"/>
          <w:lang w:val="es-ES" w:eastAsia="es-ES"/>
        </w:rPr>
      </w:pPr>
      <w:r>
        <w:rPr>
          <w:rFonts w:ascii="Arial" w:hAnsi="Arial" w:cs="Arial"/>
          <w:i/>
          <w:iCs/>
          <w:spacing w:val="11"/>
          <w:sz w:val="15"/>
          <w:szCs w:val="15"/>
          <w:lang w:val="es-ES" w:eastAsia="es-ES"/>
        </w:rPr>
        <w:t>Todo concesionario o concesionaria del servicio público del transporte remunerado de personas en vehículos en la modalidad de taxi podrá designar libremente e incluirse en el Registro de Concesiones del Consejo una persona beneficiaria titular y una suplente, para el caso de muerte.</w:t>
      </w:r>
    </w:p>
    <w:p w:rsidR="00EF2016" w:rsidRDefault="000A371F">
      <w:pPr>
        <w:kinsoku w:val="0"/>
        <w:overflowPunct w:val="0"/>
        <w:autoSpaceDE/>
        <w:autoSpaceDN/>
        <w:adjustRightInd/>
        <w:spacing w:before="185" w:line="184" w:lineRule="exact"/>
        <w:ind w:left="360" w:right="360"/>
        <w:jc w:val="both"/>
        <w:textAlignment w:val="baseline"/>
        <w:rPr>
          <w:rFonts w:ascii="Arial" w:hAnsi="Arial" w:cs="Arial"/>
          <w:i/>
          <w:iCs/>
          <w:spacing w:val="9"/>
          <w:sz w:val="15"/>
          <w:szCs w:val="15"/>
          <w:lang w:val="es-ES" w:eastAsia="es-ES"/>
        </w:rPr>
      </w:pPr>
      <w:r>
        <w:rPr>
          <w:rFonts w:ascii="Arial" w:hAnsi="Arial" w:cs="Arial"/>
          <w:i/>
          <w:iCs/>
          <w:spacing w:val="9"/>
          <w:sz w:val="15"/>
          <w:szCs w:val="15"/>
          <w:lang w:val="es-ES" w:eastAsia="es-ES"/>
        </w:rPr>
        <w:t>La persona suplente entraría como beneficiaria directa si fallece la 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w:t>
      </w:r>
    </w:p>
    <w:p w:rsidR="00EF2016" w:rsidRDefault="000A371F">
      <w:pPr>
        <w:kinsoku w:val="0"/>
        <w:overflowPunct w:val="0"/>
        <w:autoSpaceDE/>
        <w:autoSpaceDN/>
        <w:adjustRightInd/>
        <w:spacing w:before="187" w:line="184" w:lineRule="exact"/>
        <w:ind w:left="360" w:right="360"/>
        <w:jc w:val="both"/>
        <w:textAlignment w:val="baseline"/>
        <w:rPr>
          <w:rFonts w:ascii="Arial" w:hAnsi="Arial" w:cs="Arial"/>
          <w:i/>
          <w:iCs/>
          <w:spacing w:val="11"/>
          <w:sz w:val="15"/>
          <w:szCs w:val="15"/>
          <w:lang w:val="es-ES" w:eastAsia="es-ES"/>
        </w:rPr>
      </w:pPr>
      <w:r>
        <w:rPr>
          <w:rFonts w:ascii="Arial" w:hAnsi="Arial" w:cs="Arial"/>
          <w:i/>
          <w:iCs/>
          <w:spacing w:val="11"/>
          <w:sz w:val="15"/>
          <w:szCs w:val="15"/>
          <w:lang w:val="es-ES" w:eastAsia="es-ES"/>
        </w:rPr>
        <w:t>La persona concesionaria puede revocar y sustituir al beneficiario o beneficiaria siempre dentro del grado de parentesco establecido en el párrafo anterior. Todo cambio deberá ser comunicado a la administración concedente para que así sea registrado.</w:t>
      </w:r>
    </w:p>
    <w:p w:rsidR="00EF2016" w:rsidRDefault="000A371F">
      <w:pPr>
        <w:kinsoku w:val="0"/>
        <w:overflowPunct w:val="0"/>
        <w:autoSpaceDE/>
        <w:autoSpaceDN/>
        <w:adjustRightInd/>
        <w:spacing w:before="377" w:line="184" w:lineRule="exact"/>
        <w:ind w:left="360" w:right="360"/>
        <w:jc w:val="both"/>
        <w:textAlignment w:val="baseline"/>
        <w:rPr>
          <w:rFonts w:ascii="Arial" w:hAnsi="Arial" w:cs="Arial"/>
          <w:i/>
          <w:iCs/>
          <w:spacing w:val="11"/>
          <w:sz w:val="15"/>
          <w:szCs w:val="15"/>
          <w:lang w:val="es-ES" w:eastAsia="es-ES"/>
        </w:rPr>
      </w:pPr>
      <w:r>
        <w:rPr>
          <w:rFonts w:ascii="Arial" w:hAnsi="Arial" w:cs="Arial"/>
          <w:i/>
          <w:iCs/>
          <w:spacing w:val="11"/>
          <w:sz w:val="15"/>
          <w:szCs w:val="15"/>
          <w:lang w:val="es-ES" w:eastAsia="es-ES"/>
        </w:rPr>
        <w:t>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adecuados sobre la calidad en la prestación del servicio y el cumplimiento de las obligaciones que derivan de su constitución en concesionario o concesionaria.</w:t>
      </w:r>
    </w:p>
    <w:p w:rsidR="00EF2016" w:rsidRDefault="000A371F">
      <w:pPr>
        <w:kinsoku w:val="0"/>
        <w:overflowPunct w:val="0"/>
        <w:autoSpaceDE/>
        <w:autoSpaceDN/>
        <w:adjustRightInd/>
        <w:spacing w:before="380" w:line="184" w:lineRule="exact"/>
        <w:ind w:left="360" w:right="360"/>
        <w:jc w:val="both"/>
        <w:textAlignment w:val="baseline"/>
        <w:rPr>
          <w:rFonts w:ascii="Arial" w:hAnsi="Arial" w:cs="Arial"/>
          <w:i/>
          <w:iCs/>
          <w:spacing w:val="10"/>
          <w:sz w:val="15"/>
          <w:szCs w:val="15"/>
          <w:lang w:val="es-ES" w:eastAsia="es-ES"/>
        </w:rPr>
      </w:pPr>
      <w:r>
        <w:rPr>
          <w:rFonts w:ascii="Arial" w:hAnsi="Arial" w:cs="Arial"/>
          <w:i/>
          <w:iCs/>
          <w:spacing w:val="10"/>
          <w:sz w:val="15"/>
          <w:szCs w:val="15"/>
          <w:lang w:val="es-ES" w:eastAsia="es-ES"/>
        </w:rP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En caso de fallecimiento sin haberse registrado la persona beneficiaria, titular y suplente, se cancelará automáticamente la concesión </w:t>
      </w:r>
      <w:proofErr w:type="gramStart"/>
      <w:r>
        <w:rPr>
          <w:rFonts w:ascii="Arial" w:hAnsi="Arial" w:cs="Arial"/>
          <w:i/>
          <w:iCs/>
          <w:spacing w:val="10"/>
          <w:sz w:val="15"/>
          <w:szCs w:val="15"/>
          <w:lang w:val="es-ES" w:eastAsia="es-ES"/>
        </w:rPr>
        <w:t>otorgada.(</w:t>
      </w:r>
      <w:proofErr w:type="gramEnd"/>
      <w:r>
        <w:rPr>
          <w:rFonts w:ascii="Arial" w:hAnsi="Arial" w:cs="Arial"/>
          <w:i/>
          <w:iCs/>
          <w:spacing w:val="10"/>
          <w:sz w:val="15"/>
          <w:szCs w:val="15"/>
          <w:lang w:val="es-ES" w:eastAsia="es-ES"/>
        </w:rPr>
        <w:t>Así adicionado por el artículo único de la ley N° 9027 del 6 de febrero del 2012) ( El Resaltado es nuestro)"</w:t>
      </w:r>
    </w:p>
    <w:p w:rsidR="00EF2016" w:rsidRDefault="000A371F">
      <w:pPr>
        <w:kinsoku w:val="0"/>
        <w:overflowPunct w:val="0"/>
        <w:autoSpaceDE/>
        <w:autoSpaceDN/>
        <w:adjustRightInd/>
        <w:spacing w:before="430" w:line="254" w:lineRule="exact"/>
        <w:ind w:right="360"/>
        <w:jc w:val="both"/>
        <w:textAlignment w:val="baseline"/>
        <w:rPr>
          <w:rFonts w:ascii="Arial" w:hAnsi="Arial" w:cs="Arial"/>
          <w:spacing w:val="16"/>
          <w:lang w:val="es-ES" w:eastAsia="es-ES"/>
        </w:rPr>
      </w:pPr>
      <w:r>
        <w:rPr>
          <w:rFonts w:ascii="Arial" w:hAnsi="Arial" w:cs="Arial"/>
          <w:spacing w:val="16"/>
          <w:lang w:val="es-ES" w:eastAsia="es-ES"/>
        </w:rPr>
        <w:t>Como se aprecia de la normativa transcrita y del cuadro fáctico que se plasma en las diferentes piezas del expediente, La Junta Directiva del Consejo de Transporte Público, actuó conforme a derecho y por lo tanto no queda más que declarar sin lugar el presente recurso de Apelación, así mismo en cuanto a la nulidad invocada no se presenta argumento alguno que demuestre algún vicio que comporte la declaratoria de nulidad del acuerdo impugnado.</w:t>
      </w:r>
    </w:p>
    <w:p w:rsidR="00EF2016" w:rsidRDefault="000A371F">
      <w:pPr>
        <w:tabs>
          <w:tab w:val="right" w:pos="8064"/>
        </w:tabs>
        <w:kinsoku w:val="0"/>
        <w:overflowPunct w:val="0"/>
        <w:autoSpaceDE/>
        <w:autoSpaceDN/>
        <w:adjustRightInd/>
        <w:spacing w:before="423" w:line="254" w:lineRule="exact"/>
        <w:ind w:left="5976"/>
        <w:textAlignment w:val="baseline"/>
        <w:rPr>
          <w:rFonts w:ascii="Arial" w:hAnsi="Arial" w:cs="Arial"/>
          <w:lang w:val="es-ES" w:eastAsia="es-ES"/>
        </w:rPr>
      </w:pPr>
      <w:r>
        <w:rPr>
          <w:rFonts w:ascii="Arial" w:hAnsi="Arial" w:cs="Arial"/>
          <w:sz w:val="15"/>
          <w:szCs w:val="15"/>
          <w:lang w:val="es-ES" w:eastAsia="es-ES"/>
        </w:rPr>
        <w:tab/>
      </w:r>
    </w:p>
    <w:p w:rsidR="00EF2016" w:rsidRDefault="00EF2016">
      <w:pPr>
        <w:widowControl/>
        <w:rPr>
          <w:sz w:val="24"/>
          <w:szCs w:val="24"/>
        </w:rPr>
        <w:sectPr w:rsidR="00EF2016">
          <w:pgSz w:w="12134" w:h="15840"/>
          <w:pgMar w:top="1260" w:right="1962" w:bottom="244" w:left="2112" w:header="720" w:footer="720" w:gutter="0"/>
          <w:cols w:space="720"/>
          <w:noEndnote/>
        </w:sectPr>
      </w:pPr>
    </w:p>
    <w:p w:rsidR="00EF2016" w:rsidRDefault="000A371F">
      <w:pPr>
        <w:kinsoku w:val="0"/>
        <w:overflowPunct w:val="0"/>
        <w:autoSpaceDE/>
        <w:autoSpaceDN/>
        <w:adjustRightInd/>
        <w:spacing w:before="10" w:after="226" w:line="244" w:lineRule="exact"/>
        <w:jc w:val="center"/>
        <w:textAlignment w:val="baseline"/>
        <w:rPr>
          <w:rFonts w:ascii="Verdana" w:hAnsi="Verdana" w:cs="Verdana"/>
          <w:b/>
          <w:bCs/>
          <w:spacing w:val="2"/>
          <w:lang w:val="es-ES" w:eastAsia="es-ES"/>
        </w:rPr>
      </w:pPr>
      <w:r>
        <w:rPr>
          <w:rFonts w:ascii="Verdana" w:hAnsi="Verdana" w:cs="Verdana"/>
          <w:b/>
          <w:bCs/>
          <w:spacing w:val="2"/>
          <w:lang w:val="es-ES" w:eastAsia="es-ES"/>
        </w:rPr>
        <w:lastRenderedPageBreak/>
        <w:t>POR TANTO</w:t>
      </w:r>
    </w:p>
    <w:p w:rsidR="00EF2016" w:rsidRDefault="00EF2016">
      <w:pPr>
        <w:widowControl/>
        <w:rPr>
          <w:sz w:val="24"/>
          <w:szCs w:val="24"/>
        </w:rPr>
        <w:sectPr w:rsidR="00EF2016">
          <w:pgSz w:w="12134" w:h="15840"/>
          <w:pgMar w:top="1780" w:right="4572" w:bottom="200" w:left="4790" w:header="720" w:footer="720" w:gutter="0"/>
          <w:cols w:space="720"/>
          <w:noEndnote/>
        </w:sectPr>
      </w:pPr>
    </w:p>
    <w:p w:rsidR="00EF2016" w:rsidRDefault="000A371F">
      <w:pPr>
        <w:kinsoku w:val="0"/>
        <w:overflowPunct w:val="0"/>
        <w:autoSpaceDE/>
        <w:autoSpaceDN/>
        <w:adjustRightInd/>
        <w:spacing w:before="21" w:line="256" w:lineRule="exact"/>
        <w:ind w:right="576"/>
        <w:jc w:val="both"/>
        <w:textAlignment w:val="baseline"/>
        <w:rPr>
          <w:rFonts w:ascii="Verdana" w:hAnsi="Verdana" w:cs="Verdana"/>
          <w:spacing w:val="-1"/>
          <w:lang w:val="es-ES" w:eastAsia="es-ES"/>
        </w:rPr>
      </w:pPr>
      <w:r>
        <w:rPr>
          <w:rFonts w:ascii="Verdana" w:hAnsi="Verdana" w:cs="Verdana"/>
          <w:b/>
          <w:bCs/>
          <w:spacing w:val="-1"/>
          <w:lang w:val="es-ES" w:eastAsia="es-ES"/>
        </w:rPr>
        <w:t xml:space="preserve">L- </w:t>
      </w:r>
      <w:r>
        <w:rPr>
          <w:rFonts w:ascii="Verdana" w:hAnsi="Verdana" w:cs="Verdana"/>
          <w:spacing w:val="-1"/>
          <w:lang w:val="es-ES" w:eastAsia="es-ES"/>
        </w:rPr>
        <w:t xml:space="preserve">Se declara sin lugar el RECURSO DE APELACIÓN </w:t>
      </w:r>
      <w:r>
        <w:rPr>
          <w:rFonts w:ascii="Verdana" w:hAnsi="Verdana" w:cs="Verdana"/>
          <w:b/>
          <w:bCs/>
          <w:spacing w:val="-1"/>
          <w:lang w:val="es-ES" w:eastAsia="es-ES"/>
        </w:rPr>
        <w:t xml:space="preserve">EN </w:t>
      </w:r>
      <w:r>
        <w:rPr>
          <w:rFonts w:ascii="Verdana" w:hAnsi="Verdana" w:cs="Verdana"/>
          <w:spacing w:val="-1"/>
          <w:lang w:val="es-ES" w:eastAsia="es-ES"/>
        </w:rPr>
        <w:t xml:space="preserve">SUBSIDIO Y NULIDAD ABSOLUTA CONCOMITANTE, interpuesto por la señora </w:t>
      </w:r>
      <w:r>
        <w:rPr>
          <w:rFonts w:ascii="Verdana" w:hAnsi="Verdana" w:cs="Verdana"/>
          <w:b/>
          <w:bCs/>
          <w:spacing w:val="-1"/>
          <w:lang w:val="es-ES" w:eastAsia="es-ES"/>
        </w:rPr>
        <w:t>M</w:t>
      </w:r>
      <w:r w:rsidR="0077170C">
        <w:rPr>
          <w:rFonts w:ascii="Verdana" w:hAnsi="Verdana" w:cs="Verdana"/>
          <w:b/>
          <w:bCs/>
          <w:spacing w:val="-1"/>
          <w:lang w:val="es-ES" w:eastAsia="es-ES"/>
        </w:rPr>
        <w:t>.B.P.</w:t>
      </w:r>
      <w:r>
        <w:rPr>
          <w:rFonts w:ascii="Verdana" w:hAnsi="Verdana" w:cs="Verdana"/>
          <w:b/>
          <w:bCs/>
          <w:spacing w:val="-1"/>
          <w:lang w:val="es-ES" w:eastAsia="es-ES"/>
        </w:rPr>
        <w:t xml:space="preserve">, cédula de identidad </w:t>
      </w:r>
      <w:r w:rsidR="0077170C">
        <w:rPr>
          <w:rFonts w:ascii="Verdana" w:hAnsi="Verdana" w:cs="Verdana"/>
          <w:b/>
          <w:bCs/>
          <w:spacing w:val="-1"/>
          <w:lang w:val="es-ES" w:eastAsia="es-ES"/>
        </w:rPr>
        <w:t>…</w:t>
      </w:r>
      <w:r>
        <w:rPr>
          <w:rFonts w:ascii="Verdana" w:hAnsi="Verdana" w:cs="Verdana"/>
          <w:b/>
          <w:bCs/>
          <w:spacing w:val="-1"/>
          <w:lang w:val="es-ES" w:eastAsia="es-ES"/>
        </w:rPr>
        <w:t xml:space="preserve">, </w:t>
      </w:r>
      <w:r>
        <w:rPr>
          <w:rFonts w:ascii="Verdana" w:hAnsi="Verdana" w:cs="Verdana"/>
          <w:spacing w:val="-1"/>
          <w:lang w:val="es-ES" w:eastAsia="es-ES"/>
        </w:rPr>
        <w:t>en su condición de cónyuge supérstite del concesionario de Taxi de la placa número TSJ-</w:t>
      </w:r>
      <w:r w:rsidR="0077170C">
        <w:rPr>
          <w:rFonts w:ascii="Verdana" w:hAnsi="Verdana" w:cs="Verdana"/>
          <w:spacing w:val="-1"/>
          <w:lang w:val="es-ES" w:eastAsia="es-ES"/>
        </w:rPr>
        <w:t>XXXX</w:t>
      </w:r>
      <w:r>
        <w:rPr>
          <w:rFonts w:ascii="Verdana" w:hAnsi="Verdana" w:cs="Verdana"/>
          <w:spacing w:val="-1"/>
          <w:lang w:val="es-ES" w:eastAsia="es-ES"/>
        </w:rPr>
        <w:t xml:space="preserve"> quien falleció y de quien solicita se le traspase Mortis Causa la misma, contra el </w:t>
      </w:r>
      <w:r>
        <w:rPr>
          <w:rFonts w:ascii="Verdana" w:hAnsi="Verdana" w:cs="Verdana"/>
          <w:b/>
          <w:bCs/>
          <w:spacing w:val="-1"/>
          <w:lang w:val="es-ES" w:eastAsia="es-ES"/>
        </w:rPr>
        <w:t xml:space="preserve">Artículo 7.18.8 de la Sesión Ordinaria 59-2014 del 15 de octubre de 2014, </w:t>
      </w:r>
      <w:r>
        <w:rPr>
          <w:rFonts w:ascii="Verdana" w:hAnsi="Verdana" w:cs="Verdana"/>
          <w:spacing w:val="-1"/>
          <w:lang w:val="es-ES" w:eastAsia="es-ES"/>
        </w:rPr>
        <w:t>dictado por la JUNTA DIRECTIVA DEL CONSEJO DE TRANSPORTE PÚBLICO.</w:t>
      </w:r>
    </w:p>
    <w:p w:rsidR="0077170C" w:rsidRDefault="000A371F" w:rsidP="0077170C">
      <w:pPr>
        <w:kinsoku w:val="0"/>
        <w:overflowPunct w:val="0"/>
        <w:autoSpaceDE/>
        <w:autoSpaceDN/>
        <w:adjustRightInd/>
        <w:spacing w:before="240" w:after="974" w:line="256" w:lineRule="exact"/>
        <w:ind w:right="576"/>
        <w:jc w:val="both"/>
        <w:textAlignment w:val="baseline"/>
        <w:rPr>
          <w:rFonts w:ascii="Verdana" w:hAnsi="Verdana" w:cs="Verdana"/>
          <w:b/>
          <w:bCs/>
          <w:lang w:val="es-ES" w:eastAsia="es-ES"/>
        </w:rPr>
      </w:pPr>
      <w:r>
        <w:rPr>
          <w:rFonts w:ascii="Verdana" w:hAnsi="Verdana" w:cs="Verdana"/>
          <w:b/>
          <w:bCs/>
          <w:lang w:val="es-ES" w:eastAsia="es-ES"/>
        </w:rPr>
        <w:t xml:space="preserve">II.- </w:t>
      </w:r>
      <w:r>
        <w:rPr>
          <w:rFonts w:ascii="Verdana" w:hAnsi="Verdana" w:cs="Verdana"/>
          <w:lang w:val="es-ES" w:eastAsia="es-ES"/>
        </w:rPr>
        <w:t xml:space="preserve">De conformidad con el artículo 22, inciso c), de la citada Ley 7969, la presente resolución no tiene ulterior recurso por lo que, se </w:t>
      </w:r>
      <w:r>
        <w:rPr>
          <w:rFonts w:ascii="Verdana" w:hAnsi="Verdana" w:cs="Verdana"/>
          <w:i/>
          <w:iCs/>
          <w:lang w:val="es-ES" w:eastAsia="es-ES"/>
        </w:rPr>
        <w:t xml:space="preserve">tiene por agotada la vía administrativa. </w:t>
      </w:r>
      <w:r>
        <w:rPr>
          <w:rFonts w:ascii="Verdana" w:hAnsi="Verdana" w:cs="Verdana"/>
          <w:b/>
          <w:bCs/>
          <w:lang w:val="es-ES" w:eastAsia="es-ES"/>
        </w:rPr>
        <w:t>NOTIFIQUESE.</w:t>
      </w:r>
      <w:r>
        <w:rPr>
          <w:rFonts w:ascii="Verdana" w:hAnsi="Verdana" w:cs="Verdana"/>
          <w:b/>
          <w:bCs/>
          <w:lang w:val="es-ES" w:eastAsia="es-ES"/>
        </w:rPr>
        <w:noBreakHyphen/>
      </w:r>
    </w:p>
    <w:p w:rsidR="0077170C" w:rsidRPr="00AE0D42" w:rsidRDefault="0077170C" w:rsidP="0077170C">
      <w:pPr>
        <w:kinsoku w:val="0"/>
        <w:overflowPunct w:val="0"/>
        <w:autoSpaceDE/>
        <w:autoSpaceDN/>
        <w:adjustRightInd/>
        <w:spacing w:before="100" w:beforeAutospacing="1"/>
        <w:ind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77170C" w:rsidRDefault="0077170C" w:rsidP="0077170C">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r>
        <w:rPr>
          <w:rStyle w:val="CharacterStyle1"/>
          <w:b/>
          <w:iCs/>
          <w:spacing w:val="5"/>
          <w:sz w:val="26"/>
          <w:szCs w:val="26"/>
        </w:rPr>
        <w:t>Presidente</w:t>
      </w:r>
    </w:p>
    <w:p w:rsidR="0077170C" w:rsidRDefault="0077170C" w:rsidP="0077170C">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77170C" w:rsidRDefault="0077170C" w:rsidP="0077170C">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77170C" w:rsidRPr="00AE0D42" w:rsidRDefault="0077170C" w:rsidP="0077170C">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77170C" w:rsidRDefault="0077170C" w:rsidP="0077170C">
      <w:pPr>
        <w:kinsoku w:val="0"/>
        <w:overflowPunct w:val="0"/>
        <w:autoSpaceDE/>
        <w:autoSpaceDN/>
        <w:adjustRightInd/>
        <w:ind w:right="144"/>
        <w:jc w:val="center"/>
        <w:textAlignment w:val="baseline"/>
        <w:rPr>
          <w:rStyle w:val="CharacterStyle1"/>
          <w:iCs/>
          <w:spacing w:val="5"/>
          <w:sz w:val="26"/>
          <w:szCs w:val="26"/>
        </w:rPr>
      </w:pPr>
      <w:proofErr w:type="spellStart"/>
      <w:r w:rsidRPr="00AE0D42">
        <w:rPr>
          <w:rStyle w:val="CharacterStyle1"/>
          <w:iCs/>
          <w:spacing w:val="5"/>
          <w:sz w:val="26"/>
          <w:szCs w:val="26"/>
        </w:rPr>
        <w:t>Licda</w:t>
      </w:r>
      <w:proofErr w:type="spellEnd"/>
      <w:r w:rsidRPr="00AE0D42">
        <w:rPr>
          <w:rStyle w:val="CharacterStyle1"/>
          <w:iCs/>
          <w:spacing w:val="5"/>
          <w:sz w:val="26"/>
          <w:szCs w:val="26"/>
        </w:rPr>
        <w:t xml:space="preserve">. Marta Luz Pérez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Lic</w:t>
      </w:r>
      <w:proofErr w:type="spellEnd"/>
      <w:r w:rsidRPr="00AE0D42">
        <w:rPr>
          <w:rStyle w:val="CharacterStyle1"/>
          <w:iCs/>
          <w:spacing w:val="5"/>
          <w:sz w:val="26"/>
          <w:szCs w:val="26"/>
        </w:rPr>
        <w:t>. Mario Quesada Aguirre</w:t>
      </w:r>
    </w:p>
    <w:p w:rsidR="0077170C" w:rsidRDefault="0077170C" w:rsidP="0077170C">
      <w:pPr>
        <w:kinsoku w:val="0"/>
        <w:overflowPunct w:val="0"/>
        <w:autoSpaceDE/>
        <w:autoSpaceDN/>
        <w:adjustRightInd/>
        <w:ind w:right="144"/>
        <w:jc w:val="center"/>
        <w:textAlignment w:val="baseline"/>
        <w:rPr>
          <w:rStyle w:val="CharacterStyle1"/>
          <w:b/>
          <w:iCs/>
          <w:spacing w:val="5"/>
          <w:sz w:val="26"/>
          <w:szCs w:val="26"/>
        </w:rPr>
      </w:pPr>
      <w:proofErr w:type="spellStart"/>
      <w:r w:rsidRPr="00AE0D42">
        <w:rPr>
          <w:rStyle w:val="CharacterStyle1"/>
          <w:b/>
          <w:iCs/>
          <w:spacing w:val="5"/>
          <w:sz w:val="26"/>
          <w:szCs w:val="26"/>
        </w:rPr>
        <w:t>J</w:t>
      </w:r>
      <w:r>
        <w:rPr>
          <w:rStyle w:val="CharacterStyle1"/>
          <w:b/>
          <w:iCs/>
          <w:spacing w:val="5"/>
          <w:sz w:val="26"/>
          <w:szCs w:val="26"/>
        </w:rPr>
        <w:t>uez</w:t>
      </w:r>
      <w:proofErr w:type="spellEnd"/>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proofErr w:type="spellStart"/>
      <w:r w:rsidRPr="00AE0D42">
        <w:rPr>
          <w:rStyle w:val="CharacterStyle1"/>
          <w:b/>
          <w:iCs/>
          <w:spacing w:val="5"/>
          <w:sz w:val="26"/>
          <w:szCs w:val="26"/>
        </w:rPr>
        <w:t>J</w:t>
      </w:r>
      <w:r>
        <w:rPr>
          <w:rStyle w:val="CharacterStyle1"/>
          <w:b/>
          <w:iCs/>
          <w:spacing w:val="5"/>
          <w:sz w:val="26"/>
          <w:szCs w:val="26"/>
        </w:rPr>
        <w:t>uez</w:t>
      </w:r>
      <w:proofErr w:type="spellEnd"/>
    </w:p>
    <w:p w:rsidR="00EF2016" w:rsidRDefault="0077170C" w:rsidP="0077170C">
      <w:pPr>
        <w:kinsoku w:val="0"/>
        <w:overflowPunct w:val="0"/>
        <w:autoSpaceDE/>
        <w:autoSpaceDN/>
        <w:adjustRightInd/>
        <w:spacing w:before="240" w:after="974" w:line="256" w:lineRule="exact"/>
        <w:ind w:right="576"/>
        <w:jc w:val="both"/>
        <w:textAlignment w:val="baseline"/>
        <w:rPr>
          <w:sz w:val="24"/>
          <w:szCs w:val="24"/>
        </w:rPr>
      </w:pPr>
      <w:r>
        <w:rPr>
          <w:sz w:val="24"/>
          <w:szCs w:val="24"/>
        </w:rPr>
        <w:t xml:space="preserve"> </w:t>
      </w:r>
    </w:p>
    <w:p w:rsidR="00EF2016" w:rsidRDefault="00EF2016">
      <w:pPr>
        <w:widowControl/>
        <w:rPr>
          <w:sz w:val="24"/>
          <w:szCs w:val="24"/>
        </w:rPr>
        <w:sectPr w:rsidR="00EF2016">
          <w:type w:val="continuous"/>
          <w:pgSz w:w="12134" w:h="15840"/>
          <w:pgMar w:top="1780" w:right="1344" w:bottom="200" w:left="2150" w:header="720" w:footer="720" w:gutter="0"/>
          <w:cols w:space="720"/>
          <w:noEndnote/>
        </w:sectPr>
      </w:pPr>
    </w:p>
    <w:p w:rsidR="000A371F" w:rsidRDefault="000A371F">
      <w:pPr>
        <w:tabs>
          <w:tab w:val="right" w:pos="2736"/>
        </w:tabs>
        <w:kinsoku w:val="0"/>
        <w:overflowPunct w:val="0"/>
        <w:autoSpaceDE/>
        <w:autoSpaceDN/>
        <w:adjustRightInd/>
        <w:spacing w:line="226" w:lineRule="exact"/>
        <w:textAlignment w:val="baseline"/>
        <w:rPr>
          <w:rFonts w:ascii="Verdana" w:hAnsi="Verdana" w:cs="Verdana"/>
          <w:lang w:val="es-ES" w:eastAsia="es-ES"/>
        </w:rPr>
      </w:pPr>
      <w:r>
        <w:rPr>
          <w:sz w:val="19"/>
          <w:szCs w:val="19"/>
          <w:lang w:val="es-ES" w:eastAsia="es-ES"/>
        </w:rPr>
        <w:tab/>
      </w:r>
    </w:p>
    <w:sectPr w:rsidR="000A371F">
      <w:type w:val="continuous"/>
      <w:pgSz w:w="12134" w:h="15840"/>
      <w:pgMar w:top="1780" w:right="1952" w:bottom="200" w:left="741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BD7E"/>
    <w:multiLevelType w:val="singleLevel"/>
    <w:tmpl w:val="25C3E6DB"/>
    <w:lvl w:ilvl="0">
      <w:start w:val="1"/>
      <w:numFmt w:val="lowerLetter"/>
      <w:lvlText w:val="%1)"/>
      <w:lvlJc w:val="left"/>
      <w:pPr>
        <w:tabs>
          <w:tab w:val="num" w:pos="1224"/>
        </w:tabs>
        <w:ind w:left="576" w:firstLine="360"/>
      </w:pPr>
      <w:rPr>
        <w:rFonts w:ascii="Verdana" w:hAnsi="Verdana" w:cs="Verdana"/>
        <w:b/>
        <w:bCs/>
        <w:i/>
        <w:iCs/>
        <w:snapToGrid/>
        <w:sz w:val="20"/>
        <w:szCs w:val="20"/>
      </w:rPr>
    </w:lvl>
  </w:abstractNum>
  <w:abstractNum w:abstractNumId="1" w15:restartNumberingAfterBreak="0">
    <w:nsid w:val="02F8D204"/>
    <w:multiLevelType w:val="singleLevel"/>
    <w:tmpl w:val="7F4932D4"/>
    <w:lvl w:ilvl="0">
      <w:start w:val="1"/>
      <w:numFmt w:val="decimal"/>
      <w:lvlText w:val="%1.-"/>
      <w:lvlJc w:val="left"/>
      <w:pPr>
        <w:tabs>
          <w:tab w:val="num" w:pos="432"/>
        </w:tabs>
        <w:ind w:left="72"/>
      </w:pPr>
      <w:rPr>
        <w:rFonts w:ascii="Verdana" w:hAnsi="Verdana" w:cs="Verdana"/>
        <w:b/>
        <w:bCs/>
        <w:snapToGrid/>
        <w:sz w:val="20"/>
        <w:szCs w:val="20"/>
      </w:rPr>
    </w:lvl>
  </w:abstractNum>
  <w:abstractNum w:abstractNumId="2" w15:restartNumberingAfterBreak="0">
    <w:nsid w:val="07F30DB5"/>
    <w:multiLevelType w:val="singleLevel"/>
    <w:tmpl w:val="790E8F3E"/>
    <w:lvl w:ilvl="0">
      <w:start w:val="4"/>
      <w:numFmt w:val="decimal"/>
      <w:lvlText w:val="%1.-"/>
      <w:lvlJc w:val="left"/>
      <w:pPr>
        <w:tabs>
          <w:tab w:val="num" w:pos="432"/>
        </w:tabs>
      </w:pPr>
      <w:rPr>
        <w:rFonts w:ascii="Verdana" w:hAnsi="Verdana" w:cs="Verdana"/>
        <w:b/>
        <w:bCs/>
        <w:snapToGrid/>
        <w:spacing w:val="3"/>
        <w:sz w:val="20"/>
        <w:szCs w:val="20"/>
      </w:rPr>
    </w:lvl>
  </w:abstractNum>
  <w:num w:numId="1">
    <w:abstractNumId w:val="1"/>
  </w:num>
  <w:num w:numId="2">
    <w:abstractNumId w:val="2"/>
  </w:num>
  <w:num w:numId="3">
    <w:abstractNumId w:val="0"/>
  </w:num>
  <w:num w:numId="4">
    <w:abstractNumId w:val="0"/>
    <w:lvlOverride w:ilvl="0">
      <w:lvl w:ilvl="0">
        <w:numFmt w:val="lowerLetter"/>
        <w:lvlText w:val="%1)"/>
        <w:lvlJc w:val="left"/>
        <w:pPr>
          <w:tabs>
            <w:tab w:val="num" w:pos="1224"/>
          </w:tabs>
          <w:ind w:left="576" w:firstLine="360"/>
        </w:pPr>
        <w:rPr>
          <w:rFonts w:ascii="Verdana" w:hAnsi="Verdana" w:cs="Verdana"/>
          <w:i/>
          <w:iCs/>
          <w:snapToGrid/>
          <w:spacing w:val="1"/>
          <w:sz w:val="20"/>
          <w:szCs w:val="20"/>
        </w:rPr>
      </w:lvl>
    </w:lvlOverride>
  </w:num>
  <w:num w:numId="5">
    <w:abstractNumId w:val="0"/>
    <w:lvlOverride w:ilvl="0">
      <w:lvl w:ilvl="0">
        <w:numFmt w:val="lowerLetter"/>
        <w:lvlText w:val="%1)"/>
        <w:lvlJc w:val="left"/>
        <w:pPr>
          <w:tabs>
            <w:tab w:val="num" w:pos="1224"/>
          </w:tabs>
          <w:ind w:left="576" w:firstLine="360"/>
        </w:pPr>
        <w:rPr>
          <w:rFonts w:ascii="Verdana" w:hAnsi="Verdana" w:cs="Verdana"/>
          <w:i/>
          <w:iCs/>
          <w:snapToGrid/>
          <w:sz w:val="20"/>
          <w:szCs w:val="20"/>
          <w:u w:val="sing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081"/>
    <w:rsid w:val="000A371F"/>
    <w:rsid w:val="002E0C72"/>
    <w:rsid w:val="00720081"/>
    <w:rsid w:val="0077170C"/>
    <w:rsid w:val="00C32A2A"/>
    <w:rsid w:val="00EF201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D59E472-4F62-4916-AB34-52FD75D4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7170C"/>
    <w:rPr>
      <w:lang w:val="es-CR"/>
    </w:rPr>
  </w:style>
  <w:style w:type="character" w:customStyle="1" w:styleId="CharacterStyle1">
    <w:name w:val="Character Style 1"/>
    <w:uiPriority w:val="99"/>
    <w:rsid w:val="0077170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3283</Words>
  <Characters>18061</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Gerardo Vargas Arguello</cp:lastModifiedBy>
  <cp:revision>2</cp:revision>
  <dcterms:created xsi:type="dcterms:W3CDTF">2019-09-11T15:36:00Z</dcterms:created>
  <dcterms:modified xsi:type="dcterms:W3CDTF">2019-09-11T15:36:00Z</dcterms:modified>
</cp:coreProperties>
</file>