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51A2" w:rsidRDefault="00DB1B10">
      <w:pPr>
        <w:kinsoku w:val="0"/>
        <w:overflowPunct w:val="0"/>
        <w:autoSpaceDE/>
        <w:autoSpaceDN/>
        <w:adjustRightInd/>
        <w:spacing w:line="253" w:lineRule="exact"/>
        <w:jc w:val="center"/>
        <w:textAlignment w:val="baseline"/>
        <w:rPr>
          <w:rFonts w:ascii="Verdana" w:hAnsi="Verdana" w:cs="Verdana"/>
          <w:b/>
          <w:bCs/>
          <w:spacing w:val="9"/>
          <w:sz w:val="21"/>
          <w:szCs w:val="21"/>
          <w:lang w:val="es-ES" w:eastAsia="es-ES"/>
        </w:rPr>
      </w:pPr>
      <w:bookmarkStart w:id="0" w:name="_GoBack"/>
      <w:bookmarkEnd w:id="0"/>
      <w:r>
        <w:rPr>
          <w:rFonts w:ascii="Verdana" w:hAnsi="Verdana" w:cs="Verdana"/>
          <w:b/>
          <w:bCs/>
          <w:spacing w:val="9"/>
          <w:sz w:val="21"/>
          <w:szCs w:val="21"/>
          <w:lang w:val="es-ES" w:eastAsia="es-ES"/>
        </w:rPr>
        <w:t>RESOLUCION No. TAT-2545-2015</w:t>
      </w:r>
    </w:p>
    <w:p w:rsidR="00A551A2" w:rsidRDefault="00DB1B10">
      <w:pPr>
        <w:kinsoku w:val="0"/>
        <w:overflowPunct w:val="0"/>
        <w:autoSpaceDE/>
        <w:autoSpaceDN/>
        <w:adjustRightInd/>
        <w:spacing w:before="553" w:line="278"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TRIBUNAL ADMINISTRATIVO DE TRANSPORTE. </w:t>
      </w:r>
      <w:r>
        <w:rPr>
          <w:rFonts w:ascii="Verdana" w:hAnsi="Verdana" w:cs="Verdana"/>
          <w:sz w:val="21"/>
          <w:szCs w:val="21"/>
          <w:lang w:val="es-ES" w:eastAsia="es-ES"/>
        </w:rPr>
        <w:t>San José, a las nueve horas doce minutos del treinta de abril de dos mil quince.</w:t>
      </w:r>
    </w:p>
    <w:p w:rsidR="00A551A2" w:rsidRDefault="00DB1B10">
      <w:pPr>
        <w:kinsoku w:val="0"/>
        <w:overflowPunct w:val="0"/>
        <w:autoSpaceDE/>
        <w:autoSpaceDN/>
        <w:adjustRightInd/>
        <w:spacing w:before="291" w:line="272" w:lineRule="exact"/>
        <w:jc w:val="both"/>
        <w:textAlignment w:val="baseline"/>
        <w:rPr>
          <w:rFonts w:ascii="Verdana" w:hAnsi="Verdana" w:cs="Verdana"/>
          <w:b/>
          <w:bCs/>
          <w:spacing w:val="11"/>
          <w:sz w:val="21"/>
          <w:szCs w:val="21"/>
          <w:lang w:val="es-ES" w:eastAsia="es-ES"/>
        </w:rPr>
      </w:pPr>
      <w:r>
        <w:rPr>
          <w:rFonts w:ascii="Verdana" w:hAnsi="Verdana" w:cs="Verdana"/>
          <w:b/>
          <w:bCs/>
          <w:spacing w:val="11"/>
          <w:sz w:val="21"/>
          <w:szCs w:val="21"/>
          <w:lang w:val="es-ES" w:eastAsia="es-ES"/>
        </w:rPr>
        <w:t xml:space="preserve">Recurso de Apelación, </w:t>
      </w:r>
      <w:r>
        <w:rPr>
          <w:rFonts w:ascii="Verdana" w:hAnsi="Verdana" w:cs="Verdana"/>
          <w:spacing w:val="11"/>
          <w:sz w:val="21"/>
          <w:szCs w:val="21"/>
          <w:lang w:val="es-ES" w:eastAsia="es-ES"/>
        </w:rPr>
        <w:t xml:space="preserve">presentado ante el Tribunal Administrativo de Transporte por el señor </w:t>
      </w:r>
      <w:r>
        <w:rPr>
          <w:rFonts w:ascii="Verdana" w:hAnsi="Verdana" w:cs="Verdana"/>
          <w:b/>
          <w:bCs/>
          <w:spacing w:val="11"/>
          <w:sz w:val="21"/>
          <w:szCs w:val="21"/>
          <w:lang w:val="es-ES" w:eastAsia="es-ES"/>
        </w:rPr>
        <w:t>W</w:t>
      </w:r>
      <w:r w:rsidR="00A538D1">
        <w:rPr>
          <w:rFonts w:ascii="Verdana" w:hAnsi="Verdana" w:cs="Verdana"/>
          <w:b/>
          <w:bCs/>
          <w:spacing w:val="11"/>
          <w:sz w:val="21"/>
          <w:szCs w:val="21"/>
          <w:lang w:val="es-ES" w:eastAsia="es-ES"/>
        </w:rPr>
        <w:t>.A.C.</w:t>
      </w:r>
      <w:r>
        <w:rPr>
          <w:rFonts w:ascii="Verdana" w:hAnsi="Verdana" w:cs="Verdana"/>
          <w:b/>
          <w:bCs/>
          <w:spacing w:val="11"/>
          <w:sz w:val="21"/>
          <w:szCs w:val="21"/>
          <w:lang w:val="es-ES" w:eastAsia="es-ES"/>
        </w:rPr>
        <w:t xml:space="preserve">, </w:t>
      </w:r>
      <w:r>
        <w:rPr>
          <w:rFonts w:ascii="Verdana" w:hAnsi="Verdana" w:cs="Verdana"/>
          <w:spacing w:val="11"/>
          <w:sz w:val="21"/>
          <w:szCs w:val="21"/>
          <w:lang w:val="es-ES" w:eastAsia="es-ES"/>
        </w:rPr>
        <w:t xml:space="preserve">cédula de identidad número </w:t>
      </w:r>
      <w:r w:rsidR="00A538D1">
        <w:rPr>
          <w:rFonts w:ascii="Verdana" w:hAnsi="Verdana" w:cs="Verdana"/>
          <w:spacing w:val="11"/>
          <w:sz w:val="21"/>
          <w:szCs w:val="21"/>
          <w:lang w:val="es-ES" w:eastAsia="es-ES"/>
        </w:rPr>
        <w:t>…</w:t>
      </w:r>
      <w:r>
        <w:rPr>
          <w:rFonts w:ascii="Verdana" w:hAnsi="Verdana" w:cs="Verdana"/>
          <w:spacing w:val="11"/>
          <w:sz w:val="21"/>
          <w:szCs w:val="21"/>
          <w:lang w:val="es-ES" w:eastAsia="es-ES"/>
        </w:rPr>
        <w:t xml:space="preserve">, en contra del </w:t>
      </w:r>
      <w:r>
        <w:rPr>
          <w:rFonts w:ascii="Verdana" w:hAnsi="Verdana" w:cs="Verdana"/>
          <w:b/>
          <w:bCs/>
          <w:spacing w:val="11"/>
          <w:sz w:val="21"/>
          <w:szCs w:val="21"/>
          <w:lang w:val="es-ES" w:eastAsia="es-ES"/>
        </w:rPr>
        <w:t>Artículo 33 de Ley 7969 y el Artículo 8 del Decreto Ejecutivo N°- 35985-MOPT. El caso se tramita en Expediente Administrativo N. TAT-137-15.</w:t>
      </w:r>
    </w:p>
    <w:p w:rsidR="00A551A2" w:rsidRDefault="00DB1B10">
      <w:pPr>
        <w:kinsoku w:val="0"/>
        <w:overflowPunct w:val="0"/>
        <w:autoSpaceDE/>
        <w:autoSpaceDN/>
        <w:adjustRightInd/>
        <w:spacing w:before="573" w:line="256" w:lineRule="exact"/>
        <w:jc w:val="center"/>
        <w:textAlignment w:val="baseline"/>
        <w:rPr>
          <w:rFonts w:ascii="Verdana" w:hAnsi="Verdana" w:cs="Verdana"/>
          <w:b/>
          <w:bCs/>
          <w:spacing w:val="7"/>
          <w:sz w:val="21"/>
          <w:szCs w:val="21"/>
          <w:lang w:val="es-ES" w:eastAsia="es-ES"/>
        </w:rPr>
      </w:pPr>
      <w:r>
        <w:rPr>
          <w:rFonts w:ascii="Verdana" w:hAnsi="Verdana" w:cs="Verdana"/>
          <w:b/>
          <w:bCs/>
          <w:spacing w:val="7"/>
          <w:sz w:val="21"/>
          <w:szCs w:val="21"/>
          <w:lang w:val="es-ES" w:eastAsia="es-ES"/>
        </w:rPr>
        <w:t>RESULTANDO</w:t>
      </w:r>
    </w:p>
    <w:p w:rsidR="00A551A2" w:rsidRDefault="00DB1B10">
      <w:pPr>
        <w:kinsoku w:val="0"/>
        <w:overflowPunct w:val="0"/>
        <w:autoSpaceDE/>
        <w:autoSpaceDN/>
        <w:adjustRightInd/>
        <w:spacing w:before="552" w:line="278" w:lineRule="exact"/>
        <w:jc w:val="both"/>
        <w:textAlignment w:val="baseline"/>
        <w:rPr>
          <w:rFonts w:ascii="Verdana" w:hAnsi="Verdana" w:cs="Verdana"/>
          <w:spacing w:val="8"/>
          <w:sz w:val="21"/>
          <w:szCs w:val="21"/>
          <w:lang w:val="es-ES" w:eastAsia="es-ES"/>
        </w:rPr>
      </w:pPr>
      <w:r>
        <w:rPr>
          <w:rFonts w:ascii="Verdana" w:hAnsi="Verdana" w:cs="Verdana"/>
          <w:b/>
          <w:bCs/>
          <w:spacing w:val="8"/>
          <w:sz w:val="21"/>
          <w:szCs w:val="21"/>
          <w:lang w:val="es-ES" w:eastAsia="es-ES"/>
        </w:rPr>
        <w:t xml:space="preserve">PRIMERO: </w:t>
      </w:r>
      <w:r>
        <w:rPr>
          <w:rFonts w:ascii="Verdana" w:hAnsi="Verdana" w:cs="Verdana"/>
          <w:spacing w:val="8"/>
          <w:sz w:val="21"/>
          <w:szCs w:val="21"/>
          <w:lang w:val="es-ES" w:eastAsia="es-ES"/>
        </w:rPr>
        <w:t xml:space="preserve">El señor </w:t>
      </w:r>
      <w:r>
        <w:rPr>
          <w:rFonts w:ascii="Verdana" w:hAnsi="Verdana" w:cs="Verdana"/>
          <w:b/>
          <w:bCs/>
          <w:spacing w:val="8"/>
          <w:sz w:val="21"/>
          <w:szCs w:val="21"/>
          <w:lang w:val="es-ES" w:eastAsia="es-ES"/>
        </w:rPr>
        <w:t>W</w:t>
      </w:r>
      <w:r w:rsidR="00A538D1">
        <w:rPr>
          <w:rFonts w:ascii="Verdana" w:hAnsi="Verdana" w:cs="Verdana"/>
          <w:b/>
          <w:bCs/>
          <w:spacing w:val="8"/>
          <w:sz w:val="21"/>
          <w:szCs w:val="21"/>
          <w:lang w:val="es-ES" w:eastAsia="es-ES"/>
        </w:rPr>
        <w:t>.A.C.</w:t>
      </w:r>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 xml:space="preserve">se apersona ante este Tribunal Administrativo de Transporte y manifiesta que para los efectos del artículo 75 de la Ley de la Jurisdicción Constitucional alega la Inconstitucionalidad del </w:t>
      </w:r>
      <w:r>
        <w:rPr>
          <w:rFonts w:ascii="Verdana" w:hAnsi="Verdana" w:cs="Verdana"/>
          <w:b/>
          <w:bCs/>
          <w:spacing w:val="8"/>
          <w:sz w:val="21"/>
          <w:szCs w:val="21"/>
          <w:lang w:val="es-ES" w:eastAsia="es-ES"/>
        </w:rPr>
        <w:t xml:space="preserve">Artículo 33 de Ley 7969 y el Artículo 8 del Decreto Ejecutivo N°- 35985-MOPT. </w:t>
      </w:r>
      <w:r>
        <w:rPr>
          <w:rFonts w:ascii="Verdana" w:hAnsi="Verdana" w:cs="Verdana"/>
          <w:spacing w:val="8"/>
          <w:sz w:val="21"/>
          <w:szCs w:val="21"/>
          <w:lang w:val="es-ES" w:eastAsia="es-ES"/>
        </w:rPr>
        <w:t>El señor A</w:t>
      </w:r>
      <w:r w:rsidR="00A538D1">
        <w:rPr>
          <w:rFonts w:ascii="Verdana" w:hAnsi="Verdana" w:cs="Verdana"/>
          <w:spacing w:val="8"/>
          <w:sz w:val="21"/>
          <w:szCs w:val="21"/>
          <w:lang w:val="es-ES" w:eastAsia="es-ES"/>
        </w:rPr>
        <w:t>.C.</w:t>
      </w:r>
      <w:r>
        <w:rPr>
          <w:rFonts w:ascii="Verdana" w:hAnsi="Verdana" w:cs="Verdana"/>
          <w:spacing w:val="8"/>
          <w:sz w:val="21"/>
          <w:szCs w:val="21"/>
          <w:lang w:val="es-ES" w:eastAsia="es-ES"/>
        </w:rPr>
        <w:t>, dedica el escrito de apersonamiento a hacer una serie de observaciones respecto de los procedimientos que se determinan en los cuerpos normativos indicados supra, y a referir a votos de la Sala Constitucional respecto de éstos. Léanse folios 1 al 5 del expediente administrativo)</w:t>
      </w:r>
    </w:p>
    <w:p w:rsidR="00A551A2" w:rsidRDefault="00DB1B10">
      <w:pPr>
        <w:kinsoku w:val="0"/>
        <w:overflowPunct w:val="0"/>
        <w:autoSpaceDE/>
        <w:autoSpaceDN/>
        <w:adjustRightInd/>
        <w:spacing w:before="265" w:line="278" w:lineRule="exact"/>
        <w:jc w:val="both"/>
        <w:textAlignment w:val="baseline"/>
        <w:rPr>
          <w:rFonts w:ascii="Verdana" w:hAnsi="Verdana" w:cs="Verdana"/>
          <w:sz w:val="21"/>
          <w:szCs w:val="21"/>
          <w:lang w:val="es-ES" w:eastAsia="es-ES"/>
        </w:rPr>
      </w:pPr>
      <w:r>
        <w:rPr>
          <w:rFonts w:ascii="Verdana" w:hAnsi="Verdana" w:cs="Verdana"/>
          <w:b/>
          <w:bCs/>
          <w:sz w:val="21"/>
          <w:szCs w:val="21"/>
          <w:lang w:val="es-ES" w:eastAsia="es-ES"/>
        </w:rPr>
        <w:t xml:space="preserve">SEGUNDO: </w:t>
      </w:r>
      <w:r>
        <w:rPr>
          <w:rFonts w:ascii="Verdana" w:hAnsi="Verdana" w:cs="Verdana"/>
          <w:sz w:val="21"/>
          <w:szCs w:val="21"/>
          <w:lang w:val="es-ES" w:eastAsia="es-ES"/>
        </w:rPr>
        <w:t>En los procedimientos seguidos se han observado las prescripciones legales.</w:t>
      </w:r>
    </w:p>
    <w:p w:rsidR="00A551A2" w:rsidRDefault="00DB1B10">
      <w:pPr>
        <w:kinsoku w:val="0"/>
        <w:overflowPunct w:val="0"/>
        <w:autoSpaceDE/>
        <w:autoSpaceDN/>
        <w:adjustRightInd/>
        <w:spacing w:before="579" w:line="256" w:lineRule="exact"/>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Redacta la Jueza Pérez Peláez.</w:t>
      </w:r>
    </w:p>
    <w:p w:rsidR="00A551A2" w:rsidRDefault="00DB1B10">
      <w:pPr>
        <w:kinsoku w:val="0"/>
        <w:overflowPunct w:val="0"/>
        <w:autoSpaceDE/>
        <w:autoSpaceDN/>
        <w:adjustRightInd/>
        <w:spacing w:before="547" w:line="256" w:lineRule="exact"/>
        <w:jc w:val="center"/>
        <w:textAlignment w:val="baseline"/>
        <w:rPr>
          <w:rFonts w:ascii="Verdana" w:hAnsi="Verdana" w:cs="Verdana"/>
          <w:b/>
          <w:bCs/>
          <w:spacing w:val="10"/>
          <w:sz w:val="21"/>
          <w:szCs w:val="21"/>
          <w:lang w:val="es-ES" w:eastAsia="es-ES"/>
        </w:rPr>
      </w:pPr>
      <w:r>
        <w:rPr>
          <w:rFonts w:ascii="Verdana" w:hAnsi="Verdana" w:cs="Verdana"/>
          <w:b/>
          <w:bCs/>
          <w:spacing w:val="10"/>
          <w:sz w:val="21"/>
          <w:szCs w:val="21"/>
          <w:lang w:val="es-ES" w:eastAsia="es-ES"/>
        </w:rPr>
        <w:t>CONSIDERANDO UNICO</w:t>
      </w:r>
    </w:p>
    <w:p w:rsidR="00A551A2" w:rsidRDefault="00DB1B10">
      <w:pPr>
        <w:kinsoku w:val="0"/>
        <w:overflowPunct w:val="0"/>
        <w:autoSpaceDE/>
        <w:autoSpaceDN/>
        <w:adjustRightInd/>
        <w:spacing w:before="529" w:line="278" w:lineRule="exact"/>
        <w:jc w:val="both"/>
        <w:textAlignment w:val="baseline"/>
        <w:rPr>
          <w:rFonts w:ascii="Verdana" w:hAnsi="Verdana" w:cs="Verdana"/>
          <w:b/>
          <w:bCs/>
          <w:spacing w:val="11"/>
          <w:sz w:val="21"/>
          <w:szCs w:val="21"/>
          <w:lang w:val="es-ES" w:eastAsia="es-ES"/>
        </w:rPr>
      </w:pPr>
      <w:r>
        <w:rPr>
          <w:rFonts w:ascii="Verdana" w:hAnsi="Verdana" w:cs="Verdana"/>
          <w:spacing w:val="11"/>
          <w:sz w:val="21"/>
          <w:szCs w:val="21"/>
          <w:lang w:val="es-ES" w:eastAsia="es-ES"/>
        </w:rPr>
        <w:t xml:space="preserve">Del escrito presentado ante este Tribunal por el señor </w:t>
      </w:r>
      <w:r>
        <w:rPr>
          <w:rFonts w:ascii="Verdana" w:hAnsi="Verdana" w:cs="Verdana"/>
          <w:b/>
          <w:bCs/>
          <w:spacing w:val="11"/>
          <w:sz w:val="21"/>
          <w:szCs w:val="21"/>
          <w:lang w:val="es-ES" w:eastAsia="es-ES"/>
        </w:rPr>
        <w:t>W</w:t>
      </w:r>
      <w:r w:rsidR="00A538D1">
        <w:rPr>
          <w:rFonts w:ascii="Verdana" w:hAnsi="Verdana" w:cs="Verdana"/>
          <w:b/>
          <w:bCs/>
          <w:spacing w:val="11"/>
          <w:sz w:val="21"/>
          <w:szCs w:val="21"/>
          <w:lang w:val="es-ES" w:eastAsia="es-ES"/>
        </w:rPr>
        <w:t>.A.C.</w:t>
      </w:r>
      <w:r>
        <w:rPr>
          <w:rFonts w:ascii="Verdana" w:hAnsi="Verdana" w:cs="Verdana"/>
          <w:b/>
          <w:bCs/>
          <w:spacing w:val="11"/>
          <w:sz w:val="21"/>
          <w:szCs w:val="21"/>
          <w:lang w:val="es-ES" w:eastAsia="es-ES"/>
        </w:rPr>
        <w:t xml:space="preserve">, </w:t>
      </w:r>
      <w:r>
        <w:rPr>
          <w:rFonts w:ascii="Verdana" w:hAnsi="Verdana" w:cs="Verdana"/>
          <w:spacing w:val="11"/>
          <w:sz w:val="21"/>
          <w:szCs w:val="21"/>
          <w:lang w:val="es-ES" w:eastAsia="es-ES"/>
        </w:rPr>
        <w:t xml:space="preserve">se colige que en ningún momento impugna acuerdo alguno del Consejo de Transporte Público ya que manifiesta que para los efectos del artículo 75 de la Ley de la Jurisdicción Constitucional alega la Inconstitucionalidad del </w:t>
      </w:r>
      <w:r>
        <w:rPr>
          <w:rFonts w:ascii="Verdana" w:hAnsi="Verdana" w:cs="Verdana"/>
          <w:b/>
          <w:bCs/>
          <w:spacing w:val="11"/>
          <w:sz w:val="21"/>
          <w:szCs w:val="21"/>
          <w:lang w:val="es-ES" w:eastAsia="es-ES"/>
        </w:rPr>
        <w:t>Artículo 33 de Ley 7969 y el Artículo 8 del Decreto Ejecutivo N°- 35985-MOPT.</w:t>
      </w:r>
    </w:p>
    <w:p w:rsidR="00A551A2" w:rsidRDefault="00A551A2">
      <w:pPr>
        <w:widowControl/>
        <w:rPr>
          <w:sz w:val="24"/>
          <w:szCs w:val="24"/>
        </w:rPr>
        <w:sectPr w:rsidR="00A551A2">
          <w:pgSz w:w="12134" w:h="15840"/>
          <w:pgMar w:top="2560" w:right="1948" w:bottom="304" w:left="2126" w:header="720" w:footer="720" w:gutter="0"/>
          <w:cols w:space="720"/>
          <w:noEndnote/>
        </w:sectPr>
      </w:pPr>
    </w:p>
    <w:p w:rsidR="00A551A2" w:rsidRDefault="00DB1B10">
      <w:pPr>
        <w:kinsoku w:val="0"/>
        <w:overflowPunct w:val="0"/>
        <w:autoSpaceDE/>
        <w:autoSpaceDN/>
        <w:adjustRightInd/>
        <w:spacing w:before="7" w:line="279" w:lineRule="exact"/>
        <w:ind w:left="7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lastRenderedPageBreak/>
        <w:t xml:space="preserve">El señor </w:t>
      </w:r>
      <w:r>
        <w:rPr>
          <w:rFonts w:ascii="Verdana" w:hAnsi="Verdana" w:cs="Verdana"/>
          <w:b/>
          <w:bCs/>
          <w:spacing w:val="9"/>
          <w:sz w:val="21"/>
          <w:szCs w:val="21"/>
          <w:lang w:val="es-ES" w:eastAsia="es-ES"/>
        </w:rPr>
        <w:t>A</w:t>
      </w:r>
      <w:r w:rsidR="00A538D1">
        <w:rPr>
          <w:rFonts w:ascii="Verdana" w:hAnsi="Verdana" w:cs="Verdana"/>
          <w:b/>
          <w:bCs/>
          <w:spacing w:val="9"/>
          <w:sz w:val="21"/>
          <w:szCs w:val="21"/>
          <w:lang w:val="es-ES" w:eastAsia="es-ES"/>
        </w:rPr>
        <w:t>.C.</w:t>
      </w:r>
      <w:r>
        <w:rPr>
          <w:rFonts w:ascii="Verdana" w:hAnsi="Verdana" w:cs="Verdana"/>
          <w:b/>
          <w:bCs/>
          <w:spacing w:val="9"/>
          <w:sz w:val="21"/>
          <w:szCs w:val="21"/>
          <w:lang w:val="es-ES" w:eastAsia="es-ES"/>
        </w:rPr>
        <w:t xml:space="preserve">, </w:t>
      </w:r>
      <w:r>
        <w:rPr>
          <w:rFonts w:ascii="Verdana" w:hAnsi="Verdana" w:cs="Verdana"/>
          <w:spacing w:val="9"/>
          <w:sz w:val="21"/>
          <w:szCs w:val="21"/>
          <w:lang w:val="es-ES" w:eastAsia="es-ES"/>
        </w:rPr>
        <w:t>dedica el escrito de apersonamiento a hacer una serie de observaciones respecto de los procedimientos que se determinan en los cuerpos normativos indicados supra, y a referirse a votos de la Sala Constitucional respecto de éstos, siendo más bien su gestión un mecanismo para tener un asunto previo como requisito para poder accionar en la vía de la jurisdicción constitucional mediante la acción de inconstitucionalidad, acreditar que ha planteado un recurso ordinario contra un acto del CTP.</w:t>
      </w:r>
    </w:p>
    <w:p w:rsidR="00A551A2" w:rsidRDefault="00DB1B10" w:rsidP="00A538D1">
      <w:pPr>
        <w:tabs>
          <w:tab w:val="right" w:pos="7992"/>
        </w:tabs>
        <w:kinsoku w:val="0"/>
        <w:overflowPunct w:val="0"/>
        <w:autoSpaceDE/>
        <w:autoSpaceDN/>
        <w:adjustRightInd/>
        <w:spacing w:before="250" w:line="277" w:lineRule="exact"/>
        <w:ind w:left="72"/>
        <w:jc w:val="both"/>
        <w:textAlignment w:val="baseline"/>
        <w:rPr>
          <w:rFonts w:ascii="Verdana" w:hAnsi="Verdana" w:cs="Verdana"/>
          <w:sz w:val="21"/>
          <w:szCs w:val="21"/>
          <w:lang w:val="es-ES" w:eastAsia="es-ES"/>
        </w:rPr>
      </w:pPr>
      <w:r>
        <w:rPr>
          <w:rFonts w:ascii="Verdana" w:hAnsi="Verdana" w:cs="Verdana"/>
          <w:sz w:val="21"/>
          <w:szCs w:val="21"/>
          <w:lang w:val="es-ES" w:eastAsia="es-ES"/>
        </w:rPr>
        <w:t>De conformidad con el numeral 22 de</w:t>
      </w:r>
      <w:r w:rsidR="00A538D1">
        <w:rPr>
          <w:rFonts w:ascii="Verdana" w:hAnsi="Verdana" w:cs="Verdana"/>
          <w:sz w:val="21"/>
          <w:szCs w:val="21"/>
          <w:lang w:val="es-ES" w:eastAsia="es-ES"/>
        </w:rPr>
        <w:t xml:space="preserve"> </w:t>
      </w:r>
      <w:r>
        <w:rPr>
          <w:rFonts w:ascii="Verdana" w:hAnsi="Verdana" w:cs="Verdana"/>
          <w:sz w:val="21"/>
          <w:szCs w:val="21"/>
          <w:lang w:val="es-ES" w:eastAsia="es-ES"/>
        </w:rPr>
        <w:t>La Ley de Transporte</w:t>
      </w:r>
      <w:r w:rsidR="00A538D1">
        <w:rPr>
          <w:rFonts w:ascii="Verdana" w:hAnsi="Verdana" w:cs="Verdana"/>
          <w:sz w:val="21"/>
          <w:szCs w:val="21"/>
          <w:lang w:val="es-ES" w:eastAsia="es-ES"/>
        </w:rPr>
        <w:t xml:space="preserve"> </w:t>
      </w:r>
      <w:r>
        <w:rPr>
          <w:rFonts w:ascii="Verdana" w:hAnsi="Verdana" w:cs="Verdana"/>
          <w:sz w:val="21"/>
          <w:szCs w:val="21"/>
          <w:lang w:val="es-ES" w:eastAsia="es-ES"/>
        </w:rPr>
        <w:t>Remunerado de Personas en Vehículos en la Modalidad de Taxi, N. 7969 del 22 de diciembre de 1999, el Tribunal es competente:</w:t>
      </w:r>
    </w:p>
    <w:p w:rsidR="00A551A2" w:rsidRDefault="00DB1B10">
      <w:pPr>
        <w:kinsoku w:val="0"/>
        <w:overflowPunct w:val="0"/>
        <w:autoSpaceDE/>
        <w:autoSpaceDN/>
        <w:adjustRightInd/>
        <w:spacing w:before="553" w:line="282" w:lineRule="exact"/>
        <w:ind w:left="432"/>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"ARTÍCULO 22.- Competencia del Tribunal</w:t>
      </w:r>
    </w:p>
    <w:p w:rsidR="00A551A2" w:rsidRDefault="00DB1B10">
      <w:pPr>
        <w:kinsoku w:val="0"/>
        <w:overflowPunct w:val="0"/>
        <w:autoSpaceDE/>
        <w:autoSpaceDN/>
        <w:adjustRightInd/>
        <w:spacing w:line="274" w:lineRule="exact"/>
        <w:ind w:left="432"/>
        <w:textAlignment w:val="baseline"/>
        <w:rPr>
          <w:rFonts w:ascii="Verdana" w:hAnsi="Verdana" w:cs="Verdana"/>
          <w:i/>
          <w:iCs/>
          <w:spacing w:val="7"/>
          <w:sz w:val="21"/>
          <w:szCs w:val="21"/>
          <w:lang w:val="es-ES" w:eastAsia="es-ES"/>
        </w:rPr>
      </w:pPr>
      <w:r>
        <w:rPr>
          <w:rFonts w:ascii="Verdana" w:hAnsi="Verdana" w:cs="Verdana"/>
          <w:i/>
          <w:iCs/>
          <w:spacing w:val="7"/>
          <w:sz w:val="21"/>
          <w:szCs w:val="21"/>
          <w:lang w:val="es-ES" w:eastAsia="es-ES"/>
        </w:rPr>
        <w:t>El Tribunal será competente para lo siguiente:</w:t>
      </w:r>
    </w:p>
    <w:p w:rsidR="00A551A2" w:rsidRDefault="00DB1B10">
      <w:pPr>
        <w:numPr>
          <w:ilvl w:val="0"/>
          <w:numId w:val="1"/>
        </w:numPr>
        <w:kinsoku w:val="0"/>
        <w:overflowPunct w:val="0"/>
        <w:autoSpaceDE/>
        <w:autoSpaceDN/>
        <w:adjustRightInd/>
        <w:spacing w:before="266" w:line="276" w:lineRule="exact"/>
        <w:jc w:val="both"/>
        <w:textAlignment w:val="baseline"/>
        <w:rPr>
          <w:rFonts w:ascii="Verdana" w:hAnsi="Verdana" w:cs="Verdana"/>
          <w:b/>
          <w:bCs/>
          <w:i/>
          <w:iCs/>
          <w:sz w:val="21"/>
          <w:szCs w:val="21"/>
          <w:lang w:val="es-ES" w:eastAsia="es-ES"/>
        </w:rPr>
      </w:pPr>
      <w:r>
        <w:rPr>
          <w:rFonts w:ascii="Verdana" w:hAnsi="Verdana" w:cs="Verdana"/>
          <w:b/>
          <w:bCs/>
          <w:i/>
          <w:iCs/>
          <w:sz w:val="21"/>
          <w:szCs w:val="21"/>
          <w:lang w:val="es-ES" w:eastAsia="es-ES"/>
        </w:rPr>
        <w:t>Conocer y resolver, en sede administrativa, los recursos de apelación que se interpongan contra cualquier acto o resolución del Consejo.</w:t>
      </w:r>
    </w:p>
    <w:p w:rsidR="00A551A2" w:rsidRDefault="00DB1B10">
      <w:pPr>
        <w:numPr>
          <w:ilvl w:val="0"/>
          <w:numId w:val="2"/>
        </w:numPr>
        <w:kinsoku w:val="0"/>
        <w:overflowPunct w:val="0"/>
        <w:autoSpaceDE/>
        <w:autoSpaceDN/>
        <w:adjustRightInd/>
        <w:spacing w:line="278" w:lineRule="exact"/>
        <w:jc w:val="both"/>
        <w:textAlignment w:val="baseline"/>
        <w:rPr>
          <w:rFonts w:ascii="Verdana" w:hAnsi="Verdana" w:cs="Verdana"/>
          <w:i/>
          <w:iCs/>
          <w:spacing w:val="8"/>
          <w:sz w:val="21"/>
          <w:szCs w:val="21"/>
          <w:lang w:val="es-ES" w:eastAsia="es-ES"/>
        </w:rPr>
      </w:pPr>
      <w:r>
        <w:rPr>
          <w:rFonts w:ascii="Verdana" w:hAnsi="Verdana" w:cs="Verdana"/>
          <w:i/>
          <w:iCs/>
          <w:spacing w:val="8"/>
          <w:sz w:val="21"/>
          <w:szCs w:val="21"/>
          <w:lang w:val="es-ES" w:eastAsia="es-ES"/>
        </w:rPr>
        <w:t>Establecer, en vía administrativa, las indemnizaciones que puedan originarse en relación con los daños producidos por violaciones de la legislación del transporte público.</w:t>
      </w:r>
    </w:p>
    <w:p w:rsidR="00A551A2" w:rsidRDefault="00DB1B10">
      <w:pPr>
        <w:numPr>
          <w:ilvl w:val="0"/>
          <w:numId w:val="2"/>
        </w:numPr>
        <w:kinsoku w:val="0"/>
        <w:overflowPunct w:val="0"/>
        <w:autoSpaceDE/>
        <w:autoSpaceDN/>
        <w:adjustRightInd/>
        <w:spacing w:before="2" w:line="282" w:lineRule="exact"/>
        <w:jc w:val="both"/>
        <w:textAlignment w:val="baseline"/>
        <w:rPr>
          <w:rFonts w:ascii="Verdana" w:hAnsi="Verdana" w:cs="Verdana"/>
          <w:i/>
          <w:iCs/>
          <w:sz w:val="21"/>
          <w:szCs w:val="21"/>
          <w:lang w:val="es-ES" w:eastAsia="es-ES"/>
        </w:rPr>
      </w:pPr>
      <w:r>
        <w:rPr>
          <w:rFonts w:ascii="Verdana" w:hAnsi="Verdana" w:cs="Verdana"/>
          <w:i/>
          <w:iCs/>
          <w:sz w:val="21"/>
          <w:szCs w:val="21"/>
          <w:lang w:val="es-ES" w:eastAsia="es-ES"/>
        </w:rPr>
        <w:t xml:space="preserve">Las resoluciones del </w:t>
      </w:r>
      <w:r>
        <w:rPr>
          <w:rFonts w:ascii="Verdana" w:hAnsi="Verdana" w:cs="Verdana"/>
          <w:b/>
          <w:bCs/>
          <w:i/>
          <w:iCs/>
          <w:sz w:val="21"/>
          <w:szCs w:val="21"/>
          <w:lang w:val="es-ES" w:eastAsia="es-ES"/>
        </w:rPr>
        <w:t xml:space="preserve">Tribunal </w:t>
      </w:r>
      <w:r>
        <w:rPr>
          <w:rFonts w:ascii="Verdana" w:hAnsi="Verdana" w:cs="Verdana"/>
          <w:i/>
          <w:iCs/>
          <w:sz w:val="21"/>
          <w:szCs w:val="21"/>
          <w:lang w:val="es-ES" w:eastAsia="es-ES"/>
        </w:rPr>
        <w:t>no tendrán más recursos y darán por agotada la vía administrativa." ( el resaltado es nuestro)</w:t>
      </w:r>
    </w:p>
    <w:p w:rsidR="00A551A2" w:rsidRDefault="00DB1B10">
      <w:pPr>
        <w:kinsoku w:val="0"/>
        <w:overflowPunct w:val="0"/>
        <w:autoSpaceDE/>
        <w:autoSpaceDN/>
        <w:adjustRightInd/>
        <w:spacing w:before="544" w:line="277" w:lineRule="exact"/>
        <w:ind w:left="72"/>
        <w:jc w:val="both"/>
        <w:textAlignment w:val="baseline"/>
        <w:rPr>
          <w:rFonts w:ascii="Verdana" w:hAnsi="Verdana" w:cs="Verdana"/>
          <w:spacing w:val="8"/>
          <w:sz w:val="21"/>
          <w:szCs w:val="21"/>
          <w:lang w:val="es-ES" w:eastAsia="es-ES"/>
        </w:rPr>
      </w:pPr>
      <w:r>
        <w:rPr>
          <w:rFonts w:ascii="Verdana" w:hAnsi="Verdana" w:cs="Verdana"/>
          <w:spacing w:val="8"/>
          <w:sz w:val="21"/>
          <w:szCs w:val="21"/>
          <w:lang w:val="es-ES" w:eastAsia="es-ES"/>
        </w:rPr>
        <w:t xml:space="preserve">Como se puede verificar de la norma transcrita el órgano de alzada, tiene la competencia para conocer de los recursos de apelación que se presenten contra los actos del Consejo de Transporte Público, sin embargo, al revisar el escrito presentado por el señor </w:t>
      </w:r>
      <w:r>
        <w:rPr>
          <w:rFonts w:ascii="Verdana" w:hAnsi="Verdana" w:cs="Verdana"/>
          <w:b/>
          <w:bCs/>
          <w:spacing w:val="8"/>
          <w:sz w:val="21"/>
          <w:szCs w:val="21"/>
          <w:lang w:val="es-ES" w:eastAsia="es-ES"/>
        </w:rPr>
        <w:t>W</w:t>
      </w:r>
      <w:r w:rsidR="00A538D1">
        <w:rPr>
          <w:rFonts w:ascii="Verdana" w:hAnsi="Verdana" w:cs="Verdana"/>
          <w:b/>
          <w:bCs/>
          <w:spacing w:val="8"/>
          <w:sz w:val="21"/>
          <w:szCs w:val="21"/>
          <w:lang w:val="es-ES" w:eastAsia="es-ES"/>
        </w:rPr>
        <w:t>.A.C.</w:t>
      </w:r>
      <w:r>
        <w:rPr>
          <w:rFonts w:ascii="Verdana" w:hAnsi="Verdana" w:cs="Verdana"/>
          <w:b/>
          <w:bCs/>
          <w:spacing w:val="8"/>
          <w:sz w:val="21"/>
          <w:szCs w:val="21"/>
          <w:lang w:val="es-ES" w:eastAsia="es-ES"/>
        </w:rPr>
        <w:t xml:space="preserve">, </w:t>
      </w:r>
      <w:r>
        <w:rPr>
          <w:rFonts w:ascii="Verdana" w:hAnsi="Verdana" w:cs="Verdana"/>
          <w:spacing w:val="8"/>
          <w:sz w:val="21"/>
          <w:szCs w:val="21"/>
          <w:lang w:val="es-ES" w:eastAsia="es-ES"/>
        </w:rPr>
        <w:t xml:space="preserve">se constata que lo que impugna es el </w:t>
      </w:r>
      <w:r>
        <w:rPr>
          <w:rFonts w:ascii="Verdana" w:hAnsi="Verdana" w:cs="Verdana"/>
          <w:b/>
          <w:bCs/>
          <w:spacing w:val="8"/>
          <w:sz w:val="21"/>
          <w:szCs w:val="21"/>
          <w:lang w:val="es-ES" w:eastAsia="es-ES"/>
        </w:rPr>
        <w:t xml:space="preserve">Artículo 33 de Ley 7969 y el Artículo 8 del Decreto Ejecutivo N°- 35985-MOPT, </w:t>
      </w:r>
      <w:r>
        <w:rPr>
          <w:rFonts w:ascii="Verdana" w:hAnsi="Verdana" w:cs="Verdana"/>
          <w:spacing w:val="8"/>
          <w:sz w:val="21"/>
          <w:szCs w:val="21"/>
          <w:lang w:val="es-ES" w:eastAsia="es-ES"/>
        </w:rPr>
        <w:t>por lo que es clara la incompetencia de este Tribunal Administrativo para conocer de dichas impugnaciones.</w:t>
      </w:r>
    </w:p>
    <w:p w:rsidR="00A551A2" w:rsidRDefault="00DB1B10">
      <w:pPr>
        <w:kinsoku w:val="0"/>
        <w:overflowPunct w:val="0"/>
        <w:autoSpaceDE/>
        <w:autoSpaceDN/>
        <w:adjustRightInd/>
        <w:spacing w:before="545" w:line="277" w:lineRule="exact"/>
        <w:ind w:left="72"/>
        <w:jc w:val="both"/>
        <w:textAlignment w:val="baseline"/>
        <w:rPr>
          <w:rFonts w:ascii="Verdana" w:hAnsi="Verdana" w:cs="Verdana"/>
          <w:spacing w:val="9"/>
          <w:sz w:val="21"/>
          <w:szCs w:val="21"/>
          <w:lang w:val="es-ES" w:eastAsia="es-ES"/>
        </w:rPr>
      </w:pPr>
      <w:r>
        <w:rPr>
          <w:rFonts w:ascii="Verdana" w:hAnsi="Verdana" w:cs="Verdana"/>
          <w:spacing w:val="9"/>
          <w:sz w:val="21"/>
          <w:szCs w:val="21"/>
          <w:lang w:val="es-ES" w:eastAsia="es-ES"/>
        </w:rPr>
        <w:t>El Tribunal Administrativo no cuenta con la competencia para conocer de impugnaciones contra Reglamentos Ejecutivos y mucho menos contra Leyes de la República, debiendo para ello acudir el interesado a las vías pertinentes como sería jurisdicción Contencioso Administrativa y la sede Constitucional, en el Poder Judicial.</w:t>
      </w:r>
    </w:p>
    <w:p w:rsidR="00A551A2" w:rsidRDefault="00DB1B10">
      <w:pPr>
        <w:kinsoku w:val="0"/>
        <w:overflowPunct w:val="0"/>
        <w:autoSpaceDE/>
        <w:autoSpaceDN/>
        <w:adjustRightInd/>
        <w:spacing w:before="508" w:after="458" w:line="284" w:lineRule="exact"/>
        <w:ind w:left="72"/>
        <w:jc w:val="both"/>
        <w:textAlignment w:val="baseline"/>
        <w:rPr>
          <w:rFonts w:ascii="Verdana" w:hAnsi="Verdana" w:cs="Verdana"/>
          <w:b/>
          <w:bCs/>
          <w:sz w:val="21"/>
          <w:szCs w:val="21"/>
          <w:lang w:val="es-ES" w:eastAsia="es-ES"/>
        </w:rPr>
      </w:pPr>
      <w:r>
        <w:rPr>
          <w:rFonts w:ascii="Verdana" w:hAnsi="Verdana" w:cs="Verdana"/>
          <w:sz w:val="21"/>
          <w:szCs w:val="21"/>
          <w:lang w:val="es-ES" w:eastAsia="es-ES"/>
        </w:rPr>
        <w:t xml:space="preserve">Por lo indicado supra lo procedente es rechazar por improcedente la gestión presentada de manera directa ante este órgano por parte del señor </w:t>
      </w:r>
      <w:r>
        <w:rPr>
          <w:rFonts w:ascii="Verdana" w:hAnsi="Verdana" w:cs="Verdana"/>
          <w:b/>
          <w:bCs/>
          <w:sz w:val="21"/>
          <w:szCs w:val="21"/>
          <w:lang w:val="es-ES" w:eastAsia="es-ES"/>
        </w:rPr>
        <w:t>W</w:t>
      </w:r>
      <w:r w:rsidR="00A538D1">
        <w:rPr>
          <w:rFonts w:ascii="Verdana" w:hAnsi="Verdana" w:cs="Verdana"/>
          <w:b/>
          <w:bCs/>
          <w:sz w:val="21"/>
          <w:szCs w:val="21"/>
          <w:lang w:val="es-ES" w:eastAsia="es-ES"/>
        </w:rPr>
        <w:t>.A.C.</w:t>
      </w:r>
    </w:p>
    <w:p w:rsidR="00A551A2" w:rsidRDefault="00A551A2">
      <w:pPr>
        <w:widowControl/>
        <w:rPr>
          <w:sz w:val="24"/>
          <w:szCs w:val="24"/>
        </w:rPr>
        <w:sectPr w:rsidR="00A551A2">
          <w:pgSz w:w="12134" w:h="15840"/>
          <w:pgMar w:top="1500" w:right="1941" w:bottom="224" w:left="2105" w:header="720" w:footer="720" w:gutter="0"/>
          <w:cols w:space="720"/>
          <w:noEndnote/>
        </w:sectPr>
      </w:pPr>
    </w:p>
    <w:p w:rsidR="00A551A2" w:rsidRDefault="00A551A2">
      <w:pPr>
        <w:widowControl/>
        <w:rPr>
          <w:sz w:val="24"/>
          <w:szCs w:val="24"/>
        </w:rPr>
        <w:sectPr w:rsidR="00A551A2">
          <w:type w:val="continuous"/>
          <w:pgSz w:w="12134" w:h="15840"/>
          <w:pgMar w:top="1500" w:right="2752" w:bottom="224" w:left="7522" w:header="720" w:footer="720" w:gutter="0"/>
          <w:cols w:space="720"/>
          <w:noEndnote/>
        </w:sectPr>
      </w:pPr>
    </w:p>
    <w:p w:rsidR="00A551A2" w:rsidRDefault="00DB1B10">
      <w:pPr>
        <w:kinsoku w:val="0"/>
        <w:overflowPunct w:val="0"/>
        <w:autoSpaceDE/>
        <w:autoSpaceDN/>
        <w:adjustRightInd/>
        <w:spacing w:before="24" w:after="257" w:line="260" w:lineRule="exact"/>
        <w:jc w:val="center"/>
        <w:textAlignment w:val="baseline"/>
        <w:rPr>
          <w:rFonts w:ascii="Tahoma" w:hAnsi="Tahoma" w:cs="Tahoma"/>
          <w:b/>
          <w:bCs/>
          <w:spacing w:val="14"/>
          <w:sz w:val="22"/>
          <w:szCs w:val="22"/>
          <w:lang w:val="es-ES" w:eastAsia="es-ES"/>
        </w:rPr>
      </w:pPr>
      <w:r>
        <w:rPr>
          <w:rFonts w:ascii="Tahoma" w:hAnsi="Tahoma" w:cs="Tahoma"/>
          <w:b/>
          <w:bCs/>
          <w:spacing w:val="14"/>
          <w:sz w:val="22"/>
          <w:szCs w:val="22"/>
          <w:lang w:val="es-ES" w:eastAsia="es-ES"/>
        </w:rPr>
        <w:lastRenderedPageBreak/>
        <w:t>POR TANTO</w:t>
      </w:r>
    </w:p>
    <w:p w:rsidR="00A551A2" w:rsidRDefault="00A551A2">
      <w:pPr>
        <w:widowControl/>
        <w:rPr>
          <w:sz w:val="24"/>
          <w:szCs w:val="24"/>
        </w:rPr>
        <w:sectPr w:rsidR="00A551A2">
          <w:pgSz w:w="12134" w:h="15840"/>
          <w:pgMar w:top="2900" w:right="5329" w:bottom="264" w:left="4945" w:header="720" w:footer="720" w:gutter="0"/>
          <w:cols w:space="720"/>
          <w:noEndnote/>
        </w:sectPr>
      </w:pPr>
    </w:p>
    <w:p w:rsidR="00A551A2" w:rsidRDefault="00DB1B10">
      <w:pPr>
        <w:numPr>
          <w:ilvl w:val="0"/>
          <w:numId w:val="3"/>
        </w:numPr>
        <w:kinsoku w:val="0"/>
        <w:overflowPunct w:val="0"/>
        <w:autoSpaceDE/>
        <w:autoSpaceDN/>
        <w:adjustRightInd/>
        <w:spacing w:before="12" w:line="275" w:lineRule="exact"/>
        <w:jc w:val="both"/>
        <w:textAlignment w:val="baseline"/>
        <w:rPr>
          <w:rFonts w:ascii="Tahoma" w:hAnsi="Tahoma" w:cs="Tahoma"/>
          <w:b/>
          <w:bCs/>
          <w:spacing w:val="17"/>
          <w:sz w:val="22"/>
          <w:szCs w:val="22"/>
          <w:lang w:val="es-ES" w:eastAsia="es-ES"/>
        </w:rPr>
      </w:pPr>
      <w:r>
        <w:rPr>
          <w:rFonts w:ascii="Tahoma" w:hAnsi="Tahoma" w:cs="Tahoma"/>
          <w:spacing w:val="17"/>
          <w:sz w:val="22"/>
          <w:szCs w:val="22"/>
          <w:lang w:val="es-ES" w:eastAsia="es-ES"/>
        </w:rPr>
        <w:t xml:space="preserve">Se Rechaza por improcedente </w:t>
      </w:r>
      <w:r>
        <w:rPr>
          <w:rFonts w:ascii="Tahoma" w:hAnsi="Tahoma" w:cs="Tahoma"/>
          <w:b/>
          <w:bCs/>
          <w:spacing w:val="17"/>
          <w:sz w:val="22"/>
          <w:szCs w:val="22"/>
          <w:lang w:val="es-ES" w:eastAsia="es-ES"/>
        </w:rPr>
        <w:t xml:space="preserve">La gestión presentada por </w:t>
      </w:r>
      <w:r>
        <w:rPr>
          <w:rFonts w:ascii="Tahoma" w:hAnsi="Tahoma" w:cs="Tahoma"/>
          <w:spacing w:val="17"/>
          <w:sz w:val="22"/>
          <w:szCs w:val="22"/>
          <w:lang w:val="es-ES" w:eastAsia="es-ES"/>
        </w:rPr>
        <w:t xml:space="preserve">el señor </w:t>
      </w:r>
      <w:r>
        <w:rPr>
          <w:rFonts w:ascii="Tahoma" w:hAnsi="Tahoma" w:cs="Tahoma"/>
          <w:b/>
          <w:bCs/>
          <w:spacing w:val="17"/>
          <w:sz w:val="22"/>
          <w:szCs w:val="22"/>
          <w:lang w:val="es-ES" w:eastAsia="es-ES"/>
        </w:rPr>
        <w:t>W</w:t>
      </w:r>
      <w:r w:rsidR="00A538D1">
        <w:rPr>
          <w:rFonts w:ascii="Tahoma" w:hAnsi="Tahoma" w:cs="Tahoma"/>
          <w:b/>
          <w:bCs/>
          <w:spacing w:val="17"/>
          <w:sz w:val="22"/>
          <w:szCs w:val="22"/>
          <w:lang w:val="es-ES" w:eastAsia="es-ES"/>
        </w:rPr>
        <w:t>.A.C.</w:t>
      </w:r>
      <w:r>
        <w:rPr>
          <w:rFonts w:ascii="Tahoma" w:hAnsi="Tahoma" w:cs="Tahoma"/>
          <w:b/>
          <w:bCs/>
          <w:spacing w:val="17"/>
          <w:sz w:val="22"/>
          <w:szCs w:val="22"/>
          <w:lang w:val="es-ES" w:eastAsia="es-ES"/>
        </w:rPr>
        <w:t xml:space="preserve">, </w:t>
      </w:r>
      <w:r>
        <w:rPr>
          <w:rFonts w:ascii="Tahoma" w:hAnsi="Tahoma" w:cs="Tahoma"/>
          <w:spacing w:val="17"/>
          <w:sz w:val="22"/>
          <w:szCs w:val="22"/>
          <w:lang w:val="es-ES" w:eastAsia="es-ES"/>
        </w:rPr>
        <w:t>cédula de identidad número 2-416</w:t>
      </w:r>
      <w:r>
        <w:rPr>
          <w:rFonts w:ascii="Tahoma" w:hAnsi="Tahoma" w:cs="Tahoma"/>
          <w:spacing w:val="17"/>
          <w:sz w:val="22"/>
          <w:szCs w:val="22"/>
          <w:lang w:val="es-ES" w:eastAsia="es-ES"/>
        </w:rPr>
        <w:softHyphen/>
        <w:t xml:space="preserve">267, en contra del </w:t>
      </w:r>
      <w:r>
        <w:rPr>
          <w:rFonts w:ascii="Tahoma" w:hAnsi="Tahoma" w:cs="Tahoma"/>
          <w:b/>
          <w:bCs/>
          <w:spacing w:val="17"/>
          <w:sz w:val="22"/>
          <w:szCs w:val="22"/>
          <w:lang w:val="es-ES" w:eastAsia="es-ES"/>
        </w:rPr>
        <w:t>Artículo 33 de Ley 7969 y el Artículo 8 del Decreto Ejecutivo N°- 35985-MOPT.</w:t>
      </w:r>
    </w:p>
    <w:p w:rsidR="00A538D1" w:rsidRPr="00A538D1" w:rsidRDefault="00DB1B10" w:rsidP="00A538D1">
      <w:pPr>
        <w:numPr>
          <w:ilvl w:val="0"/>
          <w:numId w:val="4"/>
        </w:numPr>
        <w:kinsoku w:val="0"/>
        <w:overflowPunct w:val="0"/>
        <w:autoSpaceDE/>
        <w:autoSpaceDN/>
        <w:adjustRightInd/>
        <w:spacing w:before="292" w:after="882" w:line="270" w:lineRule="exact"/>
        <w:jc w:val="both"/>
        <w:textAlignment w:val="baseline"/>
        <w:rPr>
          <w:sz w:val="24"/>
          <w:szCs w:val="24"/>
        </w:rPr>
      </w:pPr>
      <w:r>
        <w:rPr>
          <w:rFonts w:ascii="Tahoma" w:hAnsi="Tahoma" w:cs="Tahoma"/>
          <w:b/>
          <w:bCs/>
          <w:spacing w:val="15"/>
          <w:sz w:val="22"/>
          <w:szCs w:val="22"/>
          <w:lang w:val="es-ES" w:eastAsia="es-ES"/>
        </w:rPr>
        <w:t>NOTIFIQUESE.</w:t>
      </w:r>
    </w:p>
    <w:p w:rsidR="00A538D1" w:rsidRPr="00AE0D42" w:rsidRDefault="00A538D1" w:rsidP="00A538D1">
      <w:pPr>
        <w:kinsoku w:val="0"/>
        <w:overflowPunct w:val="0"/>
        <w:autoSpaceDE/>
        <w:autoSpaceDN/>
        <w:adjustRightInd/>
        <w:spacing w:before="100" w:beforeAutospacing="1"/>
        <w:ind w:left="72" w:right="72"/>
        <w:jc w:val="center"/>
        <w:textAlignment w:val="baseline"/>
        <w:rPr>
          <w:rStyle w:val="CharacterStyle1"/>
          <w:b/>
          <w:bCs/>
          <w:sz w:val="24"/>
          <w:szCs w:val="24"/>
          <w:lang w:val="es-ES" w:eastAsia="es-ES"/>
        </w:rPr>
      </w:pPr>
      <w:r w:rsidRPr="00AE0D42">
        <w:rPr>
          <w:rStyle w:val="CharacterStyle1"/>
          <w:iCs/>
          <w:spacing w:val="5"/>
          <w:sz w:val="26"/>
          <w:szCs w:val="26"/>
        </w:rPr>
        <w:t>Lic. Carlos Miguel Portuguez Méndez</w:t>
      </w:r>
    </w:p>
    <w:p w:rsidR="00A538D1" w:rsidRDefault="00A538D1" w:rsidP="00A538D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Presidente</w:t>
      </w:r>
    </w:p>
    <w:p w:rsidR="00A538D1" w:rsidRDefault="00A538D1" w:rsidP="00A538D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538D1" w:rsidRDefault="00A538D1" w:rsidP="00A538D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538D1" w:rsidRPr="00AE0D42" w:rsidRDefault="00A538D1" w:rsidP="00A538D1">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538D1" w:rsidRDefault="00A538D1" w:rsidP="00A538D1">
      <w:pPr>
        <w:kinsoku w:val="0"/>
        <w:overflowPunct w:val="0"/>
        <w:autoSpaceDE/>
        <w:autoSpaceDN/>
        <w:adjustRightInd/>
        <w:ind w:left="72" w:right="144"/>
        <w:jc w:val="center"/>
        <w:textAlignment w:val="baseline"/>
        <w:rPr>
          <w:rStyle w:val="CharacterStyle1"/>
          <w:iCs/>
          <w:spacing w:val="5"/>
          <w:sz w:val="26"/>
          <w:szCs w:val="26"/>
        </w:rPr>
      </w:pPr>
      <w:proofErr w:type="spellStart"/>
      <w:r w:rsidRPr="00AE0D42">
        <w:rPr>
          <w:rStyle w:val="CharacterStyle1"/>
          <w:iCs/>
          <w:spacing w:val="5"/>
          <w:sz w:val="26"/>
          <w:szCs w:val="26"/>
        </w:rPr>
        <w:t>Licda</w:t>
      </w:r>
      <w:proofErr w:type="spellEnd"/>
      <w:r w:rsidRPr="00AE0D42">
        <w:rPr>
          <w:rStyle w:val="CharacterStyle1"/>
          <w:iCs/>
          <w:spacing w:val="5"/>
          <w:sz w:val="26"/>
          <w:szCs w:val="26"/>
        </w:rPr>
        <w:t xml:space="preserve">. Marta Luz Pérez </w:t>
      </w:r>
      <w:proofErr w:type="spellStart"/>
      <w:r w:rsidRPr="00AE0D42">
        <w:rPr>
          <w:rStyle w:val="CharacterStyle1"/>
          <w:iCs/>
          <w:spacing w:val="5"/>
          <w:sz w:val="26"/>
          <w:szCs w:val="26"/>
        </w:rPr>
        <w:t>Peláez</w:t>
      </w:r>
      <w:proofErr w:type="spellEnd"/>
      <w:r w:rsidRPr="00AE0D42">
        <w:rPr>
          <w:rStyle w:val="CharacterStyle1"/>
          <w:iCs/>
          <w:spacing w:val="5"/>
          <w:sz w:val="26"/>
          <w:szCs w:val="26"/>
        </w:rPr>
        <w:t xml:space="preserve">            </w:t>
      </w:r>
      <w:proofErr w:type="spellStart"/>
      <w:r w:rsidRPr="00AE0D42">
        <w:rPr>
          <w:rStyle w:val="CharacterStyle1"/>
          <w:iCs/>
          <w:spacing w:val="5"/>
          <w:sz w:val="26"/>
          <w:szCs w:val="26"/>
        </w:rPr>
        <w:t>Lic</w:t>
      </w:r>
      <w:proofErr w:type="spellEnd"/>
      <w:r w:rsidRPr="00AE0D42">
        <w:rPr>
          <w:rStyle w:val="CharacterStyle1"/>
          <w:iCs/>
          <w:spacing w:val="5"/>
          <w:sz w:val="26"/>
          <w:szCs w:val="26"/>
        </w:rPr>
        <w:t>. Mario Quesada Aguirre</w:t>
      </w:r>
    </w:p>
    <w:p w:rsidR="00A538D1" w:rsidRDefault="00A538D1" w:rsidP="00A538D1">
      <w:pPr>
        <w:kinsoku w:val="0"/>
        <w:overflowPunct w:val="0"/>
        <w:autoSpaceDE/>
        <w:autoSpaceDN/>
        <w:adjustRightInd/>
        <w:ind w:left="72" w:right="144"/>
        <w:jc w:val="center"/>
        <w:textAlignment w:val="baseline"/>
        <w:rPr>
          <w:rStyle w:val="CharacterStyle1"/>
          <w:b/>
          <w:iCs/>
          <w:spacing w:val="5"/>
          <w:sz w:val="26"/>
          <w:szCs w:val="26"/>
        </w:rPr>
      </w:pPr>
      <w:proofErr w:type="spellStart"/>
      <w:r w:rsidRPr="00AE0D42">
        <w:rPr>
          <w:rStyle w:val="CharacterStyle1"/>
          <w:b/>
          <w:iCs/>
          <w:spacing w:val="5"/>
          <w:sz w:val="26"/>
          <w:szCs w:val="26"/>
        </w:rPr>
        <w:t>J</w:t>
      </w:r>
      <w:r>
        <w:rPr>
          <w:rStyle w:val="CharacterStyle1"/>
          <w:b/>
          <w:iCs/>
          <w:spacing w:val="5"/>
          <w:sz w:val="26"/>
          <w:szCs w:val="26"/>
        </w:rPr>
        <w:t>uez</w:t>
      </w:r>
      <w:proofErr w:type="spellEnd"/>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proofErr w:type="spellStart"/>
      <w:r w:rsidRPr="00AE0D42">
        <w:rPr>
          <w:rStyle w:val="CharacterStyle1"/>
          <w:b/>
          <w:iCs/>
          <w:spacing w:val="5"/>
          <w:sz w:val="26"/>
          <w:szCs w:val="26"/>
        </w:rPr>
        <w:t>J</w:t>
      </w:r>
      <w:r>
        <w:rPr>
          <w:rStyle w:val="CharacterStyle1"/>
          <w:b/>
          <w:iCs/>
          <w:spacing w:val="5"/>
          <w:sz w:val="26"/>
          <w:szCs w:val="26"/>
        </w:rPr>
        <w:t>uez</w:t>
      </w:r>
      <w:proofErr w:type="spellEnd"/>
    </w:p>
    <w:p w:rsidR="00A551A2" w:rsidRDefault="00A538D1" w:rsidP="00A538D1">
      <w:pPr>
        <w:kinsoku w:val="0"/>
        <w:overflowPunct w:val="0"/>
        <w:autoSpaceDE/>
        <w:autoSpaceDN/>
        <w:adjustRightInd/>
        <w:spacing w:before="292" w:after="882" w:line="270" w:lineRule="exact"/>
        <w:ind w:left="72"/>
        <w:jc w:val="both"/>
        <w:textAlignment w:val="baseline"/>
        <w:rPr>
          <w:sz w:val="24"/>
          <w:szCs w:val="24"/>
        </w:rPr>
        <w:sectPr w:rsidR="00A551A2">
          <w:type w:val="continuous"/>
          <w:pgSz w:w="12134" w:h="15840"/>
          <w:pgMar w:top="2900" w:right="1956" w:bottom="264" w:left="2088" w:header="720" w:footer="720" w:gutter="0"/>
          <w:cols w:space="720"/>
          <w:noEndnote/>
        </w:sectPr>
      </w:pPr>
      <w:r>
        <w:rPr>
          <w:sz w:val="24"/>
          <w:szCs w:val="24"/>
        </w:rPr>
        <w:t xml:space="preserve"> </w:t>
      </w:r>
    </w:p>
    <w:p w:rsidR="00DB1B10" w:rsidRDefault="00DB1B10">
      <w:pPr>
        <w:tabs>
          <w:tab w:val="right" w:pos="2664"/>
        </w:tabs>
        <w:kinsoku w:val="0"/>
        <w:overflowPunct w:val="0"/>
        <w:autoSpaceDE/>
        <w:autoSpaceDN/>
        <w:adjustRightInd/>
        <w:spacing w:line="241" w:lineRule="exact"/>
        <w:textAlignment w:val="baseline"/>
        <w:rPr>
          <w:rFonts w:ascii="Tahoma" w:hAnsi="Tahoma" w:cs="Tahoma"/>
          <w:sz w:val="22"/>
          <w:szCs w:val="22"/>
          <w:lang w:val="es-ES" w:eastAsia="es-ES"/>
        </w:rPr>
      </w:pPr>
      <w:r>
        <w:rPr>
          <w:sz w:val="17"/>
          <w:szCs w:val="17"/>
          <w:lang w:val="es-ES" w:eastAsia="es-ES"/>
        </w:rPr>
        <w:tab/>
      </w:r>
    </w:p>
    <w:sectPr w:rsidR="00DB1B10">
      <w:type w:val="continuous"/>
      <w:pgSz w:w="12134" w:h="15840"/>
      <w:pgMar w:top="2900" w:right="1956" w:bottom="264" w:left="749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20B6"/>
    <w:multiLevelType w:val="singleLevel"/>
    <w:tmpl w:val="0D778B44"/>
    <w:lvl w:ilvl="0">
      <w:start w:val="1"/>
      <w:numFmt w:val="upperRoman"/>
      <w:lvlText w:val="%1.-"/>
      <w:lvlJc w:val="left"/>
      <w:pPr>
        <w:tabs>
          <w:tab w:val="num" w:pos="648"/>
        </w:tabs>
        <w:ind w:left="72"/>
      </w:pPr>
      <w:rPr>
        <w:rFonts w:ascii="Tahoma" w:hAnsi="Tahoma" w:cs="Tahoma"/>
        <w:snapToGrid/>
        <w:spacing w:val="17"/>
        <w:sz w:val="22"/>
        <w:szCs w:val="22"/>
      </w:rPr>
    </w:lvl>
  </w:abstractNum>
  <w:abstractNum w:abstractNumId="1" w15:restartNumberingAfterBreak="0">
    <w:nsid w:val="0790AD16"/>
    <w:multiLevelType w:val="singleLevel"/>
    <w:tmpl w:val="1E262AD2"/>
    <w:lvl w:ilvl="0">
      <w:start w:val="1"/>
      <w:numFmt w:val="lowerLetter"/>
      <w:lvlText w:val="%1)"/>
      <w:lvlJc w:val="left"/>
      <w:pPr>
        <w:tabs>
          <w:tab w:val="num" w:pos="720"/>
        </w:tabs>
        <w:ind w:left="432"/>
      </w:pPr>
      <w:rPr>
        <w:rFonts w:ascii="Verdana" w:hAnsi="Verdana" w:cs="Verdana"/>
        <w:b/>
        <w:bCs/>
        <w:i/>
        <w:iCs/>
        <w:snapToGrid/>
        <w:sz w:val="21"/>
        <w:szCs w:val="21"/>
      </w:rPr>
    </w:lvl>
  </w:abstractNum>
  <w:num w:numId="1">
    <w:abstractNumId w:val="1"/>
  </w:num>
  <w:num w:numId="2">
    <w:abstractNumId w:val="1"/>
    <w:lvlOverride w:ilvl="0">
      <w:lvl w:ilvl="0">
        <w:numFmt w:val="lowerLetter"/>
        <w:lvlText w:val="%1)"/>
        <w:lvlJc w:val="left"/>
        <w:pPr>
          <w:tabs>
            <w:tab w:val="num" w:pos="720"/>
          </w:tabs>
          <w:ind w:left="432"/>
        </w:pPr>
        <w:rPr>
          <w:rFonts w:ascii="Verdana" w:hAnsi="Verdana" w:cs="Verdana"/>
          <w:i/>
          <w:iCs/>
          <w:snapToGrid/>
          <w:spacing w:val="8"/>
          <w:sz w:val="21"/>
          <w:szCs w:val="21"/>
        </w:rPr>
      </w:lvl>
    </w:lvlOverride>
  </w:num>
  <w:num w:numId="3">
    <w:abstractNumId w:val="0"/>
  </w:num>
  <w:num w:numId="4">
    <w:abstractNumId w:val="0"/>
    <w:lvlOverride w:ilvl="0">
      <w:lvl w:ilvl="0">
        <w:numFmt w:val="upperRoman"/>
        <w:lvlText w:val="%1.-"/>
        <w:lvlJc w:val="left"/>
        <w:pPr>
          <w:tabs>
            <w:tab w:val="num" w:pos="648"/>
          </w:tabs>
          <w:ind w:left="72"/>
        </w:pPr>
        <w:rPr>
          <w:rFonts w:ascii="Tahoma" w:hAnsi="Tahoma" w:cs="Tahoma"/>
          <w:b/>
          <w:bCs/>
          <w:snapToGrid/>
          <w:spacing w:val="15"/>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EE6"/>
    <w:rsid w:val="00450A3D"/>
    <w:rsid w:val="00A538D1"/>
    <w:rsid w:val="00A551A2"/>
    <w:rsid w:val="00DB1B10"/>
    <w:rsid w:val="00DC2EE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D59E472-4F62-4916-AB34-52FD75D4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538D1"/>
    <w:rPr>
      <w:lang w:val="es-CR"/>
    </w:rPr>
  </w:style>
  <w:style w:type="character" w:customStyle="1" w:styleId="CharacterStyle1">
    <w:name w:val="Character Style 1"/>
    <w:uiPriority w:val="99"/>
    <w:rsid w:val="00A538D1"/>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FBF42B-AABE-4D57-B0DB-BA0C8863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629</Words>
  <Characters>3464</Characters>
  <Application>Microsoft Office Word</Application>
  <DocSecurity>0</DocSecurity>
  <Lines>28</Lines>
  <Paragraphs>8</Paragraphs>
  <ScaleCrop>false</ScaleCrop>
  <Company/>
  <LinksUpToDate>false</LinksUpToDate>
  <CharactersWithSpaces>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Gerardo Vargas Arguello</cp:lastModifiedBy>
  <cp:revision>2</cp:revision>
  <dcterms:created xsi:type="dcterms:W3CDTF">2019-09-11T15:36:00Z</dcterms:created>
  <dcterms:modified xsi:type="dcterms:W3CDTF">2019-09-11T15:36:00Z</dcterms:modified>
</cp:coreProperties>
</file>