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4A1" w:rsidRDefault="008B3B57">
      <w:pPr>
        <w:kinsoku w:val="0"/>
        <w:overflowPunct w:val="0"/>
        <w:autoSpaceDE/>
        <w:autoSpaceDN/>
        <w:adjustRightInd/>
        <w:spacing w:line="264" w:lineRule="exact"/>
        <w:jc w:val="center"/>
        <w:textAlignment w:val="baseline"/>
        <w:rPr>
          <w:rFonts w:ascii="Verdana" w:hAnsi="Verdana" w:cs="Verdana"/>
          <w:b/>
          <w:bCs/>
          <w:spacing w:val="3"/>
          <w:sz w:val="22"/>
          <w:szCs w:val="22"/>
          <w:lang w:val="es-ES" w:eastAsia="es-ES"/>
        </w:rPr>
      </w:pPr>
      <w:bookmarkStart w:id="0" w:name="_GoBack"/>
      <w:bookmarkEnd w:id="0"/>
      <w:r>
        <w:rPr>
          <w:rFonts w:ascii="Verdana" w:hAnsi="Verdana" w:cs="Verdana"/>
          <w:b/>
          <w:bCs/>
          <w:spacing w:val="3"/>
          <w:sz w:val="22"/>
          <w:szCs w:val="22"/>
          <w:lang w:val="es-ES" w:eastAsia="es-ES"/>
        </w:rPr>
        <w:t>RESOLUCION No. TAT-2546-2015</w:t>
      </w:r>
    </w:p>
    <w:p w:rsidR="005934A1" w:rsidRDefault="008B3B57">
      <w:pPr>
        <w:kinsoku w:val="0"/>
        <w:overflowPunct w:val="0"/>
        <w:autoSpaceDE/>
        <w:autoSpaceDN/>
        <w:adjustRightInd/>
        <w:spacing w:before="572" w:line="277"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nueve horas quince minutos del treinta de abril de dos mil quince.</w:t>
      </w:r>
    </w:p>
    <w:p w:rsidR="005934A1" w:rsidRDefault="008B3B57">
      <w:pPr>
        <w:kinsoku w:val="0"/>
        <w:overflowPunct w:val="0"/>
        <w:autoSpaceDE/>
        <w:autoSpaceDN/>
        <w:adjustRightInd/>
        <w:spacing w:before="256" w:line="277" w:lineRule="exact"/>
        <w:ind w:right="576"/>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Recurso de Apelación, </w:t>
      </w:r>
      <w:r>
        <w:rPr>
          <w:rFonts w:ascii="Verdana" w:hAnsi="Verdana" w:cs="Verdana"/>
          <w:spacing w:val="4"/>
          <w:sz w:val="22"/>
          <w:szCs w:val="22"/>
          <w:lang w:val="es-ES" w:eastAsia="es-ES"/>
        </w:rPr>
        <w:t xml:space="preserve">presentado ante el Tribunal Administrativo de Transporte por el señor </w:t>
      </w:r>
      <w:r>
        <w:rPr>
          <w:rFonts w:ascii="Verdana" w:hAnsi="Verdana" w:cs="Verdana"/>
          <w:b/>
          <w:bCs/>
          <w:spacing w:val="4"/>
          <w:sz w:val="22"/>
          <w:szCs w:val="22"/>
          <w:lang w:val="es-ES" w:eastAsia="es-ES"/>
        </w:rPr>
        <w:t>M</w:t>
      </w:r>
      <w:r w:rsidR="00D56326">
        <w:rPr>
          <w:rFonts w:ascii="Verdana" w:hAnsi="Verdana" w:cs="Verdana"/>
          <w:b/>
          <w:bCs/>
          <w:spacing w:val="4"/>
          <w:sz w:val="22"/>
          <w:szCs w:val="22"/>
          <w:lang w:val="es-ES" w:eastAsia="es-ES"/>
        </w:rPr>
        <w:t>.E.R.R.</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cédula de identidad número </w:t>
      </w:r>
      <w:r w:rsidR="00D56326">
        <w:rPr>
          <w:rFonts w:ascii="Verdana" w:hAnsi="Verdana" w:cs="Verdana"/>
          <w:spacing w:val="4"/>
          <w:sz w:val="22"/>
          <w:szCs w:val="22"/>
          <w:lang w:val="es-ES" w:eastAsia="es-ES"/>
        </w:rPr>
        <w:t>…</w:t>
      </w:r>
      <w:r>
        <w:rPr>
          <w:rFonts w:ascii="Verdana" w:hAnsi="Verdana" w:cs="Verdana"/>
          <w:spacing w:val="4"/>
          <w:sz w:val="22"/>
          <w:szCs w:val="22"/>
          <w:lang w:val="es-ES" w:eastAsia="es-ES"/>
        </w:rPr>
        <w:t xml:space="preserve">, en contra del </w:t>
      </w:r>
      <w:r>
        <w:rPr>
          <w:rFonts w:ascii="Verdana" w:hAnsi="Verdana" w:cs="Verdana"/>
          <w:b/>
          <w:bCs/>
          <w:spacing w:val="4"/>
          <w:sz w:val="22"/>
          <w:szCs w:val="22"/>
          <w:lang w:val="es-ES" w:eastAsia="es-ES"/>
        </w:rPr>
        <w:t>Artículo 33 de Ley • 7969 y el Artículo 8 del Decreto Ejecutivo N°- 35985-MOPT. El caso se tramita en Expediente Administrativo N. TAT-119-15.</w:t>
      </w:r>
    </w:p>
    <w:p w:rsidR="005934A1" w:rsidRDefault="008B3B57">
      <w:pPr>
        <w:kinsoku w:val="0"/>
        <w:overflowPunct w:val="0"/>
        <w:autoSpaceDE/>
        <w:autoSpaceDN/>
        <w:adjustRightInd/>
        <w:spacing w:before="296" w:line="268"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5934A1" w:rsidRDefault="008B3B57">
      <w:pPr>
        <w:kinsoku w:val="0"/>
        <w:overflowPunct w:val="0"/>
        <w:autoSpaceDE/>
        <w:autoSpaceDN/>
        <w:adjustRightInd/>
        <w:spacing w:before="570" w:line="277" w:lineRule="exact"/>
        <w:ind w:right="576"/>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PRIMERO: </w:t>
      </w:r>
      <w:r>
        <w:rPr>
          <w:rFonts w:ascii="Verdana" w:hAnsi="Verdana" w:cs="Verdana"/>
          <w:spacing w:val="4"/>
          <w:sz w:val="22"/>
          <w:szCs w:val="22"/>
          <w:lang w:val="es-ES" w:eastAsia="es-ES"/>
        </w:rPr>
        <w:t xml:space="preserve">El señor </w:t>
      </w:r>
      <w:r>
        <w:rPr>
          <w:rFonts w:ascii="Verdana" w:hAnsi="Verdana" w:cs="Verdana"/>
          <w:b/>
          <w:bCs/>
          <w:spacing w:val="4"/>
          <w:sz w:val="22"/>
          <w:szCs w:val="22"/>
          <w:lang w:val="es-ES" w:eastAsia="es-ES"/>
        </w:rPr>
        <w:t>M</w:t>
      </w:r>
      <w:r w:rsidR="00D56326">
        <w:rPr>
          <w:rFonts w:ascii="Verdana" w:hAnsi="Verdana" w:cs="Verdana"/>
          <w:b/>
          <w:bCs/>
          <w:spacing w:val="4"/>
          <w:sz w:val="22"/>
          <w:szCs w:val="22"/>
          <w:lang w:val="es-ES" w:eastAsia="es-ES"/>
        </w:rPr>
        <w:t>.E.R.R.</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se apersona ante este Tribunal Administrativo de Transporte y manifiesta que para los efectos del artículo 75 de la Ley de la Jurisdicción Constitucional alega la Inconstitucionalidad del </w:t>
      </w:r>
      <w:r>
        <w:rPr>
          <w:rFonts w:ascii="Verdana" w:hAnsi="Verdana" w:cs="Verdana"/>
          <w:b/>
          <w:bCs/>
          <w:spacing w:val="4"/>
          <w:sz w:val="22"/>
          <w:szCs w:val="22"/>
          <w:lang w:val="es-ES" w:eastAsia="es-ES"/>
        </w:rPr>
        <w:t xml:space="preserve">Artículo 33 de Ley 7969 y el Artículo 8 del Decreto Ejecutivo N°-35985-MOPT. </w:t>
      </w:r>
      <w:r>
        <w:rPr>
          <w:rFonts w:ascii="Verdana" w:hAnsi="Verdana" w:cs="Verdana"/>
          <w:spacing w:val="4"/>
          <w:sz w:val="22"/>
          <w:szCs w:val="22"/>
          <w:lang w:val="es-ES" w:eastAsia="es-ES"/>
        </w:rPr>
        <w:t>El señor R</w:t>
      </w:r>
      <w:r w:rsidR="00D56326">
        <w:rPr>
          <w:rFonts w:ascii="Verdana" w:hAnsi="Verdana" w:cs="Verdana"/>
          <w:spacing w:val="4"/>
          <w:sz w:val="22"/>
          <w:szCs w:val="22"/>
          <w:lang w:val="es-ES" w:eastAsia="es-ES"/>
        </w:rPr>
        <w:t>.R.</w:t>
      </w:r>
      <w:r>
        <w:rPr>
          <w:rFonts w:ascii="Verdana" w:hAnsi="Verdana" w:cs="Verdana"/>
          <w:spacing w:val="4"/>
          <w:sz w:val="22"/>
          <w:szCs w:val="22"/>
          <w:lang w:val="es-ES" w:eastAsia="es-ES"/>
        </w:rPr>
        <w:t>, dedica el escrito de apersonamiento a hacer una serie de observaciones respecto de los procedimientos que se determinan en los cuerpos normativos indicados supra, y a referir a votos de la Sala Constitucional respecto de éstos. (Léanse folios 1 al 5 del expediente administrativo)</w:t>
      </w:r>
    </w:p>
    <w:p w:rsidR="005934A1" w:rsidRDefault="008B3B57">
      <w:pPr>
        <w:kinsoku w:val="0"/>
        <w:overflowPunct w:val="0"/>
        <w:autoSpaceDE/>
        <w:autoSpaceDN/>
        <w:adjustRightInd/>
        <w:spacing w:before="260" w:line="283"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En los procedimientos seguidos se han observado las prescripciones legales.</w:t>
      </w:r>
    </w:p>
    <w:p w:rsidR="005934A1" w:rsidRDefault="008B3B57">
      <w:pPr>
        <w:kinsoku w:val="0"/>
        <w:overflowPunct w:val="0"/>
        <w:autoSpaceDE/>
        <w:autoSpaceDN/>
        <w:adjustRightInd/>
        <w:spacing w:before="281" w:line="268" w:lineRule="exact"/>
        <w:textAlignment w:val="baseline"/>
        <w:rPr>
          <w:rFonts w:ascii="Verdana" w:hAnsi="Verdana" w:cs="Verdana"/>
          <w:b/>
          <w:bCs/>
          <w:spacing w:val="5"/>
          <w:sz w:val="22"/>
          <w:szCs w:val="22"/>
          <w:lang w:val="es-ES" w:eastAsia="es-ES"/>
        </w:rPr>
      </w:pPr>
      <w:r>
        <w:rPr>
          <w:rFonts w:ascii="Verdana" w:hAnsi="Verdana" w:cs="Verdana"/>
          <w:b/>
          <w:bCs/>
          <w:spacing w:val="5"/>
          <w:sz w:val="22"/>
          <w:szCs w:val="22"/>
          <w:lang w:val="es-ES" w:eastAsia="es-ES"/>
        </w:rPr>
        <w:t>Redacta la Jueza Pérez Peláez.</w:t>
      </w:r>
    </w:p>
    <w:p w:rsidR="005934A1" w:rsidRDefault="008B3B57">
      <w:pPr>
        <w:kinsoku w:val="0"/>
        <w:overflowPunct w:val="0"/>
        <w:autoSpaceDE/>
        <w:autoSpaceDN/>
        <w:adjustRightInd/>
        <w:spacing w:before="819" w:line="268"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 UNICO</w:t>
      </w:r>
    </w:p>
    <w:p w:rsidR="005934A1" w:rsidRDefault="008B3B57">
      <w:pPr>
        <w:kinsoku w:val="0"/>
        <w:overflowPunct w:val="0"/>
        <w:autoSpaceDE/>
        <w:autoSpaceDN/>
        <w:adjustRightInd/>
        <w:spacing w:before="278" w:after="873" w:line="277" w:lineRule="exact"/>
        <w:ind w:right="576"/>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Del escrito presentado ante este Tribunal por el señor </w:t>
      </w:r>
      <w:r>
        <w:rPr>
          <w:rFonts w:ascii="Verdana" w:hAnsi="Verdana" w:cs="Verdana"/>
          <w:b/>
          <w:bCs/>
          <w:sz w:val="22"/>
          <w:szCs w:val="22"/>
          <w:lang w:val="es-ES" w:eastAsia="es-ES"/>
        </w:rPr>
        <w:t>M</w:t>
      </w:r>
      <w:r w:rsidR="00D56326">
        <w:rPr>
          <w:rFonts w:ascii="Verdana" w:hAnsi="Verdana" w:cs="Verdana"/>
          <w:b/>
          <w:bCs/>
          <w:sz w:val="22"/>
          <w:szCs w:val="22"/>
          <w:lang w:val="es-ES" w:eastAsia="es-ES"/>
        </w:rPr>
        <w:t>.E.R.R.</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colige que en ningún momento impugna acuerdo alguno del Consejo de Transporte Público ya que manifiesta que para los efectos del artículo 75 de la Ley de la Jurisdicción Constitucional alega la Inconstitucionalidad del </w:t>
      </w:r>
      <w:r>
        <w:rPr>
          <w:rFonts w:ascii="Verdana" w:hAnsi="Verdana" w:cs="Verdana"/>
          <w:b/>
          <w:bCs/>
          <w:sz w:val="22"/>
          <w:szCs w:val="22"/>
          <w:lang w:val="es-ES" w:eastAsia="es-ES"/>
        </w:rPr>
        <w:t>Artículo 33 de Ley 7969 y el Artículo 8 del Decreto Ejecutivo N°- 35985-MOPT.</w:t>
      </w:r>
    </w:p>
    <w:p w:rsidR="005934A1" w:rsidRDefault="005934A1">
      <w:pPr>
        <w:widowControl/>
        <w:rPr>
          <w:sz w:val="24"/>
          <w:szCs w:val="24"/>
        </w:rPr>
        <w:sectPr w:rsidR="005934A1">
          <w:pgSz w:w="12134" w:h="15840"/>
          <w:pgMar w:top="780" w:right="1401" w:bottom="230" w:left="2093" w:header="720" w:footer="720" w:gutter="0"/>
          <w:cols w:space="720"/>
          <w:noEndnote/>
        </w:sectPr>
      </w:pPr>
    </w:p>
    <w:p w:rsidR="005934A1" w:rsidRDefault="008B3B57">
      <w:pPr>
        <w:tabs>
          <w:tab w:val="right" w:pos="2664"/>
        </w:tabs>
        <w:kinsoku w:val="0"/>
        <w:overflowPunct w:val="0"/>
        <w:autoSpaceDE/>
        <w:autoSpaceDN/>
        <w:adjustRightInd/>
        <w:spacing w:line="206" w:lineRule="exact"/>
        <w:textAlignment w:val="baseline"/>
        <w:rPr>
          <w:sz w:val="18"/>
          <w:szCs w:val="18"/>
          <w:lang w:val="es-ES" w:eastAsia="es-ES"/>
        </w:rPr>
      </w:pPr>
      <w:r>
        <w:rPr>
          <w:sz w:val="18"/>
          <w:szCs w:val="18"/>
          <w:lang w:val="es-ES" w:eastAsia="es-ES"/>
        </w:rPr>
        <w:tab/>
      </w:r>
    </w:p>
    <w:p w:rsidR="005934A1" w:rsidRDefault="005934A1">
      <w:pPr>
        <w:widowControl/>
        <w:rPr>
          <w:sz w:val="24"/>
          <w:szCs w:val="24"/>
        </w:rPr>
        <w:sectPr w:rsidR="005934A1">
          <w:type w:val="continuous"/>
          <w:pgSz w:w="12134" w:h="15840"/>
          <w:pgMar w:top="780" w:right="2048" w:bottom="230" w:left="7426" w:header="720" w:footer="720" w:gutter="0"/>
          <w:cols w:space="720"/>
          <w:noEndnote/>
        </w:sectPr>
      </w:pPr>
    </w:p>
    <w:p w:rsidR="005934A1" w:rsidRDefault="008B3B57">
      <w:pPr>
        <w:kinsoku w:val="0"/>
        <w:overflowPunct w:val="0"/>
        <w:autoSpaceDE/>
        <w:autoSpaceDN/>
        <w:adjustRightInd/>
        <w:spacing w:line="27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lastRenderedPageBreak/>
        <w:t>El señor R</w:t>
      </w:r>
      <w:r w:rsidR="00D56326">
        <w:rPr>
          <w:rFonts w:ascii="Verdana" w:hAnsi="Verdana" w:cs="Verdana"/>
          <w:spacing w:val="3"/>
          <w:sz w:val="22"/>
          <w:szCs w:val="22"/>
          <w:lang w:val="es-ES" w:eastAsia="es-ES"/>
        </w:rPr>
        <w:t>.R.</w:t>
      </w:r>
      <w:r>
        <w:rPr>
          <w:rFonts w:ascii="Verdana" w:hAnsi="Verdana" w:cs="Verdana"/>
          <w:spacing w:val="3"/>
          <w:sz w:val="22"/>
          <w:szCs w:val="22"/>
          <w:lang w:val="es-ES" w:eastAsia="es-ES"/>
        </w:rPr>
        <w:t>, dedica el escrito de apersonamiento a hacer una serie de observaciones respecto de los procedimientos que se determinan en los cuerpos normativos indicados supra, y a referirse a votos de la Sala Constitucional respecto de éstos, siendo más bien su gestión un mecanismo para tener un asunto previo como requisito para poder accionar en la vía de la jurisdicción constitucional mediante la acción de inconstitucionalidad de las normas referidas que el ejercicio de un recurso ordinario contra un acto del CTP.</w:t>
      </w:r>
    </w:p>
    <w:p w:rsidR="005934A1" w:rsidRDefault="008B3B57">
      <w:pPr>
        <w:kinsoku w:val="0"/>
        <w:overflowPunct w:val="0"/>
        <w:autoSpaceDE/>
        <w:autoSpaceDN/>
        <w:adjustRightInd/>
        <w:spacing w:before="265" w:line="277"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De conformidad con el numeral 22 de La Ley de Transporte Remunerado de Personas en Vehículos en la Modalidad de Taxi, N. 7969 del 22 de diciembre de 1999, el Tribunal es competente:</w:t>
      </w:r>
    </w:p>
    <w:p w:rsidR="005934A1" w:rsidRDefault="008B3B57">
      <w:pPr>
        <w:kinsoku w:val="0"/>
        <w:overflowPunct w:val="0"/>
        <w:autoSpaceDE/>
        <w:autoSpaceDN/>
        <w:adjustRightInd/>
        <w:spacing w:before="259" w:line="278" w:lineRule="exact"/>
        <w:ind w:left="432"/>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"ARTÍCULO 22.- Competencia del Tribunal</w:t>
      </w:r>
    </w:p>
    <w:p w:rsidR="005934A1" w:rsidRDefault="008B3B57">
      <w:pPr>
        <w:kinsoku w:val="0"/>
        <w:overflowPunct w:val="0"/>
        <w:autoSpaceDE/>
        <w:autoSpaceDN/>
        <w:adjustRightInd/>
        <w:spacing w:before="5" w:line="278" w:lineRule="exact"/>
        <w:ind w:left="432"/>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El Tribunal será competente para lo siguiente:</w:t>
      </w:r>
    </w:p>
    <w:p w:rsidR="005934A1" w:rsidRDefault="008B3B57">
      <w:pPr>
        <w:kinsoku w:val="0"/>
        <w:overflowPunct w:val="0"/>
        <w:autoSpaceDE/>
        <w:autoSpaceDN/>
        <w:adjustRightInd/>
        <w:spacing w:before="285" w:line="278" w:lineRule="exact"/>
        <w:ind w:left="43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a') Conocer y resolver, en sede administrativa, los recursos de apelación que se interpongan contra cualquier acto o resolución del Consejo.</w:t>
      </w:r>
    </w:p>
    <w:p w:rsidR="005934A1" w:rsidRDefault="008B3B57">
      <w:pPr>
        <w:numPr>
          <w:ilvl w:val="0"/>
          <w:numId w:val="1"/>
        </w:numPr>
        <w:kinsoku w:val="0"/>
        <w:overflowPunct w:val="0"/>
        <w:autoSpaceDE/>
        <w:autoSpaceDN/>
        <w:adjustRightInd/>
        <w:spacing w:line="275"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Establecer, en vía administrativa, las indemnizaciones que puedan originarse en relación con los daños producidos por violaciones de la legislación del transporte público.</w:t>
      </w:r>
    </w:p>
    <w:p w:rsidR="005934A1" w:rsidRDefault="008B3B57">
      <w:pPr>
        <w:numPr>
          <w:ilvl w:val="0"/>
          <w:numId w:val="2"/>
        </w:numPr>
        <w:kinsoku w:val="0"/>
        <w:overflowPunct w:val="0"/>
        <w:autoSpaceDE/>
        <w:autoSpaceDN/>
        <w:adjustRightInd/>
        <w:spacing w:before="1" w:line="278"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Las resoluciones del </w:t>
      </w:r>
      <w:r>
        <w:rPr>
          <w:rFonts w:ascii="Verdana" w:hAnsi="Verdana" w:cs="Verdana"/>
          <w:b/>
          <w:bCs/>
          <w:i/>
          <w:iCs/>
          <w:sz w:val="22"/>
          <w:szCs w:val="22"/>
          <w:lang w:val="es-ES" w:eastAsia="es-ES"/>
        </w:rPr>
        <w:t xml:space="preserve">Tribunal </w:t>
      </w:r>
      <w:r>
        <w:rPr>
          <w:rFonts w:ascii="Verdana" w:hAnsi="Verdana" w:cs="Verdana"/>
          <w:i/>
          <w:iCs/>
          <w:sz w:val="22"/>
          <w:szCs w:val="22"/>
          <w:lang w:val="es-ES" w:eastAsia="es-ES"/>
        </w:rPr>
        <w:t>no tendrán más recursos y darán por agotada la vía administrativa." ( el resaltado es nuestro)</w:t>
      </w:r>
    </w:p>
    <w:p w:rsidR="005934A1" w:rsidRDefault="008B3B57">
      <w:pPr>
        <w:kinsoku w:val="0"/>
        <w:overflowPunct w:val="0"/>
        <w:autoSpaceDE/>
        <w:autoSpaceDN/>
        <w:adjustRightInd/>
        <w:spacing w:before="539" w:line="28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puede verificar de lo dicho el órgano de alzada, tiene la competencia para conocer de los recursos de apelación que se le presenten contra los actos del Consejo de Transporte Público, sin embargo, al revisar el escrito presentado por el señor </w:t>
      </w:r>
      <w:r>
        <w:rPr>
          <w:rFonts w:ascii="Verdana" w:hAnsi="Verdana" w:cs="Verdana"/>
          <w:b/>
          <w:bCs/>
          <w:sz w:val="22"/>
          <w:szCs w:val="22"/>
          <w:lang w:val="es-ES" w:eastAsia="es-ES"/>
        </w:rPr>
        <w:t>M</w:t>
      </w:r>
      <w:r w:rsidR="00D56326">
        <w:rPr>
          <w:rFonts w:ascii="Verdana" w:hAnsi="Verdana" w:cs="Verdana"/>
          <w:b/>
          <w:bCs/>
          <w:sz w:val="22"/>
          <w:szCs w:val="22"/>
          <w:lang w:val="es-ES" w:eastAsia="es-ES"/>
        </w:rPr>
        <w:t>.E.R.R.</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se constata que lo que impugna es el </w:t>
      </w:r>
      <w:r>
        <w:rPr>
          <w:rFonts w:ascii="Verdana" w:hAnsi="Verdana" w:cs="Verdana"/>
          <w:b/>
          <w:bCs/>
          <w:sz w:val="22"/>
          <w:szCs w:val="22"/>
          <w:lang w:val="es-ES" w:eastAsia="es-ES"/>
        </w:rPr>
        <w:t xml:space="preserve">Artículo 33 de Ley 7969 y el Artículo 8 del Decreto Ejecutivo N°- 35985-MOPT, </w:t>
      </w:r>
      <w:r>
        <w:rPr>
          <w:rFonts w:ascii="Verdana" w:hAnsi="Verdana" w:cs="Verdana"/>
          <w:sz w:val="22"/>
          <w:szCs w:val="22"/>
          <w:lang w:val="es-ES" w:eastAsia="es-ES"/>
        </w:rPr>
        <w:t>por lo que es clara la incompetencia de este Tribunal Administrativo para conocer de dichas impugnaciones.</w:t>
      </w:r>
    </w:p>
    <w:p w:rsidR="005934A1" w:rsidRDefault="008B3B57" w:rsidP="00D56326">
      <w:pPr>
        <w:kinsoku w:val="0"/>
        <w:overflowPunct w:val="0"/>
        <w:autoSpaceDE/>
        <w:autoSpaceDN/>
        <w:adjustRightInd/>
        <w:spacing w:before="273" w:line="27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Administrativo no cuenta con la competencia para conocer de impugnaciones contra Reglamentos Ejecutivos y mucho menos contra Leyes de la República, debiendo para ello acudir el interesado</w:t>
      </w:r>
      <w:r w:rsidR="00D56326">
        <w:rPr>
          <w:rFonts w:ascii="Verdana" w:hAnsi="Verdana" w:cs="Verdana"/>
          <w:sz w:val="22"/>
          <w:szCs w:val="22"/>
          <w:lang w:val="es-ES" w:eastAsia="es-ES"/>
        </w:rPr>
        <w:t xml:space="preserve"> </w:t>
      </w:r>
      <w:r>
        <w:rPr>
          <w:rFonts w:ascii="Verdana" w:hAnsi="Verdana" w:cs="Verdana"/>
          <w:sz w:val="22"/>
          <w:szCs w:val="22"/>
          <w:lang w:val="es-ES" w:eastAsia="es-ES"/>
        </w:rPr>
        <w:t>a las vías pertinentes como sería la jurisdicción</w:t>
      </w:r>
      <w:r w:rsidR="00D56326">
        <w:rPr>
          <w:rFonts w:ascii="Verdana" w:hAnsi="Verdana" w:cs="Verdana"/>
          <w:sz w:val="22"/>
          <w:szCs w:val="22"/>
          <w:lang w:val="es-ES" w:eastAsia="es-ES"/>
        </w:rPr>
        <w:t xml:space="preserve"> </w:t>
      </w:r>
      <w:r>
        <w:rPr>
          <w:rFonts w:ascii="Verdana" w:hAnsi="Verdana" w:cs="Verdana"/>
          <w:sz w:val="22"/>
          <w:szCs w:val="22"/>
          <w:lang w:val="es-ES" w:eastAsia="es-ES"/>
        </w:rPr>
        <w:t>Contencioso</w:t>
      </w:r>
      <w:r>
        <w:rPr>
          <w:rFonts w:ascii="Verdana" w:hAnsi="Verdana" w:cs="Verdana"/>
          <w:sz w:val="22"/>
          <w:szCs w:val="22"/>
          <w:lang w:val="es-ES" w:eastAsia="es-ES"/>
        </w:rPr>
        <w:br/>
        <w:t>Administrativa y la sede Constitucional, en el Poder Judicial.</w:t>
      </w:r>
    </w:p>
    <w:p w:rsidR="005934A1" w:rsidRDefault="008B3B57">
      <w:pPr>
        <w:kinsoku w:val="0"/>
        <w:overflowPunct w:val="0"/>
        <w:autoSpaceDE/>
        <w:autoSpaceDN/>
        <w:adjustRightInd/>
        <w:spacing w:before="274" w:after="1548" w:line="279"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Por lo indicado supra lo procedente es rechazar por improcedente la gestión presentada de manera directa ante este órgano por parte del señor </w:t>
      </w:r>
      <w:r>
        <w:rPr>
          <w:rFonts w:ascii="Verdana" w:hAnsi="Verdana" w:cs="Verdana"/>
          <w:b/>
          <w:bCs/>
          <w:sz w:val="22"/>
          <w:szCs w:val="22"/>
          <w:lang w:val="es-ES" w:eastAsia="es-ES"/>
        </w:rPr>
        <w:t>M</w:t>
      </w:r>
      <w:r w:rsidR="00D56326">
        <w:rPr>
          <w:rFonts w:ascii="Verdana" w:hAnsi="Verdana" w:cs="Verdana"/>
          <w:b/>
          <w:bCs/>
          <w:sz w:val="22"/>
          <w:szCs w:val="22"/>
          <w:lang w:val="es-ES" w:eastAsia="es-ES"/>
        </w:rPr>
        <w:t>.E.R.R</w:t>
      </w:r>
      <w:r>
        <w:rPr>
          <w:rFonts w:ascii="Verdana" w:hAnsi="Verdana" w:cs="Verdana"/>
          <w:b/>
          <w:bCs/>
          <w:sz w:val="22"/>
          <w:szCs w:val="22"/>
          <w:lang w:val="es-ES" w:eastAsia="es-ES"/>
        </w:rPr>
        <w:t>.</w:t>
      </w:r>
    </w:p>
    <w:p w:rsidR="005934A1" w:rsidRDefault="005934A1">
      <w:pPr>
        <w:widowControl/>
        <w:rPr>
          <w:sz w:val="24"/>
          <w:szCs w:val="24"/>
        </w:rPr>
        <w:sectPr w:rsidR="005934A1">
          <w:pgSz w:w="12134" w:h="15840"/>
          <w:pgMar w:top="1340" w:right="1966" w:bottom="220" w:left="2088" w:header="720" w:footer="720" w:gutter="0"/>
          <w:cols w:space="720"/>
          <w:noEndnote/>
        </w:sectPr>
      </w:pPr>
    </w:p>
    <w:p w:rsidR="005934A1" w:rsidRDefault="008B3B57">
      <w:pPr>
        <w:tabs>
          <w:tab w:val="right" w:pos="2664"/>
        </w:tabs>
        <w:kinsoku w:val="0"/>
        <w:overflowPunct w:val="0"/>
        <w:autoSpaceDE/>
        <w:autoSpaceDN/>
        <w:adjustRightInd/>
        <w:spacing w:line="240" w:lineRule="exact"/>
        <w:textAlignment w:val="baseline"/>
        <w:rPr>
          <w:rFonts w:ascii="Verdana" w:hAnsi="Verdana" w:cs="Verdana"/>
          <w:b/>
          <w:bCs/>
          <w:sz w:val="22"/>
          <w:szCs w:val="22"/>
          <w:lang w:val="es-ES" w:eastAsia="es-ES"/>
        </w:rPr>
      </w:pPr>
      <w:r>
        <w:rPr>
          <w:sz w:val="19"/>
          <w:szCs w:val="19"/>
          <w:lang w:val="es-ES" w:eastAsia="es-ES"/>
        </w:rPr>
        <w:tab/>
      </w:r>
    </w:p>
    <w:p w:rsidR="005934A1" w:rsidRDefault="005934A1">
      <w:pPr>
        <w:widowControl/>
        <w:rPr>
          <w:sz w:val="24"/>
          <w:szCs w:val="24"/>
        </w:rPr>
        <w:sectPr w:rsidR="005934A1">
          <w:type w:val="continuous"/>
          <w:pgSz w:w="12134" w:h="15840"/>
          <w:pgMar w:top="1340" w:right="2004" w:bottom="220" w:left="7424" w:header="720" w:footer="720" w:gutter="0"/>
          <w:cols w:space="720"/>
          <w:noEndnote/>
        </w:sectPr>
      </w:pPr>
    </w:p>
    <w:p w:rsidR="005934A1" w:rsidRDefault="008B3B57">
      <w:pPr>
        <w:kinsoku w:val="0"/>
        <w:overflowPunct w:val="0"/>
        <w:autoSpaceDE/>
        <w:autoSpaceDN/>
        <w:adjustRightInd/>
        <w:spacing w:before="16" w:after="257" w:line="272" w:lineRule="exact"/>
        <w:jc w:val="center"/>
        <w:textAlignment w:val="baseline"/>
        <w:rPr>
          <w:rFonts w:ascii="Tahoma" w:hAnsi="Tahoma" w:cs="Tahoma"/>
          <w:b/>
          <w:bCs/>
          <w:spacing w:val="9"/>
          <w:sz w:val="23"/>
          <w:szCs w:val="23"/>
          <w:lang w:val="es-ES" w:eastAsia="es-ES"/>
        </w:rPr>
      </w:pPr>
      <w:r>
        <w:rPr>
          <w:rFonts w:ascii="Tahoma" w:hAnsi="Tahoma" w:cs="Tahoma"/>
          <w:b/>
          <w:bCs/>
          <w:spacing w:val="9"/>
          <w:sz w:val="23"/>
          <w:szCs w:val="23"/>
          <w:lang w:val="es-ES" w:eastAsia="es-ES"/>
        </w:rPr>
        <w:lastRenderedPageBreak/>
        <w:t>POR TANTO</w:t>
      </w:r>
    </w:p>
    <w:p w:rsidR="005934A1" w:rsidRDefault="005934A1">
      <w:pPr>
        <w:widowControl/>
        <w:rPr>
          <w:sz w:val="24"/>
          <w:szCs w:val="24"/>
        </w:rPr>
        <w:sectPr w:rsidR="005934A1">
          <w:pgSz w:w="12134" w:h="15840"/>
          <w:pgMar w:top="1600" w:right="4891" w:bottom="210" w:left="4537" w:header="720" w:footer="720" w:gutter="0"/>
          <w:cols w:space="720"/>
          <w:noEndnote/>
        </w:sectPr>
      </w:pPr>
    </w:p>
    <w:p w:rsidR="005934A1" w:rsidRDefault="008B3B57">
      <w:pPr>
        <w:numPr>
          <w:ilvl w:val="0"/>
          <w:numId w:val="3"/>
        </w:numPr>
        <w:kinsoku w:val="0"/>
        <w:overflowPunct w:val="0"/>
        <w:autoSpaceDE/>
        <w:autoSpaceDN/>
        <w:adjustRightInd/>
        <w:spacing w:before="21" w:line="279" w:lineRule="exact"/>
        <w:ind w:right="504"/>
        <w:jc w:val="both"/>
        <w:textAlignment w:val="baseline"/>
        <w:rPr>
          <w:rFonts w:ascii="Tahoma" w:hAnsi="Tahoma" w:cs="Tahoma"/>
          <w:b/>
          <w:bCs/>
          <w:spacing w:val="11"/>
          <w:sz w:val="23"/>
          <w:szCs w:val="23"/>
          <w:lang w:val="es-ES" w:eastAsia="es-ES"/>
        </w:rPr>
      </w:pPr>
      <w:r>
        <w:rPr>
          <w:rFonts w:ascii="Tahoma" w:hAnsi="Tahoma" w:cs="Tahoma"/>
          <w:spacing w:val="11"/>
          <w:sz w:val="23"/>
          <w:szCs w:val="23"/>
          <w:lang w:val="es-ES" w:eastAsia="es-ES"/>
        </w:rPr>
        <w:t xml:space="preserve">Se Rechaza por improcedente </w:t>
      </w:r>
      <w:r>
        <w:rPr>
          <w:rFonts w:ascii="Tahoma" w:hAnsi="Tahoma" w:cs="Tahoma"/>
          <w:b/>
          <w:bCs/>
          <w:spacing w:val="11"/>
          <w:sz w:val="23"/>
          <w:szCs w:val="23"/>
          <w:lang w:val="es-ES" w:eastAsia="es-ES"/>
        </w:rPr>
        <w:t xml:space="preserve">La gestión presentada por </w:t>
      </w:r>
      <w:r>
        <w:rPr>
          <w:rFonts w:ascii="Tahoma" w:hAnsi="Tahoma" w:cs="Tahoma"/>
          <w:spacing w:val="11"/>
          <w:sz w:val="23"/>
          <w:szCs w:val="23"/>
          <w:lang w:val="es-ES" w:eastAsia="es-ES"/>
        </w:rPr>
        <w:t xml:space="preserve">el señor </w:t>
      </w:r>
      <w:r>
        <w:rPr>
          <w:rFonts w:ascii="Tahoma" w:hAnsi="Tahoma" w:cs="Tahoma"/>
          <w:b/>
          <w:bCs/>
          <w:spacing w:val="11"/>
          <w:sz w:val="23"/>
          <w:szCs w:val="23"/>
          <w:lang w:val="es-ES" w:eastAsia="es-ES"/>
        </w:rPr>
        <w:t>M</w:t>
      </w:r>
      <w:r w:rsidR="00D56326">
        <w:rPr>
          <w:rFonts w:ascii="Tahoma" w:hAnsi="Tahoma" w:cs="Tahoma"/>
          <w:b/>
          <w:bCs/>
          <w:spacing w:val="11"/>
          <w:sz w:val="23"/>
          <w:szCs w:val="23"/>
          <w:lang w:val="es-ES" w:eastAsia="es-ES"/>
        </w:rPr>
        <w:t>.E.R.R.</w:t>
      </w:r>
      <w:r>
        <w:rPr>
          <w:rFonts w:ascii="Tahoma" w:hAnsi="Tahoma" w:cs="Tahoma"/>
          <w:b/>
          <w:bCs/>
          <w:spacing w:val="11"/>
          <w:sz w:val="23"/>
          <w:szCs w:val="23"/>
          <w:lang w:val="es-ES" w:eastAsia="es-ES"/>
        </w:rPr>
        <w:t xml:space="preserve">, </w:t>
      </w:r>
      <w:r>
        <w:rPr>
          <w:rFonts w:ascii="Tahoma" w:hAnsi="Tahoma" w:cs="Tahoma"/>
          <w:spacing w:val="11"/>
          <w:sz w:val="23"/>
          <w:szCs w:val="23"/>
          <w:lang w:val="es-ES" w:eastAsia="es-ES"/>
        </w:rPr>
        <w:t xml:space="preserve">cédula de identidad número </w:t>
      </w:r>
      <w:r w:rsidR="00D56326">
        <w:rPr>
          <w:rFonts w:ascii="Tahoma" w:hAnsi="Tahoma" w:cs="Tahoma"/>
          <w:spacing w:val="11"/>
          <w:sz w:val="23"/>
          <w:szCs w:val="23"/>
          <w:lang w:val="es-ES" w:eastAsia="es-ES"/>
        </w:rPr>
        <w:t>…</w:t>
      </w:r>
      <w:r>
        <w:rPr>
          <w:rFonts w:ascii="Tahoma" w:hAnsi="Tahoma" w:cs="Tahoma"/>
          <w:spacing w:val="11"/>
          <w:sz w:val="23"/>
          <w:szCs w:val="23"/>
          <w:lang w:val="es-ES" w:eastAsia="es-ES"/>
        </w:rPr>
        <w:t xml:space="preserve">, en contra del </w:t>
      </w:r>
      <w:r>
        <w:rPr>
          <w:rFonts w:ascii="Tahoma" w:hAnsi="Tahoma" w:cs="Tahoma"/>
          <w:b/>
          <w:bCs/>
          <w:spacing w:val="11"/>
          <w:sz w:val="23"/>
          <w:szCs w:val="23"/>
          <w:lang w:val="es-ES" w:eastAsia="es-ES"/>
        </w:rPr>
        <w:t>Artículo 33 de Ley 7969 y el Artículo 8 del Decreto Ejecutivo N°- 35985-MOPT.</w:t>
      </w:r>
    </w:p>
    <w:p w:rsidR="005934A1" w:rsidRDefault="008B3B57">
      <w:pPr>
        <w:numPr>
          <w:ilvl w:val="0"/>
          <w:numId w:val="4"/>
        </w:numPr>
        <w:kinsoku w:val="0"/>
        <w:overflowPunct w:val="0"/>
        <w:autoSpaceDE/>
        <w:autoSpaceDN/>
        <w:adjustRightInd/>
        <w:spacing w:before="277" w:after="148" w:line="275" w:lineRule="exact"/>
        <w:jc w:val="both"/>
        <w:textAlignment w:val="baseline"/>
        <w:rPr>
          <w:rFonts w:ascii="Tahoma" w:hAnsi="Tahoma" w:cs="Tahoma"/>
          <w:b/>
          <w:bCs/>
          <w:spacing w:val="11"/>
          <w:sz w:val="23"/>
          <w:szCs w:val="23"/>
          <w:lang w:val="es-ES" w:eastAsia="es-ES"/>
        </w:rPr>
      </w:pPr>
      <w:r>
        <w:rPr>
          <w:rFonts w:ascii="Tahoma" w:hAnsi="Tahoma" w:cs="Tahoma"/>
          <w:b/>
          <w:bCs/>
          <w:spacing w:val="11"/>
          <w:sz w:val="23"/>
          <w:szCs w:val="23"/>
          <w:lang w:val="es-ES" w:eastAsia="es-ES"/>
        </w:rPr>
        <w:t>NOTIFIQUESE.</w:t>
      </w:r>
    </w:p>
    <w:p w:rsidR="00D56326" w:rsidRDefault="00D56326" w:rsidP="00D56326">
      <w:pPr>
        <w:kinsoku w:val="0"/>
        <w:overflowPunct w:val="0"/>
        <w:autoSpaceDE/>
        <w:autoSpaceDN/>
        <w:adjustRightInd/>
        <w:spacing w:before="100" w:beforeAutospacing="1"/>
        <w:ind w:left="72" w:right="72"/>
        <w:jc w:val="center"/>
        <w:textAlignment w:val="baseline"/>
        <w:rPr>
          <w:rStyle w:val="CharacterStyle1"/>
          <w:iCs/>
          <w:spacing w:val="5"/>
          <w:sz w:val="26"/>
          <w:szCs w:val="26"/>
        </w:rPr>
      </w:pPr>
    </w:p>
    <w:p w:rsidR="00D56326" w:rsidRDefault="00D56326" w:rsidP="00D56326">
      <w:pPr>
        <w:kinsoku w:val="0"/>
        <w:overflowPunct w:val="0"/>
        <w:autoSpaceDE/>
        <w:autoSpaceDN/>
        <w:adjustRightInd/>
        <w:spacing w:before="100" w:beforeAutospacing="1"/>
        <w:ind w:left="72" w:right="72"/>
        <w:jc w:val="center"/>
        <w:textAlignment w:val="baseline"/>
        <w:rPr>
          <w:rStyle w:val="CharacterStyle1"/>
          <w:iCs/>
          <w:spacing w:val="5"/>
          <w:sz w:val="26"/>
          <w:szCs w:val="26"/>
        </w:rPr>
      </w:pPr>
    </w:p>
    <w:p w:rsidR="00D56326" w:rsidRDefault="00D56326" w:rsidP="00D56326">
      <w:pPr>
        <w:kinsoku w:val="0"/>
        <w:overflowPunct w:val="0"/>
        <w:autoSpaceDE/>
        <w:autoSpaceDN/>
        <w:adjustRightInd/>
        <w:spacing w:before="100" w:beforeAutospacing="1"/>
        <w:ind w:left="72" w:right="72"/>
        <w:jc w:val="center"/>
        <w:textAlignment w:val="baseline"/>
        <w:rPr>
          <w:rStyle w:val="CharacterStyle1"/>
          <w:iCs/>
          <w:spacing w:val="5"/>
          <w:sz w:val="26"/>
          <w:szCs w:val="26"/>
        </w:rPr>
      </w:pPr>
    </w:p>
    <w:p w:rsidR="00D56326" w:rsidRPr="00AE0D42" w:rsidRDefault="00D56326" w:rsidP="00D56326">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56326" w:rsidRDefault="00D56326" w:rsidP="00D5632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56326" w:rsidRDefault="00D56326" w:rsidP="00D5632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56326" w:rsidRDefault="00D56326" w:rsidP="00D5632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56326" w:rsidRPr="00AE0D42" w:rsidRDefault="00D56326" w:rsidP="00D5632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56326" w:rsidRDefault="00D56326" w:rsidP="00D56326">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D56326" w:rsidRDefault="00D56326" w:rsidP="00D56326">
      <w:pPr>
        <w:kinsoku w:val="0"/>
        <w:overflowPunct w:val="0"/>
        <w:autoSpaceDE/>
        <w:autoSpaceDN/>
        <w:adjustRightInd/>
        <w:ind w:left="72"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D56326" w:rsidRDefault="00D56326" w:rsidP="00D56326">
      <w:pPr>
        <w:kinsoku w:val="0"/>
        <w:overflowPunct w:val="0"/>
        <w:autoSpaceDE/>
        <w:autoSpaceDN/>
        <w:adjustRightInd/>
        <w:spacing w:before="277" w:after="148" w:line="275" w:lineRule="exact"/>
        <w:ind w:left="72"/>
        <w:jc w:val="both"/>
        <w:textAlignment w:val="baseline"/>
        <w:rPr>
          <w:rFonts w:ascii="Tahoma" w:hAnsi="Tahoma" w:cs="Tahoma"/>
          <w:b/>
          <w:bCs/>
          <w:spacing w:val="11"/>
          <w:sz w:val="23"/>
          <w:szCs w:val="23"/>
          <w:lang w:val="es-ES" w:eastAsia="es-ES"/>
        </w:rPr>
      </w:pPr>
    </w:p>
    <w:p w:rsidR="005934A1" w:rsidRDefault="005934A1">
      <w:pPr>
        <w:kinsoku w:val="0"/>
        <w:overflowPunct w:val="0"/>
        <w:autoSpaceDE/>
        <w:autoSpaceDN/>
        <w:adjustRightInd/>
        <w:ind w:left="3139" w:right="2645"/>
        <w:textAlignment w:val="baseline"/>
        <w:rPr>
          <w:sz w:val="24"/>
          <w:szCs w:val="24"/>
        </w:rPr>
      </w:pPr>
    </w:p>
    <w:p w:rsidR="005934A1" w:rsidRDefault="005934A1">
      <w:pPr>
        <w:widowControl/>
        <w:rPr>
          <w:sz w:val="24"/>
          <w:szCs w:val="24"/>
        </w:rPr>
        <w:sectPr w:rsidR="005934A1">
          <w:type w:val="continuous"/>
          <w:pgSz w:w="12134" w:h="15840"/>
          <w:pgMar w:top="1600" w:right="1420" w:bottom="210" w:left="2074" w:header="720" w:footer="720" w:gutter="0"/>
          <w:cols w:space="720"/>
          <w:noEndnote/>
        </w:sectPr>
      </w:pPr>
    </w:p>
    <w:p w:rsidR="008B3B57" w:rsidRDefault="008B3B57" w:rsidP="00D56326">
      <w:pPr>
        <w:tabs>
          <w:tab w:val="right" w:pos="2664"/>
        </w:tabs>
        <w:kinsoku w:val="0"/>
        <w:overflowPunct w:val="0"/>
        <w:autoSpaceDE/>
        <w:autoSpaceDN/>
        <w:adjustRightInd/>
        <w:spacing w:line="221" w:lineRule="exact"/>
        <w:textAlignment w:val="baseline"/>
        <w:rPr>
          <w:sz w:val="21"/>
          <w:szCs w:val="21"/>
          <w:lang w:val="es-ES" w:eastAsia="es-ES"/>
        </w:rPr>
      </w:pPr>
    </w:p>
    <w:sectPr w:rsidR="008B3B57">
      <w:type w:val="continuous"/>
      <w:pgSz w:w="12134" w:h="15840"/>
      <w:pgMar w:top="1600" w:right="1975" w:bottom="210" w:left="74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F9AE"/>
    <w:multiLevelType w:val="singleLevel"/>
    <w:tmpl w:val="2ECCE694"/>
    <w:lvl w:ilvl="0">
      <w:start w:val="1"/>
      <w:numFmt w:val="upperRoman"/>
      <w:lvlText w:val="%1.-"/>
      <w:lvlJc w:val="left"/>
      <w:pPr>
        <w:tabs>
          <w:tab w:val="num" w:pos="648"/>
        </w:tabs>
        <w:ind w:left="72"/>
      </w:pPr>
      <w:rPr>
        <w:rFonts w:ascii="Tahoma" w:hAnsi="Tahoma" w:cs="Tahoma"/>
        <w:snapToGrid/>
        <w:spacing w:val="11"/>
        <w:sz w:val="23"/>
        <w:szCs w:val="23"/>
      </w:rPr>
    </w:lvl>
  </w:abstractNum>
  <w:abstractNum w:abstractNumId="1" w15:restartNumberingAfterBreak="0">
    <w:nsid w:val="05C13723"/>
    <w:multiLevelType w:val="singleLevel"/>
    <w:tmpl w:val="0793B4E5"/>
    <w:lvl w:ilvl="0">
      <w:start w:val="2"/>
      <w:numFmt w:val="lowerLetter"/>
      <w:lvlText w:val="%1)"/>
      <w:lvlJc w:val="left"/>
      <w:pPr>
        <w:tabs>
          <w:tab w:val="num" w:pos="792"/>
        </w:tabs>
        <w:ind w:left="432"/>
      </w:pPr>
      <w:rPr>
        <w:rFonts w:ascii="Verdana" w:hAnsi="Verdana" w:cs="Verdana"/>
        <w:i/>
        <w:iCs/>
        <w:snapToGrid/>
        <w:sz w:val="22"/>
        <w:szCs w:val="22"/>
      </w:rPr>
    </w:lvl>
  </w:abstractNum>
  <w:num w:numId="1">
    <w:abstractNumId w:val="1"/>
  </w:num>
  <w:num w:numId="2">
    <w:abstractNumId w:val="1"/>
    <w:lvlOverride w:ilvl="0">
      <w:lvl w:ilvl="0">
        <w:numFmt w:val="lowerLetter"/>
        <w:lvlText w:val="%1)"/>
        <w:lvlJc w:val="left"/>
        <w:pPr>
          <w:tabs>
            <w:tab w:val="num" w:pos="720"/>
          </w:tabs>
          <w:ind w:left="432"/>
        </w:pPr>
        <w:rPr>
          <w:rFonts w:ascii="Verdana" w:hAnsi="Verdana" w:cs="Verdana"/>
          <w:i/>
          <w:iCs/>
          <w:snapToGrid/>
          <w:sz w:val="22"/>
          <w:szCs w:val="22"/>
        </w:rPr>
      </w:lvl>
    </w:lvlOverride>
  </w:num>
  <w:num w:numId="3">
    <w:abstractNumId w:val="0"/>
  </w:num>
  <w:num w:numId="4">
    <w:abstractNumId w:val="0"/>
    <w:lvlOverride w:ilvl="0">
      <w:lvl w:ilvl="0">
        <w:numFmt w:val="upperRoman"/>
        <w:lvlText w:val="%1.-"/>
        <w:lvlJc w:val="left"/>
        <w:pPr>
          <w:tabs>
            <w:tab w:val="num" w:pos="648"/>
          </w:tabs>
          <w:ind w:left="72"/>
        </w:pPr>
        <w:rPr>
          <w:rFonts w:ascii="Tahoma" w:hAnsi="Tahoma" w:cs="Tahoma"/>
          <w:b/>
          <w:bCs/>
          <w:snapToGrid/>
          <w:spacing w:val="11"/>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B6"/>
    <w:rsid w:val="005934A1"/>
    <w:rsid w:val="00776472"/>
    <w:rsid w:val="008B3B57"/>
    <w:rsid w:val="00D419BF"/>
    <w:rsid w:val="00D56326"/>
    <w:rsid w:val="00D705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56326"/>
    <w:rPr>
      <w:lang w:val="es-CR"/>
    </w:rPr>
  </w:style>
  <w:style w:type="character" w:customStyle="1" w:styleId="CharacterStyle1">
    <w:name w:val="Character Style 1"/>
    <w:uiPriority w:val="99"/>
    <w:rsid w:val="00D563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2019-09-11T15:36:00Z</dcterms:created>
  <dcterms:modified xsi:type="dcterms:W3CDTF">2019-09-11T15:36:00Z</dcterms:modified>
</cp:coreProperties>
</file>