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AA2" w:rsidRDefault="000D7DF2">
      <w:pPr>
        <w:kinsoku w:val="0"/>
        <w:overflowPunct w:val="0"/>
        <w:autoSpaceDE/>
        <w:autoSpaceDN/>
        <w:adjustRightInd/>
        <w:spacing w:line="263" w:lineRule="exact"/>
        <w:jc w:val="center"/>
        <w:textAlignment w:val="baseline"/>
        <w:rPr>
          <w:rFonts w:ascii="Verdana" w:hAnsi="Verdana" w:cs="Verdana"/>
          <w:b/>
          <w:bCs/>
          <w:spacing w:val="3"/>
          <w:sz w:val="22"/>
          <w:szCs w:val="22"/>
          <w:lang w:val="es-ES" w:eastAsia="es-ES"/>
        </w:rPr>
      </w:pPr>
      <w:bookmarkStart w:id="0" w:name="_GoBack"/>
      <w:bookmarkEnd w:id="0"/>
      <w:r>
        <w:rPr>
          <w:rFonts w:ascii="Verdana" w:hAnsi="Verdana" w:cs="Verdana"/>
          <w:b/>
          <w:bCs/>
          <w:spacing w:val="3"/>
          <w:sz w:val="22"/>
          <w:szCs w:val="22"/>
          <w:lang w:val="es-ES" w:eastAsia="es-ES"/>
        </w:rPr>
        <w:t>RESOLUCION No. TAT-2548-2015</w:t>
      </w:r>
    </w:p>
    <w:p w:rsidR="00D74AA2" w:rsidRDefault="000D7DF2">
      <w:pPr>
        <w:kinsoku w:val="0"/>
        <w:overflowPunct w:val="0"/>
        <w:autoSpaceDE/>
        <w:autoSpaceDN/>
        <w:adjustRightInd/>
        <w:spacing w:before="533" w:line="284"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TRIBUNAL ADMINISTRATIVO DE TRANSPORTE. </w:t>
      </w:r>
      <w:r>
        <w:rPr>
          <w:rFonts w:ascii="Verdana" w:hAnsi="Verdana" w:cs="Verdana"/>
          <w:sz w:val="22"/>
          <w:szCs w:val="22"/>
          <w:lang w:val="es-ES" w:eastAsia="es-ES"/>
        </w:rPr>
        <w:t>San José, a las nueve horas veinte minutos del treinta de abril de dos mil quince.</w:t>
      </w:r>
    </w:p>
    <w:p w:rsidR="00D74AA2" w:rsidRDefault="000D7DF2" w:rsidP="0016186C">
      <w:pPr>
        <w:kinsoku w:val="0"/>
        <w:overflowPunct w:val="0"/>
        <w:autoSpaceDE/>
        <w:autoSpaceDN/>
        <w:adjustRightInd/>
        <w:spacing w:before="289" w:line="278" w:lineRule="exact"/>
        <w:ind w:right="576"/>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Recurso de Apelación y Nulidad absoluta, </w:t>
      </w:r>
      <w:r>
        <w:rPr>
          <w:rFonts w:ascii="Verdana" w:hAnsi="Verdana" w:cs="Verdana"/>
          <w:sz w:val="22"/>
          <w:szCs w:val="22"/>
          <w:lang w:val="es-ES" w:eastAsia="es-ES"/>
        </w:rPr>
        <w:t xml:space="preserve">interpuesto por el señor </w:t>
      </w:r>
      <w:r>
        <w:rPr>
          <w:rFonts w:ascii="Verdana" w:hAnsi="Verdana" w:cs="Verdana"/>
          <w:b/>
          <w:bCs/>
          <w:sz w:val="22"/>
          <w:szCs w:val="22"/>
          <w:lang w:val="es-ES" w:eastAsia="es-ES"/>
        </w:rPr>
        <w:t>V</w:t>
      </w:r>
      <w:r w:rsidR="0016186C">
        <w:rPr>
          <w:rFonts w:ascii="Verdana" w:hAnsi="Verdana" w:cs="Verdana"/>
          <w:b/>
          <w:bCs/>
          <w:sz w:val="22"/>
          <w:szCs w:val="22"/>
          <w:lang w:val="es-ES" w:eastAsia="es-ES"/>
        </w:rPr>
        <w:t>.M.A.</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cédula de identidad número </w:t>
      </w:r>
      <w:r w:rsidR="0016186C">
        <w:rPr>
          <w:rFonts w:ascii="Verdana" w:hAnsi="Verdana" w:cs="Verdana"/>
          <w:sz w:val="22"/>
          <w:szCs w:val="22"/>
          <w:lang w:val="es-ES" w:eastAsia="es-ES"/>
        </w:rPr>
        <w:t>…</w:t>
      </w:r>
      <w:r>
        <w:rPr>
          <w:rFonts w:ascii="Verdana" w:hAnsi="Verdana" w:cs="Verdana"/>
          <w:sz w:val="22"/>
          <w:szCs w:val="22"/>
          <w:lang w:val="es-ES" w:eastAsia="es-ES"/>
        </w:rPr>
        <w:t xml:space="preserve">, contra </w:t>
      </w:r>
      <w:r>
        <w:rPr>
          <w:rFonts w:ascii="Verdana" w:hAnsi="Verdana" w:cs="Verdana"/>
          <w:b/>
          <w:bCs/>
          <w:sz w:val="22"/>
          <w:szCs w:val="22"/>
          <w:lang w:val="es-ES" w:eastAsia="es-ES"/>
        </w:rPr>
        <w:t xml:space="preserve">el Artículo 7.18 de la Sesión Ordinaria N. 15-2014 </w:t>
      </w:r>
      <w:r>
        <w:rPr>
          <w:rFonts w:ascii="Verdana" w:hAnsi="Verdana" w:cs="Verdana"/>
          <w:sz w:val="22"/>
          <w:szCs w:val="22"/>
          <w:lang w:val="es-ES" w:eastAsia="es-ES"/>
        </w:rPr>
        <w:t>de 26 de febrero de 2014, dictado por la JUNTA DIRECTIVA DEL CONSEJO DE</w:t>
      </w:r>
      <w:r w:rsidR="0016186C">
        <w:rPr>
          <w:rFonts w:ascii="Verdana" w:hAnsi="Verdana" w:cs="Verdana"/>
          <w:sz w:val="22"/>
          <w:szCs w:val="22"/>
          <w:lang w:val="es-ES" w:eastAsia="es-ES"/>
        </w:rPr>
        <w:t xml:space="preserve"> </w:t>
      </w:r>
      <w:r>
        <w:rPr>
          <w:rFonts w:ascii="Verdana" w:hAnsi="Verdana" w:cs="Verdana"/>
          <w:sz w:val="22"/>
          <w:szCs w:val="22"/>
          <w:lang w:val="es-ES" w:eastAsia="es-ES"/>
        </w:rPr>
        <w:t>TRANSPORTE PÚBLICO.</w:t>
      </w:r>
      <w:r>
        <w:rPr>
          <w:rFonts w:ascii="Verdana" w:hAnsi="Verdana" w:cs="Verdana"/>
          <w:sz w:val="22"/>
          <w:szCs w:val="22"/>
          <w:lang w:val="es-ES" w:eastAsia="es-ES"/>
        </w:rPr>
        <w:tab/>
      </w:r>
      <w:r>
        <w:rPr>
          <w:rFonts w:ascii="Verdana" w:hAnsi="Verdana" w:cs="Verdana"/>
          <w:b/>
          <w:bCs/>
          <w:sz w:val="22"/>
          <w:szCs w:val="22"/>
          <w:lang w:val="es-ES" w:eastAsia="es-ES"/>
        </w:rPr>
        <w:t>El caso se tramita en</w:t>
      </w:r>
      <w:r w:rsidR="0016186C">
        <w:rPr>
          <w:rFonts w:ascii="Verdana" w:hAnsi="Verdana" w:cs="Verdana"/>
          <w:b/>
          <w:bCs/>
          <w:sz w:val="22"/>
          <w:szCs w:val="22"/>
          <w:lang w:val="es-ES" w:eastAsia="es-ES"/>
        </w:rPr>
        <w:t xml:space="preserve"> </w:t>
      </w:r>
      <w:r>
        <w:rPr>
          <w:rFonts w:ascii="Verdana" w:hAnsi="Verdana" w:cs="Verdana"/>
          <w:b/>
          <w:bCs/>
          <w:sz w:val="22"/>
          <w:szCs w:val="22"/>
          <w:lang w:val="es-ES" w:eastAsia="es-ES"/>
        </w:rPr>
        <w:t>Expediente</w:t>
      </w:r>
      <w:r w:rsidR="0016186C">
        <w:rPr>
          <w:rFonts w:ascii="Verdana" w:hAnsi="Verdana" w:cs="Verdana"/>
          <w:b/>
          <w:bCs/>
          <w:sz w:val="22"/>
          <w:szCs w:val="22"/>
          <w:lang w:val="es-ES" w:eastAsia="es-ES"/>
        </w:rPr>
        <w:t xml:space="preserve"> </w:t>
      </w:r>
      <w:r>
        <w:rPr>
          <w:rFonts w:ascii="Verdana" w:hAnsi="Verdana" w:cs="Verdana"/>
          <w:b/>
          <w:bCs/>
          <w:sz w:val="22"/>
          <w:szCs w:val="22"/>
          <w:lang w:val="es-ES" w:eastAsia="es-ES"/>
        </w:rPr>
        <w:t>Administrativo N. TAT-161-15.</w:t>
      </w:r>
    </w:p>
    <w:p w:rsidR="00D74AA2" w:rsidRDefault="000D7DF2">
      <w:pPr>
        <w:kinsoku w:val="0"/>
        <w:overflowPunct w:val="0"/>
        <w:autoSpaceDE/>
        <w:autoSpaceDN/>
        <w:adjustRightInd/>
        <w:spacing w:before="558" w:line="267" w:lineRule="exact"/>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RESULTANDO</w:t>
      </w:r>
    </w:p>
    <w:p w:rsidR="00D74AA2" w:rsidRDefault="000D7DF2" w:rsidP="0016186C">
      <w:pPr>
        <w:kinsoku w:val="0"/>
        <w:overflowPunct w:val="0"/>
        <w:autoSpaceDE/>
        <w:autoSpaceDN/>
        <w:adjustRightInd/>
        <w:spacing w:before="568" w:line="274" w:lineRule="exact"/>
        <w:ind w:right="576"/>
        <w:jc w:val="both"/>
        <w:textAlignment w:val="baseline"/>
        <w:rPr>
          <w:rFonts w:ascii="Verdana" w:hAnsi="Verdana" w:cs="Verdana"/>
          <w:sz w:val="22"/>
          <w:szCs w:val="22"/>
          <w:lang w:val="es-ES" w:eastAsia="es-ES"/>
        </w:rPr>
      </w:pPr>
      <w:r>
        <w:rPr>
          <w:rFonts w:ascii="Verdana" w:hAnsi="Verdana" w:cs="Verdana"/>
          <w:b/>
          <w:bCs/>
          <w:spacing w:val="1"/>
          <w:sz w:val="22"/>
          <w:szCs w:val="22"/>
          <w:lang w:val="es-ES" w:eastAsia="es-ES"/>
        </w:rPr>
        <w:t xml:space="preserve">PRIMERO: </w:t>
      </w:r>
      <w:r>
        <w:rPr>
          <w:rFonts w:ascii="Verdana" w:hAnsi="Verdana" w:cs="Verdana"/>
          <w:spacing w:val="1"/>
          <w:sz w:val="22"/>
          <w:szCs w:val="22"/>
          <w:lang w:val="es-ES" w:eastAsia="es-ES"/>
        </w:rPr>
        <w:t xml:space="preserve">El señor </w:t>
      </w:r>
      <w:r>
        <w:rPr>
          <w:rFonts w:ascii="Verdana" w:hAnsi="Verdana" w:cs="Verdana"/>
          <w:b/>
          <w:bCs/>
          <w:spacing w:val="1"/>
          <w:sz w:val="22"/>
          <w:szCs w:val="22"/>
          <w:lang w:val="es-ES" w:eastAsia="es-ES"/>
        </w:rPr>
        <w:t>V</w:t>
      </w:r>
      <w:r w:rsidR="0016186C">
        <w:rPr>
          <w:rFonts w:ascii="Verdana" w:hAnsi="Verdana" w:cs="Verdana"/>
          <w:b/>
          <w:bCs/>
          <w:spacing w:val="1"/>
          <w:sz w:val="22"/>
          <w:szCs w:val="22"/>
          <w:lang w:val="es-ES" w:eastAsia="es-ES"/>
        </w:rPr>
        <w:t>.M.A.</w:t>
      </w:r>
      <w:r>
        <w:rPr>
          <w:rFonts w:ascii="Verdana" w:hAnsi="Verdana" w:cs="Verdana"/>
          <w:b/>
          <w:bCs/>
          <w:spacing w:val="1"/>
          <w:sz w:val="22"/>
          <w:szCs w:val="22"/>
          <w:lang w:val="es-ES" w:eastAsia="es-ES"/>
        </w:rPr>
        <w:t xml:space="preserve">, </w:t>
      </w:r>
      <w:r>
        <w:rPr>
          <w:rFonts w:ascii="Verdana" w:hAnsi="Verdana" w:cs="Verdana"/>
          <w:spacing w:val="1"/>
          <w:sz w:val="22"/>
          <w:szCs w:val="22"/>
          <w:lang w:val="es-ES" w:eastAsia="es-ES"/>
        </w:rPr>
        <w:t xml:space="preserve">cédula de identidad número </w:t>
      </w:r>
      <w:r w:rsidR="0016186C">
        <w:rPr>
          <w:rFonts w:ascii="Verdana" w:hAnsi="Verdana" w:cs="Verdana"/>
          <w:spacing w:val="1"/>
          <w:sz w:val="22"/>
          <w:szCs w:val="22"/>
          <w:lang w:val="es-ES" w:eastAsia="es-ES"/>
        </w:rPr>
        <w:t>…</w:t>
      </w:r>
      <w:r>
        <w:rPr>
          <w:rFonts w:ascii="Verdana" w:hAnsi="Verdana" w:cs="Verdana"/>
          <w:spacing w:val="1"/>
          <w:sz w:val="22"/>
          <w:szCs w:val="22"/>
          <w:lang w:val="es-ES" w:eastAsia="es-ES"/>
        </w:rPr>
        <w:t xml:space="preserve">, interpone el día 14 de marzo de 2014 </w:t>
      </w:r>
      <w:r>
        <w:rPr>
          <w:rFonts w:ascii="Verdana" w:hAnsi="Verdana" w:cs="Verdana"/>
          <w:b/>
          <w:bCs/>
          <w:spacing w:val="1"/>
          <w:sz w:val="22"/>
          <w:szCs w:val="22"/>
          <w:lang w:val="es-ES" w:eastAsia="es-ES"/>
        </w:rPr>
        <w:t xml:space="preserve">Recurso de Revocatoria con Apelación en subsidio y Nulidad concomitante </w:t>
      </w:r>
      <w:r>
        <w:rPr>
          <w:rFonts w:ascii="Verdana" w:hAnsi="Verdana" w:cs="Verdana"/>
          <w:spacing w:val="1"/>
          <w:sz w:val="22"/>
          <w:szCs w:val="22"/>
          <w:lang w:val="es-ES" w:eastAsia="es-ES"/>
        </w:rPr>
        <w:t xml:space="preserve">contra </w:t>
      </w:r>
      <w:r>
        <w:rPr>
          <w:rFonts w:ascii="Verdana" w:hAnsi="Verdana" w:cs="Verdana"/>
          <w:b/>
          <w:bCs/>
          <w:spacing w:val="1"/>
          <w:sz w:val="22"/>
          <w:szCs w:val="22"/>
          <w:lang w:val="es-ES" w:eastAsia="es-ES"/>
        </w:rPr>
        <w:t xml:space="preserve">el Artículo 7.18 de la Sesión Ordinaria N. 15-2014 </w:t>
      </w:r>
      <w:r>
        <w:rPr>
          <w:rFonts w:ascii="Verdana" w:hAnsi="Verdana" w:cs="Verdana"/>
          <w:spacing w:val="1"/>
          <w:sz w:val="22"/>
          <w:szCs w:val="22"/>
          <w:lang w:val="es-ES" w:eastAsia="es-ES"/>
        </w:rPr>
        <w:t>de 26 de febrero de 2014, dictado por la JUNTA DIRECTIVA DEL</w:t>
      </w:r>
      <w:r w:rsidR="0016186C">
        <w:rPr>
          <w:rFonts w:ascii="Verdana" w:hAnsi="Verdana" w:cs="Verdana"/>
          <w:spacing w:val="1"/>
          <w:sz w:val="22"/>
          <w:szCs w:val="22"/>
          <w:lang w:val="es-ES" w:eastAsia="es-ES"/>
        </w:rPr>
        <w:t xml:space="preserve"> </w:t>
      </w:r>
      <w:r>
        <w:rPr>
          <w:rFonts w:ascii="Verdana" w:hAnsi="Verdana" w:cs="Verdana"/>
          <w:sz w:val="22"/>
          <w:szCs w:val="22"/>
          <w:lang w:val="es-ES" w:eastAsia="es-ES"/>
        </w:rPr>
        <w:t>CONSEJO DE TRANSPORTE PÚBLICO. (Léanse fo</w:t>
      </w:r>
      <w:r w:rsidR="0016186C">
        <w:rPr>
          <w:rFonts w:ascii="Verdana" w:hAnsi="Verdana" w:cs="Verdana"/>
          <w:sz w:val="22"/>
          <w:szCs w:val="22"/>
          <w:lang w:val="es-ES" w:eastAsia="es-ES"/>
        </w:rPr>
        <w:t xml:space="preserve">lios del 7 y 13 </w:t>
      </w:r>
      <w:r>
        <w:rPr>
          <w:rFonts w:ascii="Verdana" w:hAnsi="Verdana" w:cs="Verdana"/>
          <w:sz w:val="22"/>
          <w:szCs w:val="22"/>
          <w:lang w:val="es-ES" w:eastAsia="es-ES"/>
        </w:rPr>
        <w:t>del</w:t>
      </w:r>
      <w:r w:rsidR="0016186C">
        <w:rPr>
          <w:rFonts w:ascii="Verdana" w:hAnsi="Verdana" w:cs="Verdana"/>
          <w:sz w:val="22"/>
          <w:szCs w:val="22"/>
          <w:lang w:val="es-ES" w:eastAsia="es-ES"/>
        </w:rPr>
        <w:t xml:space="preserve"> </w:t>
      </w:r>
      <w:r>
        <w:rPr>
          <w:rFonts w:ascii="Verdana" w:hAnsi="Verdana" w:cs="Verdana"/>
          <w:sz w:val="22"/>
          <w:szCs w:val="22"/>
          <w:lang w:val="es-ES" w:eastAsia="es-ES"/>
        </w:rPr>
        <w:t>expediente administrativo).</w:t>
      </w:r>
    </w:p>
    <w:p w:rsidR="00D74AA2" w:rsidRDefault="000D7DF2">
      <w:pPr>
        <w:kinsoku w:val="0"/>
        <w:overflowPunct w:val="0"/>
        <w:autoSpaceDE/>
        <w:autoSpaceDN/>
        <w:adjustRightInd/>
        <w:spacing w:before="290" w:line="276"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SEGUNDO: La Junta </w:t>
      </w:r>
      <w:r>
        <w:rPr>
          <w:rFonts w:ascii="Verdana" w:hAnsi="Verdana" w:cs="Verdana"/>
          <w:sz w:val="22"/>
          <w:szCs w:val="22"/>
          <w:lang w:val="es-ES" w:eastAsia="es-ES"/>
        </w:rPr>
        <w:t xml:space="preserve">Directiva del Consejo de Transporte Público, mediante </w:t>
      </w:r>
      <w:r>
        <w:rPr>
          <w:rFonts w:ascii="Verdana" w:hAnsi="Verdana" w:cs="Verdana"/>
          <w:b/>
          <w:bCs/>
          <w:sz w:val="22"/>
          <w:szCs w:val="22"/>
          <w:lang w:val="es-ES" w:eastAsia="es-ES"/>
        </w:rPr>
        <w:t xml:space="preserve">acuerdo 7.2.21 de la Sesión Ordinaria N. 59-2014 </w:t>
      </w:r>
      <w:r>
        <w:rPr>
          <w:rFonts w:ascii="Verdana" w:hAnsi="Verdana" w:cs="Verdana"/>
          <w:sz w:val="22"/>
          <w:szCs w:val="22"/>
          <w:lang w:val="es-ES" w:eastAsia="es-ES"/>
        </w:rPr>
        <w:t xml:space="preserve">de 15 de octubre de 2014, conoce y aprueba el informe jurídico de la Dirección de Asuntos Jurídicos DAJ-2014-001846 de fecha 9 de mayo de 2014 y rechaza el </w:t>
      </w:r>
      <w:r>
        <w:rPr>
          <w:rFonts w:ascii="Verdana" w:hAnsi="Verdana" w:cs="Verdana"/>
          <w:b/>
          <w:bCs/>
          <w:sz w:val="22"/>
          <w:szCs w:val="22"/>
          <w:lang w:val="es-ES" w:eastAsia="es-ES"/>
        </w:rPr>
        <w:t xml:space="preserve">Recurso de Revocatoria </w:t>
      </w:r>
      <w:r>
        <w:rPr>
          <w:rFonts w:ascii="Verdana" w:hAnsi="Verdana" w:cs="Verdana"/>
          <w:sz w:val="22"/>
          <w:szCs w:val="22"/>
          <w:lang w:val="es-ES" w:eastAsia="es-ES"/>
        </w:rPr>
        <w:t xml:space="preserve">presentado por </w:t>
      </w:r>
      <w:r>
        <w:rPr>
          <w:rFonts w:ascii="Verdana" w:hAnsi="Verdana" w:cs="Verdana"/>
          <w:b/>
          <w:bCs/>
          <w:sz w:val="22"/>
          <w:szCs w:val="22"/>
          <w:lang w:val="es-ES" w:eastAsia="es-ES"/>
        </w:rPr>
        <w:t>V</w:t>
      </w:r>
      <w:r w:rsidR="0016186C">
        <w:rPr>
          <w:rFonts w:ascii="Verdana" w:hAnsi="Verdana" w:cs="Verdana"/>
          <w:b/>
          <w:bCs/>
          <w:sz w:val="22"/>
          <w:szCs w:val="22"/>
          <w:lang w:val="es-ES" w:eastAsia="es-ES"/>
        </w:rPr>
        <w:t>.M.A.</w:t>
      </w:r>
      <w:r>
        <w:rPr>
          <w:rFonts w:ascii="Verdana" w:hAnsi="Verdana" w:cs="Verdana"/>
          <w:b/>
          <w:bCs/>
          <w:sz w:val="22"/>
          <w:szCs w:val="22"/>
          <w:lang w:val="es-ES" w:eastAsia="es-ES"/>
        </w:rPr>
        <w:t xml:space="preserve">, </w:t>
      </w:r>
      <w:r>
        <w:rPr>
          <w:rFonts w:ascii="Verdana" w:hAnsi="Verdana" w:cs="Verdana"/>
          <w:sz w:val="22"/>
          <w:szCs w:val="22"/>
          <w:lang w:val="es-ES" w:eastAsia="es-ES"/>
        </w:rPr>
        <w:t>por presentación extemporánea. (Léanse folios del 1 al 2 y del 4 al 5 del expediente administrativo).</w:t>
      </w:r>
    </w:p>
    <w:p w:rsidR="00D74AA2" w:rsidRDefault="000D7DF2">
      <w:pPr>
        <w:kinsoku w:val="0"/>
        <w:overflowPunct w:val="0"/>
        <w:autoSpaceDE/>
        <w:autoSpaceDN/>
        <w:adjustRightInd/>
        <w:spacing w:before="272" w:line="284" w:lineRule="exact"/>
        <w:ind w:right="576"/>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TERCERO: </w:t>
      </w:r>
      <w:r>
        <w:rPr>
          <w:rFonts w:ascii="Verdana" w:hAnsi="Verdana" w:cs="Verdana"/>
          <w:sz w:val="22"/>
          <w:szCs w:val="22"/>
          <w:lang w:val="es-ES" w:eastAsia="es-ES"/>
        </w:rPr>
        <w:t>En los procedimientos seguidos se han observado las prescripciones legales.</w:t>
      </w:r>
    </w:p>
    <w:p w:rsidR="00D74AA2" w:rsidRDefault="000D7DF2">
      <w:pPr>
        <w:kinsoku w:val="0"/>
        <w:overflowPunct w:val="0"/>
        <w:autoSpaceDE/>
        <w:autoSpaceDN/>
        <w:adjustRightInd/>
        <w:spacing w:before="533" w:after="1900" w:line="284" w:lineRule="exact"/>
        <w:textAlignment w:val="baseline"/>
        <w:rPr>
          <w:rFonts w:ascii="Verdana" w:hAnsi="Verdana" w:cs="Verdana"/>
          <w:spacing w:val="4"/>
          <w:sz w:val="22"/>
          <w:szCs w:val="22"/>
          <w:lang w:val="es-ES" w:eastAsia="es-ES"/>
        </w:rPr>
      </w:pPr>
      <w:r>
        <w:rPr>
          <w:rFonts w:ascii="Verdana" w:hAnsi="Verdana" w:cs="Verdana"/>
          <w:spacing w:val="4"/>
          <w:sz w:val="22"/>
          <w:szCs w:val="22"/>
          <w:lang w:val="es-ES" w:eastAsia="es-ES"/>
        </w:rPr>
        <w:t>Redacta la Jueza Pérez Peláez.</w:t>
      </w:r>
    </w:p>
    <w:p w:rsidR="00D74AA2" w:rsidRDefault="00D74AA2">
      <w:pPr>
        <w:widowControl/>
        <w:rPr>
          <w:sz w:val="24"/>
          <w:szCs w:val="24"/>
        </w:rPr>
        <w:sectPr w:rsidR="00D74AA2">
          <w:pgSz w:w="12134" w:h="15840"/>
          <w:pgMar w:top="820" w:right="1347" w:bottom="210" w:left="2147" w:header="720" w:footer="720" w:gutter="0"/>
          <w:cols w:space="720"/>
          <w:noEndnote/>
        </w:sectPr>
      </w:pPr>
    </w:p>
    <w:p w:rsidR="00D74AA2" w:rsidRDefault="00D74AA2">
      <w:pPr>
        <w:widowControl/>
        <w:rPr>
          <w:sz w:val="24"/>
          <w:szCs w:val="24"/>
        </w:rPr>
        <w:sectPr w:rsidR="00D74AA2">
          <w:type w:val="continuous"/>
          <w:pgSz w:w="12134" w:h="15840"/>
          <w:pgMar w:top="820" w:right="1967" w:bottom="210" w:left="7507" w:header="720" w:footer="720" w:gutter="0"/>
          <w:cols w:space="720"/>
          <w:noEndnote/>
        </w:sectPr>
      </w:pPr>
    </w:p>
    <w:p w:rsidR="00D74AA2" w:rsidRDefault="000D7DF2">
      <w:pPr>
        <w:kinsoku w:val="0"/>
        <w:overflowPunct w:val="0"/>
        <w:autoSpaceDE/>
        <w:autoSpaceDN/>
        <w:adjustRightInd/>
        <w:spacing w:line="269"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lastRenderedPageBreak/>
        <w:t>CONSIDERANDO:</w:t>
      </w:r>
    </w:p>
    <w:p w:rsidR="00D74AA2" w:rsidRDefault="000D7DF2">
      <w:pPr>
        <w:numPr>
          <w:ilvl w:val="0"/>
          <w:numId w:val="1"/>
        </w:numPr>
        <w:kinsoku w:val="0"/>
        <w:overflowPunct w:val="0"/>
        <w:autoSpaceDE/>
        <w:autoSpaceDN/>
        <w:adjustRightInd/>
        <w:spacing w:before="810" w:line="279" w:lineRule="exact"/>
        <w:jc w:val="both"/>
        <w:textAlignment w:val="baseline"/>
        <w:rPr>
          <w:rFonts w:ascii="Verdana" w:hAnsi="Verdana" w:cs="Verdana"/>
          <w:sz w:val="22"/>
          <w:szCs w:val="22"/>
          <w:lang w:val="es-ES" w:eastAsia="es-ES"/>
        </w:rPr>
      </w:pPr>
      <w:r>
        <w:rPr>
          <w:rFonts w:ascii="Verdana" w:hAnsi="Verdana" w:cs="Verdana"/>
          <w:b/>
          <w:bCs/>
          <w:sz w:val="22"/>
          <w:szCs w:val="22"/>
          <w:lang w:val="es-ES" w:eastAsia="es-ES"/>
        </w:rPr>
        <w:t xml:space="preserve">SOBRE LA COMPETENCIA: </w:t>
      </w:r>
      <w:r>
        <w:rPr>
          <w:rFonts w:ascii="Verdana" w:hAnsi="Verdana" w:cs="Verdana"/>
          <w:sz w:val="22"/>
          <w:szCs w:val="22"/>
          <w:lang w:val="es-ES" w:eastAsia="es-ES"/>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 del presente asunto.</w:t>
      </w:r>
    </w:p>
    <w:p w:rsidR="00D74AA2" w:rsidRDefault="000D7DF2">
      <w:pPr>
        <w:numPr>
          <w:ilvl w:val="0"/>
          <w:numId w:val="1"/>
        </w:numPr>
        <w:kinsoku w:val="0"/>
        <w:overflowPunct w:val="0"/>
        <w:autoSpaceDE/>
        <w:autoSpaceDN/>
        <w:adjustRightInd/>
        <w:spacing w:before="264" w:line="271" w:lineRule="exact"/>
        <w:jc w:val="both"/>
        <w:textAlignment w:val="baseline"/>
        <w:rPr>
          <w:rFonts w:ascii="Verdana" w:hAnsi="Verdana" w:cs="Verdana"/>
          <w:b/>
          <w:bCs/>
          <w:spacing w:val="3"/>
          <w:sz w:val="22"/>
          <w:szCs w:val="22"/>
          <w:lang w:val="es-ES" w:eastAsia="es-ES"/>
        </w:rPr>
      </w:pPr>
      <w:r>
        <w:rPr>
          <w:rFonts w:ascii="Verdana" w:hAnsi="Verdana" w:cs="Verdana"/>
          <w:b/>
          <w:bCs/>
          <w:spacing w:val="3"/>
          <w:sz w:val="22"/>
          <w:szCs w:val="22"/>
          <w:lang w:val="es-ES" w:eastAsia="es-ES"/>
        </w:rPr>
        <w:t>SOBRE LA ADMISIBILIDAD DEL RECURSO:</w:t>
      </w:r>
    </w:p>
    <w:p w:rsidR="00D74AA2" w:rsidRDefault="000D7DF2">
      <w:pPr>
        <w:kinsoku w:val="0"/>
        <w:overflowPunct w:val="0"/>
        <w:autoSpaceDE/>
        <w:autoSpaceDN/>
        <w:adjustRightInd/>
        <w:spacing w:before="271" w:line="279" w:lineRule="exact"/>
        <w:jc w:val="both"/>
        <w:textAlignment w:val="baseline"/>
        <w:rPr>
          <w:rFonts w:ascii="Verdana" w:hAnsi="Verdana" w:cs="Verdana"/>
          <w:sz w:val="22"/>
          <w:szCs w:val="22"/>
          <w:lang w:val="es-ES" w:eastAsia="es-ES"/>
        </w:rPr>
      </w:pPr>
      <w:r>
        <w:rPr>
          <w:rFonts w:ascii="Verdana" w:hAnsi="Verdana" w:cs="Verdana"/>
          <w:b/>
          <w:bCs/>
          <w:sz w:val="22"/>
          <w:szCs w:val="22"/>
          <w:u w:val="single"/>
          <w:lang w:val="es-ES" w:eastAsia="es-ES"/>
        </w:rPr>
        <w:t>En cuanto al plazo de presentación del recurso:</w:t>
      </w:r>
      <w:r>
        <w:rPr>
          <w:rFonts w:ascii="Verdana" w:hAnsi="Verdana" w:cs="Verdana"/>
          <w:sz w:val="22"/>
          <w:szCs w:val="22"/>
          <w:lang w:val="es-ES" w:eastAsia="es-ES"/>
        </w:rPr>
        <w:t xml:space="preserve"> Conforme al estudio efectuado el Recurso de Apelación fue presentado fuera del plazo legal establecido para tal fin, en los términos del artículo 11 de la Ley Reguladora del Servicio Público de Transporte Remunerado de Personas en vehículos en la modalidad de taxi, Ley N°7969, del 28 de enero del 2000, toda vez que a la fecha de presentación del escrito de Apelación sea ésta 14 de marzo de 2014, ya había transcurrido el plazo establecido por ley para recurrir dicho acto.</w:t>
      </w:r>
    </w:p>
    <w:p w:rsidR="00D74AA2" w:rsidRDefault="000D7DF2">
      <w:pPr>
        <w:kinsoku w:val="0"/>
        <w:overflowPunct w:val="0"/>
        <w:autoSpaceDE/>
        <w:autoSpaceDN/>
        <w:adjustRightInd/>
        <w:spacing w:before="280"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Según se puede verificar del acta de notificación, visible a folio 18 del expediente, el acuerdo impugnado le fue notificado al recurrente el 3 de marzo de 2014, por lo que al día 14 de marzo en que presento el recurso ya se había superado el plazo determinado en el artículo 11 de la Ley Reguladora del Servicio Público de Transporte Remunerado de Personas en vehículos en la modalidad de taxi, Ley N°7969.</w:t>
      </w:r>
    </w:p>
    <w:p w:rsidR="00D74AA2" w:rsidRDefault="000D7DF2">
      <w:pPr>
        <w:kinsoku w:val="0"/>
        <w:overflowPunct w:val="0"/>
        <w:autoSpaceDE/>
        <w:autoSpaceDN/>
        <w:adjustRightInd/>
        <w:spacing w:before="262"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En este sentido, el artículo 11 de la Ley N° 7969, establece en lo que interesa:</w:t>
      </w:r>
    </w:p>
    <w:p w:rsidR="00D74AA2" w:rsidRDefault="000D7DF2">
      <w:pPr>
        <w:kinsoku w:val="0"/>
        <w:overflowPunct w:val="0"/>
        <w:autoSpaceDE/>
        <w:autoSpaceDN/>
        <w:adjustRightInd/>
        <w:spacing w:before="275" w:line="234" w:lineRule="exact"/>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"...Contra las resoluciones del Consejo cabrá recurso de revocatoria ante el órgano que dictó el acto, con apelación en subsidio para ante el Tribunal. Ambos recursos deberán interponerse dentro del plazo de cinco días hábiles, contados a partir de la notificación".</w:t>
      </w:r>
    </w:p>
    <w:p w:rsidR="00D74AA2" w:rsidRDefault="000D7DF2">
      <w:pPr>
        <w:kinsoku w:val="0"/>
        <w:overflowPunct w:val="0"/>
        <w:autoSpaceDE/>
        <w:autoSpaceDN/>
        <w:adjustRightInd/>
        <w:spacing w:before="265" w:line="279"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De conformidad con la norma transcrita anteriormente, se determina que el recurso de Apelación ha sido presentado de manera extemporánea, no obstante al presentar la Nulidad Absoluta hay que conocer de la misma.</w:t>
      </w:r>
    </w:p>
    <w:p w:rsidR="00D74AA2" w:rsidRDefault="000D7DF2">
      <w:pPr>
        <w:kinsoku w:val="0"/>
        <w:overflowPunct w:val="0"/>
        <w:autoSpaceDE/>
        <w:autoSpaceDN/>
        <w:adjustRightInd/>
        <w:spacing w:before="272" w:line="271" w:lineRule="exact"/>
        <w:textAlignment w:val="baseline"/>
        <w:rPr>
          <w:rFonts w:ascii="Verdana" w:hAnsi="Verdana" w:cs="Verdana"/>
          <w:b/>
          <w:bCs/>
          <w:spacing w:val="-9"/>
          <w:sz w:val="22"/>
          <w:szCs w:val="22"/>
          <w:lang w:val="es-ES" w:eastAsia="es-ES"/>
        </w:rPr>
      </w:pPr>
      <w:r>
        <w:rPr>
          <w:rFonts w:ascii="Verdana" w:hAnsi="Verdana" w:cs="Verdana"/>
          <w:b/>
          <w:bCs/>
          <w:spacing w:val="-9"/>
          <w:sz w:val="22"/>
          <w:szCs w:val="22"/>
          <w:lang w:val="es-ES" w:eastAsia="es-ES"/>
        </w:rPr>
        <w:t>DE LA NULIDAD ALEGADA.</w:t>
      </w:r>
    </w:p>
    <w:p w:rsidR="00D74AA2" w:rsidRDefault="000D7DF2">
      <w:pPr>
        <w:kinsoku w:val="0"/>
        <w:overflowPunct w:val="0"/>
        <w:autoSpaceDE/>
        <w:autoSpaceDN/>
        <w:adjustRightInd/>
        <w:spacing w:before="265" w:line="253"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Siendo que ha sido presentada una nulidad concomitante, el Tribunal Administrativo de Transporte se avoca al conocimiento de la misma.</w:t>
      </w:r>
    </w:p>
    <w:p w:rsidR="00D74AA2" w:rsidRDefault="000D7DF2">
      <w:pPr>
        <w:tabs>
          <w:tab w:val="right" w:pos="7992"/>
        </w:tabs>
        <w:kinsoku w:val="0"/>
        <w:overflowPunct w:val="0"/>
        <w:autoSpaceDE/>
        <w:autoSpaceDN/>
        <w:adjustRightInd/>
        <w:spacing w:before="1294" w:line="239" w:lineRule="exact"/>
        <w:ind w:left="5328"/>
        <w:textAlignment w:val="baseline"/>
        <w:rPr>
          <w:rFonts w:ascii="Verdana" w:hAnsi="Verdana" w:cs="Verdana"/>
          <w:sz w:val="18"/>
          <w:szCs w:val="18"/>
          <w:lang w:val="es-ES" w:eastAsia="es-ES"/>
        </w:rPr>
      </w:pPr>
      <w:r>
        <w:rPr>
          <w:sz w:val="18"/>
          <w:szCs w:val="18"/>
          <w:lang w:val="es-ES" w:eastAsia="es-ES"/>
        </w:rPr>
        <w:tab/>
      </w:r>
    </w:p>
    <w:p w:rsidR="00D74AA2" w:rsidRDefault="00D74AA2">
      <w:pPr>
        <w:widowControl/>
        <w:rPr>
          <w:sz w:val="24"/>
          <w:szCs w:val="24"/>
        </w:rPr>
        <w:sectPr w:rsidR="00D74AA2">
          <w:pgSz w:w="12134" w:h="15840"/>
          <w:pgMar w:top="1380" w:right="1958" w:bottom="180" w:left="2136" w:header="720" w:footer="720" w:gutter="0"/>
          <w:cols w:space="720"/>
          <w:noEndnote/>
        </w:sectPr>
      </w:pPr>
    </w:p>
    <w:p w:rsidR="00D74AA2" w:rsidRDefault="000D7DF2">
      <w:pPr>
        <w:kinsoku w:val="0"/>
        <w:overflowPunct w:val="0"/>
        <w:autoSpaceDE/>
        <w:autoSpaceDN/>
        <w:adjustRightInd/>
        <w:spacing w:line="257"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El Recurrente sustenta los motivos de anulación en el hecho de que según su dicho, se violan derechos fundamentales como el de Razonabilidad y proporcionalidad, pues considera que el que se le rechace su solicitud de Traspaso Mortis Causa, por no encontrarse en condición de beneficiario directo en los términos de la Ley 9027, no es procedente ni admisible más aún siendo el heredero legitimo de su padre.</w:t>
      </w:r>
    </w:p>
    <w:p w:rsidR="00D74AA2" w:rsidRDefault="000D7DF2">
      <w:pPr>
        <w:kinsoku w:val="0"/>
        <w:overflowPunct w:val="0"/>
        <w:autoSpaceDE/>
        <w:autoSpaceDN/>
        <w:adjustRightInd/>
        <w:spacing w:before="254" w:line="251"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Además manifiesta que la Ley indicada supra entro a regir a finales de febrero de 2012 y es tan solo un par de meses después cuando muere su padre, cuando aún no se conocía ni se había divulgado la Ley.</w:t>
      </w:r>
    </w:p>
    <w:p w:rsidR="00D74AA2" w:rsidRDefault="000D7DF2">
      <w:pPr>
        <w:kinsoku w:val="0"/>
        <w:overflowPunct w:val="0"/>
        <w:autoSpaceDE/>
        <w:autoSpaceDN/>
        <w:adjustRightInd/>
        <w:spacing w:before="237" w:line="260" w:lineRule="exact"/>
        <w:jc w:val="both"/>
        <w:textAlignment w:val="baseline"/>
        <w:rPr>
          <w:rFonts w:ascii="Verdana" w:hAnsi="Verdana" w:cs="Verdana"/>
          <w:sz w:val="21"/>
          <w:szCs w:val="21"/>
          <w:lang w:val="es-ES" w:eastAsia="es-ES"/>
        </w:rPr>
      </w:pPr>
      <w:r>
        <w:rPr>
          <w:rFonts w:ascii="Verdana" w:hAnsi="Verdana" w:cs="Verdana"/>
          <w:sz w:val="21"/>
          <w:szCs w:val="21"/>
          <w:lang w:val="es-ES" w:eastAsia="es-ES"/>
        </w:rPr>
        <w:t>Analizadas las piezas que obran en el expediente se puede verificar que en la especie no hay merito para decretar la nulidad del acto administrativo, los argumentos que presenta el recurrente no, evidencian falencia alguna en los elementos del acto administrativo que determinaran su anulación.</w:t>
      </w:r>
    </w:p>
    <w:p w:rsidR="00D74AA2" w:rsidRDefault="000D7DF2">
      <w:pPr>
        <w:kinsoku w:val="0"/>
        <w:overflowPunct w:val="0"/>
        <w:autoSpaceDE/>
        <w:autoSpaceDN/>
        <w:adjustRightInd/>
        <w:spacing w:before="516" w:line="254" w:lineRule="exact"/>
        <w:ind w:right="288"/>
        <w:jc w:val="both"/>
        <w:textAlignment w:val="baseline"/>
        <w:rPr>
          <w:rFonts w:ascii="Verdana" w:hAnsi="Verdana" w:cs="Verdana"/>
          <w:sz w:val="21"/>
          <w:szCs w:val="21"/>
          <w:lang w:val="es-ES" w:eastAsia="es-ES"/>
        </w:rPr>
      </w:pPr>
      <w:r>
        <w:rPr>
          <w:rFonts w:ascii="Verdana" w:hAnsi="Verdana" w:cs="Verdana"/>
          <w:sz w:val="21"/>
          <w:szCs w:val="21"/>
          <w:lang w:val="es-ES" w:eastAsia="es-ES"/>
        </w:rPr>
        <w:t>Por lo indicado anteriormente, y siendo que no se ha encontrado causal alguna para decretar la nulidad del acto impugnado, se debe estar entonces a los términos del artículo 11 de la Ley Reguladora del Servicio Público de Transporte Remunerado de Personas en Vehículos en la Modalidad de Taxi, por lo que lo procedente es rechazar el recurso por extemporáneo.</w:t>
      </w:r>
    </w:p>
    <w:p w:rsidR="00D74AA2" w:rsidRDefault="000D7DF2">
      <w:pPr>
        <w:kinsoku w:val="0"/>
        <w:overflowPunct w:val="0"/>
        <w:autoSpaceDE/>
        <w:autoSpaceDN/>
        <w:adjustRightInd/>
        <w:spacing w:before="577" w:line="252" w:lineRule="exact"/>
        <w:jc w:val="center"/>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POR TANTO</w:t>
      </w:r>
    </w:p>
    <w:p w:rsidR="00D74AA2" w:rsidRPr="0016186C" w:rsidRDefault="000D7DF2" w:rsidP="0016186C">
      <w:pPr>
        <w:numPr>
          <w:ilvl w:val="0"/>
          <w:numId w:val="2"/>
        </w:numPr>
        <w:kinsoku w:val="0"/>
        <w:overflowPunct w:val="0"/>
        <w:autoSpaceDE/>
        <w:autoSpaceDN/>
        <w:adjustRightInd/>
        <w:spacing w:before="24" w:line="254" w:lineRule="exact"/>
        <w:jc w:val="both"/>
        <w:textAlignment w:val="baseline"/>
        <w:rPr>
          <w:rFonts w:ascii="Verdana" w:hAnsi="Verdana" w:cs="Verdana"/>
          <w:spacing w:val="2"/>
          <w:sz w:val="18"/>
          <w:szCs w:val="18"/>
          <w:lang w:val="es-ES" w:eastAsia="es-ES"/>
        </w:rPr>
      </w:pPr>
      <w:r w:rsidRPr="0016186C">
        <w:rPr>
          <w:rFonts w:ascii="Verdana" w:hAnsi="Verdana" w:cs="Verdana"/>
          <w:spacing w:val="6"/>
          <w:sz w:val="21"/>
          <w:szCs w:val="21"/>
          <w:lang w:val="es-ES" w:eastAsia="es-ES"/>
        </w:rPr>
        <w:t xml:space="preserve">Se Rechaza por Extemporáneo el </w:t>
      </w:r>
      <w:r w:rsidRPr="0016186C">
        <w:rPr>
          <w:rFonts w:ascii="Verdana" w:hAnsi="Verdana" w:cs="Verdana"/>
          <w:b/>
          <w:bCs/>
          <w:spacing w:val="6"/>
          <w:sz w:val="21"/>
          <w:szCs w:val="21"/>
          <w:lang w:val="es-ES" w:eastAsia="es-ES"/>
        </w:rPr>
        <w:t xml:space="preserve">Recurso de Apelación y Nulidad, </w:t>
      </w:r>
      <w:r w:rsidRPr="0016186C">
        <w:rPr>
          <w:rFonts w:ascii="Verdana" w:hAnsi="Verdana" w:cs="Verdana"/>
          <w:spacing w:val="6"/>
          <w:sz w:val="21"/>
          <w:szCs w:val="21"/>
          <w:lang w:val="es-ES" w:eastAsia="es-ES"/>
        </w:rPr>
        <w:t xml:space="preserve">interpuesto por el señor </w:t>
      </w:r>
      <w:r w:rsidRPr="0016186C">
        <w:rPr>
          <w:rFonts w:ascii="Verdana" w:hAnsi="Verdana" w:cs="Verdana"/>
          <w:b/>
          <w:bCs/>
          <w:spacing w:val="6"/>
          <w:sz w:val="21"/>
          <w:szCs w:val="21"/>
          <w:lang w:val="es-ES" w:eastAsia="es-ES"/>
        </w:rPr>
        <w:t>V</w:t>
      </w:r>
      <w:r w:rsidR="0016186C" w:rsidRPr="0016186C">
        <w:rPr>
          <w:rFonts w:ascii="Verdana" w:hAnsi="Verdana" w:cs="Verdana"/>
          <w:b/>
          <w:bCs/>
          <w:spacing w:val="6"/>
          <w:sz w:val="21"/>
          <w:szCs w:val="21"/>
          <w:lang w:val="es-ES" w:eastAsia="es-ES"/>
        </w:rPr>
        <w:t>.M.A.</w:t>
      </w:r>
      <w:r w:rsidRPr="0016186C">
        <w:rPr>
          <w:rFonts w:ascii="Verdana" w:hAnsi="Verdana" w:cs="Verdana"/>
          <w:b/>
          <w:bCs/>
          <w:spacing w:val="6"/>
          <w:sz w:val="21"/>
          <w:szCs w:val="21"/>
          <w:lang w:val="es-ES" w:eastAsia="es-ES"/>
        </w:rPr>
        <w:t xml:space="preserve">, </w:t>
      </w:r>
      <w:r w:rsidRPr="0016186C">
        <w:rPr>
          <w:rFonts w:ascii="Verdana" w:hAnsi="Verdana" w:cs="Verdana"/>
          <w:spacing w:val="6"/>
          <w:sz w:val="21"/>
          <w:szCs w:val="21"/>
          <w:lang w:val="es-ES" w:eastAsia="es-ES"/>
        </w:rPr>
        <w:t xml:space="preserve">cédula de identidad número </w:t>
      </w:r>
      <w:r w:rsidR="0016186C" w:rsidRPr="0016186C">
        <w:rPr>
          <w:rFonts w:ascii="Verdana" w:hAnsi="Verdana" w:cs="Verdana"/>
          <w:spacing w:val="6"/>
          <w:sz w:val="21"/>
          <w:szCs w:val="21"/>
          <w:lang w:val="es-ES" w:eastAsia="es-ES"/>
        </w:rPr>
        <w:t>…</w:t>
      </w:r>
      <w:r w:rsidRPr="0016186C">
        <w:rPr>
          <w:rFonts w:ascii="Verdana" w:hAnsi="Verdana" w:cs="Verdana"/>
          <w:spacing w:val="6"/>
          <w:sz w:val="21"/>
          <w:szCs w:val="21"/>
          <w:lang w:val="es-ES" w:eastAsia="es-ES"/>
        </w:rPr>
        <w:t xml:space="preserve">, contra </w:t>
      </w:r>
      <w:r w:rsidRPr="0016186C">
        <w:rPr>
          <w:rFonts w:ascii="Verdana" w:hAnsi="Verdana" w:cs="Verdana"/>
          <w:b/>
          <w:bCs/>
          <w:spacing w:val="6"/>
          <w:sz w:val="21"/>
          <w:szCs w:val="21"/>
          <w:lang w:val="es-ES" w:eastAsia="es-ES"/>
        </w:rPr>
        <w:t xml:space="preserve">el Artículo 7.18 de la Sesión Ordinaria N. 15-2014 </w:t>
      </w:r>
      <w:r w:rsidRPr="0016186C">
        <w:rPr>
          <w:rFonts w:ascii="Verdana" w:hAnsi="Verdana" w:cs="Verdana"/>
          <w:spacing w:val="6"/>
          <w:sz w:val="21"/>
          <w:szCs w:val="21"/>
          <w:lang w:val="es-ES" w:eastAsia="es-ES"/>
        </w:rPr>
        <w:t>de 26 de febrero de 2014, dictado por la</w:t>
      </w:r>
      <w:r w:rsidR="0016186C" w:rsidRPr="0016186C">
        <w:rPr>
          <w:rFonts w:ascii="Verdana" w:hAnsi="Verdana" w:cs="Verdana"/>
          <w:spacing w:val="6"/>
          <w:sz w:val="21"/>
          <w:szCs w:val="21"/>
          <w:lang w:val="es-ES" w:eastAsia="es-ES"/>
        </w:rPr>
        <w:t xml:space="preserve"> </w:t>
      </w:r>
      <w:r w:rsidRPr="0016186C">
        <w:rPr>
          <w:rFonts w:ascii="Verdana" w:hAnsi="Verdana" w:cs="Verdana"/>
          <w:spacing w:val="2"/>
          <w:sz w:val="18"/>
          <w:szCs w:val="18"/>
          <w:lang w:val="es-ES" w:eastAsia="es-ES"/>
        </w:rPr>
        <w:t>JUNTA DIRECTIVA DEL CONSEJO DE TRANSPORTE PÚBLICO.</w:t>
      </w:r>
    </w:p>
    <w:p w:rsidR="00D74AA2" w:rsidRPr="0016186C" w:rsidRDefault="000D7DF2">
      <w:pPr>
        <w:numPr>
          <w:ilvl w:val="0"/>
          <w:numId w:val="3"/>
        </w:numPr>
        <w:kinsoku w:val="0"/>
        <w:overflowPunct w:val="0"/>
        <w:autoSpaceDE/>
        <w:autoSpaceDN/>
        <w:adjustRightInd/>
        <w:spacing w:before="287" w:line="277" w:lineRule="exact"/>
        <w:jc w:val="both"/>
        <w:textAlignment w:val="baseline"/>
        <w:rPr>
          <w:rFonts w:ascii="Verdana" w:hAnsi="Verdana" w:cs="Verdana"/>
          <w:spacing w:val="2"/>
          <w:sz w:val="24"/>
          <w:szCs w:val="24"/>
          <w:lang w:eastAsia="en-US"/>
        </w:rPr>
      </w:pPr>
      <w:r>
        <w:rPr>
          <w:rFonts w:ascii="Verdana" w:hAnsi="Verdana" w:cs="Verdana"/>
          <w:spacing w:val="2"/>
          <w:sz w:val="21"/>
          <w:szCs w:val="21"/>
          <w:lang w:val="es-ES" w:eastAsia="es-ES"/>
        </w:rPr>
        <w:t xml:space="preserve">De conformidad con el artículo 22, inciso c), de la citada Ley 7969, la presente resolución no tiene ulterior recurso por lo que, se </w:t>
      </w:r>
      <w:r>
        <w:rPr>
          <w:rFonts w:ascii="Verdana" w:hAnsi="Verdana" w:cs="Verdana"/>
          <w:i/>
          <w:iCs/>
          <w:spacing w:val="2"/>
          <w:sz w:val="21"/>
          <w:szCs w:val="21"/>
          <w:lang w:val="es-ES" w:eastAsia="es-ES"/>
        </w:rPr>
        <w:t xml:space="preserve">tiene por agotada la vía administrativa. </w:t>
      </w:r>
      <w:r>
        <w:rPr>
          <w:rFonts w:ascii="Verdana" w:hAnsi="Verdana" w:cs="Verdana"/>
          <w:b/>
          <w:bCs/>
          <w:spacing w:val="2"/>
          <w:sz w:val="21"/>
          <w:szCs w:val="21"/>
          <w:lang w:val="es-ES" w:eastAsia="es-ES"/>
        </w:rPr>
        <w:t>NOTIFÍQUESE.</w:t>
      </w:r>
      <w:r>
        <w:rPr>
          <w:rFonts w:ascii="Verdana" w:hAnsi="Verdana" w:cs="Verdana"/>
          <w:b/>
          <w:bCs/>
          <w:spacing w:val="2"/>
          <w:sz w:val="21"/>
          <w:szCs w:val="21"/>
          <w:lang w:val="es-ES" w:eastAsia="es-ES"/>
        </w:rPr>
        <w:noBreakHyphen/>
      </w:r>
    </w:p>
    <w:p w:rsidR="0016186C" w:rsidRDefault="0016186C" w:rsidP="0016186C">
      <w:pPr>
        <w:kinsoku w:val="0"/>
        <w:overflowPunct w:val="0"/>
        <w:autoSpaceDE/>
        <w:autoSpaceDN/>
        <w:adjustRightInd/>
        <w:spacing w:before="100" w:beforeAutospacing="1"/>
        <w:ind w:right="72"/>
        <w:jc w:val="center"/>
        <w:textAlignment w:val="baseline"/>
        <w:rPr>
          <w:rStyle w:val="CharacterStyle1"/>
          <w:iCs/>
          <w:spacing w:val="5"/>
          <w:sz w:val="26"/>
          <w:szCs w:val="26"/>
        </w:rPr>
      </w:pPr>
    </w:p>
    <w:p w:rsidR="0016186C" w:rsidRPr="00AE0D42" w:rsidRDefault="0016186C" w:rsidP="0016186C">
      <w:pPr>
        <w:kinsoku w:val="0"/>
        <w:overflowPunct w:val="0"/>
        <w:autoSpaceDE/>
        <w:autoSpaceDN/>
        <w:adjustRightInd/>
        <w:spacing w:before="100" w:beforeAutospacing="1"/>
        <w:ind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16186C" w:rsidRDefault="0016186C" w:rsidP="0016186C">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r>
        <w:rPr>
          <w:rStyle w:val="CharacterStyle1"/>
          <w:b/>
          <w:iCs/>
          <w:spacing w:val="5"/>
          <w:sz w:val="26"/>
          <w:szCs w:val="26"/>
        </w:rPr>
        <w:t>Presidente</w:t>
      </w:r>
    </w:p>
    <w:p w:rsidR="0016186C" w:rsidRDefault="0016186C" w:rsidP="0016186C">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16186C" w:rsidRDefault="0016186C" w:rsidP="0016186C">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16186C" w:rsidRPr="00AE0D42" w:rsidRDefault="0016186C" w:rsidP="0016186C">
      <w:pPr>
        <w:pStyle w:val="Style1"/>
        <w:kinsoku w:val="0"/>
        <w:overflowPunct w:val="0"/>
        <w:autoSpaceDE/>
        <w:autoSpaceDN/>
        <w:adjustRightInd/>
        <w:spacing w:before="100" w:beforeAutospacing="1"/>
        <w:ind w:left="74"/>
        <w:jc w:val="center"/>
        <w:textAlignment w:val="baseline"/>
        <w:rPr>
          <w:rStyle w:val="CharacterStyle1"/>
          <w:b/>
          <w:iCs/>
          <w:spacing w:val="5"/>
          <w:sz w:val="26"/>
          <w:szCs w:val="26"/>
        </w:rPr>
      </w:pPr>
    </w:p>
    <w:p w:rsidR="0016186C" w:rsidRDefault="0016186C" w:rsidP="0016186C">
      <w:pPr>
        <w:kinsoku w:val="0"/>
        <w:overflowPunct w:val="0"/>
        <w:autoSpaceDE/>
        <w:autoSpaceDN/>
        <w:adjustRightInd/>
        <w:ind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16186C" w:rsidRDefault="0016186C" w:rsidP="0016186C">
      <w:pPr>
        <w:kinsoku w:val="0"/>
        <w:overflowPunct w:val="0"/>
        <w:autoSpaceDE/>
        <w:autoSpaceDN/>
        <w:adjustRightInd/>
        <w:ind w:right="144"/>
        <w:jc w:val="center"/>
        <w:textAlignment w:val="baseline"/>
        <w:rPr>
          <w:rFonts w:ascii="Verdana" w:hAnsi="Verdana" w:cs="Verdana"/>
          <w:spacing w:val="2"/>
          <w:sz w:val="24"/>
          <w:szCs w:val="24"/>
          <w:lang w:eastAsia="en-US"/>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 xml:space="preserve"> </w:t>
      </w:r>
    </w:p>
    <w:sectPr w:rsidR="0016186C" w:rsidSect="0016186C">
      <w:pgSz w:w="12134" w:h="15840"/>
      <w:pgMar w:top="1840" w:right="1921" w:bottom="1560" w:left="216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8EA"/>
    <w:multiLevelType w:val="singleLevel"/>
    <w:tmpl w:val="EF229ACE"/>
    <w:lvl w:ilvl="0">
      <w:start w:val="1"/>
      <w:numFmt w:val="upperRoman"/>
      <w:lvlText w:val="%1.-"/>
      <w:lvlJc w:val="left"/>
      <w:pPr>
        <w:tabs>
          <w:tab w:val="num" w:pos="576"/>
        </w:tabs>
      </w:pPr>
      <w:rPr>
        <w:rFonts w:ascii="Verdana" w:hAnsi="Verdana" w:cs="Verdana"/>
        <w:b/>
        <w:snapToGrid/>
        <w:spacing w:val="6"/>
        <w:sz w:val="21"/>
        <w:szCs w:val="21"/>
      </w:rPr>
    </w:lvl>
  </w:abstractNum>
  <w:abstractNum w:abstractNumId="1" w15:restartNumberingAfterBreak="0">
    <w:nsid w:val="047F71A3"/>
    <w:multiLevelType w:val="singleLevel"/>
    <w:tmpl w:val="3168B501"/>
    <w:lvl w:ilvl="0">
      <w:start w:val="1"/>
      <w:numFmt w:val="decimal"/>
      <w:lvlText w:val="%1.-"/>
      <w:lvlJc w:val="left"/>
      <w:pPr>
        <w:tabs>
          <w:tab w:val="num" w:pos="432"/>
        </w:tabs>
      </w:pPr>
      <w:rPr>
        <w:rFonts w:ascii="Verdana" w:hAnsi="Verdana" w:cs="Verdana"/>
        <w:b/>
        <w:bCs/>
        <w:snapToGrid/>
        <w:sz w:val="22"/>
        <w:szCs w:val="22"/>
      </w:rPr>
    </w:lvl>
  </w:abstractNum>
  <w:num w:numId="1">
    <w:abstractNumId w:val="1"/>
  </w:num>
  <w:num w:numId="2">
    <w:abstractNumId w:val="0"/>
  </w:num>
  <w:num w:numId="3">
    <w:abstractNumId w:val="0"/>
    <w:lvlOverride w:ilvl="0">
      <w:lvl w:ilvl="0">
        <w:numFmt w:val="upperRoman"/>
        <w:lvlText w:val="%1.-"/>
        <w:lvlJc w:val="left"/>
        <w:pPr>
          <w:tabs>
            <w:tab w:val="num" w:pos="720"/>
          </w:tabs>
        </w:pPr>
        <w:rPr>
          <w:rFonts w:ascii="Verdana" w:hAnsi="Verdana" w:cs="Verdana"/>
          <w:b/>
          <w:snapToGrid/>
          <w:sz w:val="21"/>
          <w:szCs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F8"/>
    <w:rsid w:val="000D7DF2"/>
    <w:rsid w:val="0016186C"/>
    <w:rsid w:val="00931A58"/>
    <w:rsid w:val="00BA17E4"/>
    <w:rsid w:val="00D74AA2"/>
    <w:rsid w:val="00F03D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6186C"/>
    <w:rPr>
      <w:lang w:val="es-CR"/>
    </w:rPr>
  </w:style>
  <w:style w:type="character" w:customStyle="1" w:styleId="CharacterStyle1">
    <w:name w:val="Character Style 1"/>
    <w:uiPriority w:val="99"/>
    <w:rsid w:val="001618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4516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2019-09-11T15:36:00Z</dcterms:created>
  <dcterms:modified xsi:type="dcterms:W3CDTF">2019-09-11T15:36:00Z</dcterms:modified>
</cp:coreProperties>
</file>