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CE0" w:rsidRDefault="009D786B">
      <w:pPr>
        <w:kinsoku w:val="0"/>
        <w:overflowPunct w:val="0"/>
        <w:autoSpaceDE/>
        <w:autoSpaceDN/>
        <w:adjustRightInd/>
        <w:spacing w:line="262" w:lineRule="exact"/>
        <w:jc w:val="center"/>
        <w:textAlignment w:val="baseline"/>
        <w:rPr>
          <w:rFonts w:ascii="Verdana" w:hAnsi="Verdana" w:cs="Verdana"/>
          <w:b/>
          <w:bCs/>
          <w:spacing w:val="3"/>
          <w:sz w:val="22"/>
          <w:szCs w:val="22"/>
          <w:lang w:val="es-ES" w:eastAsia="es-ES"/>
        </w:rPr>
      </w:pPr>
      <w:bookmarkStart w:id="0" w:name="_GoBack"/>
      <w:bookmarkEnd w:id="0"/>
      <w:r>
        <w:rPr>
          <w:rFonts w:ascii="Verdana" w:hAnsi="Verdana" w:cs="Verdana"/>
          <w:b/>
          <w:bCs/>
          <w:spacing w:val="3"/>
          <w:sz w:val="22"/>
          <w:szCs w:val="22"/>
          <w:lang w:val="es-ES" w:eastAsia="es-ES"/>
        </w:rPr>
        <w:t>RESOLUCION No. TAT-2550-2015</w:t>
      </w:r>
    </w:p>
    <w:p w:rsidR="00BB7CE0" w:rsidRDefault="009D786B">
      <w:pPr>
        <w:kinsoku w:val="0"/>
        <w:overflowPunct w:val="0"/>
        <w:autoSpaceDE/>
        <w:autoSpaceDN/>
        <w:adjustRightInd/>
        <w:spacing w:before="577" w:line="27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nueve horas treinta minutos del treinta de abril de dos mil quince.</w:t>
      </w:r>
    </w:p>
    <w:p w:rsidR="00BB7CE0" w:rsidRDefault="009D786B">
      <w:pPr>
        <w:kinsoku w:val="0"/>
        <w:overflowPunct w:val="0"/>
        <w:autoSpaceDE/>
        <w:autoSpaceDN/>
        <w:adjustRightInd/>
        <w:spacing w:before="279" w:line="276" w:lineRule="exact"/>
        <w:ind w:right="576"/>
        <w:jc w:val="both"/>
        <w:textAlignment w:val="baseline"/>
        <w:rPr>
          <w:rFonts w:ascii="Verdana" w:hAnsi="Verdana" w:cs="Verdana"/>
          <w:b/>
          <w:bCs/>
          <w:spacing w:val="5"/>
          <w:sz w:val="22"/>
          <w:szCs w:val="22"/>
          <w:lang w:val="es-ES" w:eastAsia="es-ES"/>
        </w:rPr>
      </w:pPr>
      <w:r>
        <w:rPr>
          <w:rFonts w:ascii="Verdana" w:hAnsi="Verdana" w:cs="Verdana"/>
          <w:b/>
          <w:bCs/>
          <w:spacing w:val="5"/>
          <w:sz w:val="22"/>
          <w:szCs w:val="22"/>
          <w:lang w:val="es-ES" w:eastAsia="es-ES"/>
        </w:rPr>
        <w:t xml:space="preserve">Recurso de Apelación en Subsidio y Nulidad concomitante, </w:t>
      </w:r>
      <w:r>
        <w:rPr>
          <w:rFonts w:ascii="Verdana" w:hAnsi="Verdana" w:cs="Verdana"/>
          <w:spacing w:val="5"/>
          <w:sz w:val="22"/>
          <w:szCs w:val="22"/>
          <w:lang w:val="es-ES" w:eastAsia="es-ES"/>
        </w:rPr>
        <w:t xml:space="preserve">interpuesto por la señora </w:t>
      </w:r>
      <w:r>
        <w:rPr>
          <w:rFonts w:ascii="Verdana" w:hAnsi="Verdana" w:cs="Verdana"/>
          <w:b/>
          <w:bCs/>
          <w:spacing w:val="5"/>
          <w:sz w:val="22"/>
          <w:szCs w:val="22"/>
          <w:lang w:val="es-ES" w:eastAsia="es-ES"/>
        </w:rPr>
        <w:t>R</w:t>
      </w:r>
      <w:r w:rsidR="00E80696">
        <w:rPr>
          <w:rFonts w:ascii="Verdana" w:hAnsi="Verdana" w:cs="Verdana"/>
          <w:b/>
          <w:bCs/>
          <w:spacing w:val="5"/>
          <w:sz w:val="22"/>
          <w:szCs w:val="22"/>
          <w:lang w:val="es-ES" w:eastAsia="es-ES"/>
        </w:rPr>
        <w:t>.M.S.R.</w:t>
      </w:r>
      <w:r>
        <w:rPr>
          <w:rFonts w:ascii="Verdana" w:hAnsi="Verdana" w:cs="Verdana"/>
          <w:b/>
          <w:bCs/>
          <w:spacing w:val="5"/>
          <w:sz w:val="22"/>
          <w:szCs w:val="22"/>
          <w:lang w:val="es-ES" w:eastAsia="es-ES"/>
        </w:rPr>
        <w:t xml:space="preserve">, cédula de identidad número </w:t>
      </w:r>
      <w:r w:rsidR="00E80696">
        <w:rPr>
          <w:rFonts w:ascii="Verdana" w:hAnsi="Verdana" w:cs="Verdana"/>
          <w:b/>
          <w:bCs/>
          <w:spacing w:val="5"/>
          <w:sz w:val="22"/>
          <w:szCs w:val="22"/>
          <w:lang w:val="es-ES" w:eastAsia="es-ES"/>
        </w:rPr>
        <w:t>…</w:t>
      </w: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contra el </w:t>
      </w:r>
      <w:r>
        <w:rPr>
          <w:rFonts w:ascii="Verdana" w:hAnsi="Verdana" w:cs="Verdana"/>
          <w:b/>
          <w:bCs/>
          <w:spacing w:val="5"/>
          <w:sz w:val="22"/>
          <w:szCs w:val="22"/>
          <w:lang w:val="es-ES" w:eastAsia="es-ES"/>
        </w:rPr>
        <w:t xml:space="preserve">Oficio DAJ-2012-4335, </w:t>
      </w:r>
      <w:r>
        <w:rPr>
          <w:rFonts w:ascii="Verdana" w:hAnsi="Verdana" w:cs="Verdana"/>
          <w:spacing w:val="5"/>
          <w:sz w:val="22"/>
          <w:szCs w:val="22"/>
          <w:lang w:val="es-ES" w:eastAsia="es-ES"/>
        </w:rPr>
        <w:t xml:space="preserve">de fecha 18 de diciembre de 2012 de la </w:t>
      </w:r>
      <w:r>
        <w:rPr>
          <w:rFonts w:ascii="Verdana" w:hAnsi="Verdana" w:cs="Verdana"/>
          <w:b/>
          <w:bCs/>
          <w:spacing w:val="5"/>
          <w:sz w:val="22"/>
          <w:szCs w:val="22"/>
          <w:lang w:val="es-ES" w:eastAsia="es-ES"/>
        </w:rPr>
        <w:t xml:space="preserve">Dirección de Asuntos Jurídicos </w:t>
      </w:r>
      <w:r>
        <w:rPr>
          <w:rFonts w:ascii="Verdana" w:hAnsi="Verdana" w:cs="Verdana"/>
          <w:spacing w:val="5"/>
          <w:sz w:val="22"/>
          <w:szCs w:val="22"/>
          <w:lang w:val="es-ES" w:eastAsia="es-ES"/>
        </w:rPr>
        <w:t xml:space="preserve">del Consejo de Transporte Público. </w:t>
      </w:r>
      <w:r>
        <w:rPr>
          <w:rFonts w:ascii="Verdana" w:hAnsi="Verdana" w:cs="Verdana"/>
          <w:b/>
          <w:bCs/>
          <w:spacing w:val="5"/>
          <w:sz w:val="22"/>
          <w:szCs w:val="22"/>
          <w:lang w:val="es-ES" w:eastAsia="es-ES"/>
        </w:rPr>
        <w:t>El caso se tramita en Expediente Administrativo N. TAT-197-15.</w:t>
      </w:r>
    </w:p>
    <w:p w:rsidR="00BB7CE0" w:rsidRDefault="009D786B">
      <w:pPr>
        <w:kinsoku w:val="0"/>
        <w:overflowPunct w:val="0"/>
        <w:autoSpaceDE/>
        <w:autoSpaceDN/>
        <w:adjustRightInd/>
        <w:spacing w:before="555" w:line="266"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BB7CE0" w:rsidRDefault="009D786B">
      <w:pPr>
        <w:kinsoku w:val="0"/>
        <w:overflowPunct w:val="0"/>
        <w:autoSpaceDE/>
        <w:autoSpaceDN/>
        <w:adjustRightInd/>
        <w:spacing w:before="597" w:line="276" w:lineRule="exact"/>
        <w:ind w:right="576"/>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 xml:space="preserve">Mediante </w:t>
      </w:r>
      <w:r>
        <w:rPr>
          <w:rFonts w:ascii="Verdana" w:hAnsi="Verdana" w:cs="Verdana"/>
          <w:b/>
          <w:bCs/>
          <w:spacing w:val="3"/>
          <w:sz w:val="22"/>
          <w:szCs w:val="22"/>
          <w:lang w:val="es-ES" w:eastAsia="es-ES"/>
        </w:rPr>
        <w:t xml:space="preserve">Oficio DAJ-2012-4335, </w:t>
      </w:r>
      <w:r>
        <w:rPr>
          <w:rFonts w:ascii="Verdana" w:hAnsi="Verdana" w:cs="Verdana"/>
          <w:spacing w:val="3"/>
          <w:sz w:val="22"/>
          <w:szCs w:val="22"/>
          <w:lang w:val="es-ES" w:eastAsia="es-ES"/>
        </w:rPr>
        <w:t xml:space="preserve">de fecha 18 de diciembre de 2012 de la </w:t>
      </w:r>
      <w:r>
        <w:rPr>
          <w:rFonts w:ascii="Verdana" w:hAnsi="Verdana" w:cs="Verdana"/>
          <w:b/>
          <w:bCs/>
          <w:spacing w:val="3"/>
          <w:sz w:val="22"/>
          <w:szCs w:val="22"/>
          <w:lang w:val="es-ES" w:eastAsia="es-ES"/>
        </w:rPr>
        <w:t xml:space="preserve">Dirección de Asuntos Jurídicos </w:t>
      </w:r>
      <w:r>
        <w:rPr>
          <w:rFonts w:ascii="Verdana" w:hAnsi="Verdana" w:cs="Verdana"/>
          <w:spacing w:val="3"/>
          <w:sz w:val="22"/>
          <w:szCs w:val="22"/>
          <w:lang w:val="es-ES" w:eastAsia="es-ES"/>
        </w:rPr>
        <w:t xml:space="preserve">del Consejo de Transporte Público, notificado a la recurrente el día 20 de diciembre de 2012, se le comunica a la señora </w:t>
      </w:r>
      <w:r>
        <w:rPr>
          <w:rFonts w:ascii="Verdana" w:hAnsi="Verdana" w:cs="Verdana"/>
          <w:b/>
          <w:bCs/>
          <w:spacing w:val="3"/>
          <w:sz w:val="22"/>
          <w:szCs w:val="22"/>
          <w:lang w:val="es-ES" w:eastAsia="es-ES"/>
        </w:rPr>
        <w:t>S</w:t>
      </w:r>
      <w:r w:rsidR="00E80696">
        <w:rPr>
          <w:rFonts w:ascii="Verdana" w:hAnsi="Verdana" w:cs="Verdana"/>
          <w:b/>
          <w:bCs/>
          <w:spacing w:val="3"/>
          <w:sz w:val="22"/>
          <w:szCs w:val="22"/>
          <w:lang w:val="es-ES" w:eastAsia="es-ES"/>
        </w:rPr>
        <w:t>.R.</w:t>
      </w:r>
      <w:r>
        <w:rPr>
          <w:rFonts w:ascii="Verdana" w:hAnsi="Verdana" w:cs="Verdana"/>
          <w:b/>
          <w:bCs/>
          <w:spacing w:val="3"/>
          <w:sz w:val="22"/>
          <w:szCs w:val="22"/>
          <w:lang w:val="es-ES" w:eastAsia="es-ES"/>
        </w:rPr>
        <w:t>, que no puede ser atendida su solicitud de traspaso de la concesión Mortis Causa de la placa TC-</w:t>
      </w:r>
      <w:r w:rsidR="00E80696">
        <w:rPr>
          <w:rFonts w:ascii="Verdana" w:hAnsi="Verdana" w:cs="Verdana"/>
          <w:b/>
          <w:bCs/>
          <w:spacing w:val="3"/>
          <w:sz w:val="22"/>
          <w:szCs w:val="22"/>
          <w:lang w:val="es-ES" w:eastAsia="es-ES"/>
        </w:rPr>
        <w:t>XXX</w:t>
      </w:r>
      <w:r>
        <w:rPr>
          <w:rFonts w:ascii="Verdana" w:hAnsi="Verdana" w:cs="Verdana"/>
          <w:b/>
          <w:bCs/>
          <w:spacing w:val="3"/>
          <w:sz w:val="22"/>
          <w:szCs w:val="22"/>
          <w:lang w:val="es-ES" w:eastAsia="es-ES"/>
        </w:rPr>
        <w:t xml:space="preserve"> del concesionario A</w:t>
      </w:r>
      <w:r w:rsidR="00E80696">
        <w:rPr>
          <w:rFonts w:ascii="Verdana" w:hAnsi="Verdana" w:cs="Verdana"/>
          <w:b/>
          <w:bCs/>
          <w:spacing w:val="3"/>
          <w:sz w:val="22"/>
          <w:szCs w:val="22"/>
          <w:lang w:val="es-ES" w:eastAsia="es-ES"/>
        </w:rPr>
        <w:t>.R.M.P.</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ya que mediante acuerdo 3.1.31 de la Sesión Ordinaria 32-2007 la Junta Directiva del Consejo de Transporte Público, Decreto la Caducidad del Derecho de concesión de marras al tenerse por demostrado el incumplimiento de la obligación de conducir personalmente el vehículo amparado a la concesión por una jornada de al menos ocho horas. (Ver folios 23 y 24 del expediente administrativo)</w:t>
      </w:r>
    </w:p>
    <w:p w:rsidR="00BB7CE0" w:rsidRDefault="009D786B">
      <w:pPr>
        <w:kinsoku w:val="0"/>
        <w:overflowPunct w:val="0"/>
        <w:autoSpaceDE/>
        <w:autoSpaceDN/>
        <w:adjustRightInd/>
        <w:spacing w:before="294" w:after="574" w:line="276" w:lineRule="exact"/>
        <w:ind w:right="576"/>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SEGUNDO: </w:t>
      </w:r>
      <w:r>
        <w:rPr>
          <w:rFonts w:ascii="Verdana" w:hAnsi="Verdana" w:cs="Verdana"/>
          <w:spacing w:val="3"/>
          <w:sz w:val="22"/>
          <w:szCs w:val="22"/>
          <w:lang w:val="es-ES" w:eastAsia="es-ES"/>
        </w:rPr>
        <w:t>La señora R</w:t>
      </w:r>
      <w:r w:rsidR="00E80696">
        <w:rPr>
          <w:rFonts w:ascii="Verdana" w:hAnsi="Verdana" w:cs="Verdana"/>
          <w:spacing w:val="3"/>
          <w:sz w:val="22"/>
          <w:szCs w:val="22"/>
          <w:lang w:val="es-ES" w:eastAsia="es-ES"/>
        </w:rPr>
        <w:t>.S.R.</w:t>
      </w:r>
      <w:r>
        <w:rPr>
          <w:rFonts w:ascii="Verdana" w:hAnsi="Verdana" w:cs="Verdana"/>
          <w:spacing w:val="3"/>
          <w:sz w:val="22"/>
          <w:szCs w:val="22"/>
          <w:lang w:val="es-ES" w:eastAsia="es-ES"/>
        </w:rPr>
        <w:t xml:space="preserve">, interpone ante la Directora de la Dirección de Asuntos Jurídicos, Licenciada María Elena Rojas Abarca, Recurso de Revocatoria con Apelación en subsidio y nulidad absoluta contra el </w:t>
      </w:r>
      <w:r>
        <w:rPr>
          <w:rFonts w:ascii="Verdana" w:hAnsi="Verdana" w:cs="Verdana"/>
          <w:b/>
          <w:bCs/>
          <w:spacing w:val="3"/>
          <w:sz w:val="22"/>
          <w:szCs w:val="22"/>
          <w:lang w:val="es-ES" w:eastAsia="es-ES"/>
        </w:rPr>
        <w:t xml:space="preserve">Oficio DAJ-2012-4335, </w:t>
      </w:r>
      <w:r>
        <w:rPr>
          <w:rFonts w:ascii="Verdana" w:hAnsi="Verdana" w:cs="Verdana"/>
          <w:spacing w:val="3"/>
          <w:sz w:val="22"/>
          <w:szCs w:val="22"/>
          <w:lang w:val="es-ES" w:eastAsia="es-ES"/>
        </w:rPr>
        <w:t>de fecha 18 de diciembre de 2012, alegando entre otros que en noviembre de 2012 presento ante el Consejo solicitud de revaloración de su caso y se le asignara la concesión de la Placa TC-</w:t>
      </w:r>
      <w:r w:rsidR="00E80696">
        <w:rPr>
          <w:rFonts w:ascii="Verdana" w:hAnsi="Verdana" w:cs="Verdana"/>
          <w:spacing w:val="3"/>
          <w:sz w:val="22"/>
          <w:szCs w:val="22"/>
          <w:lang w:val="es-ES" w:eastAsia="es-ES"/>
        </w:rPr>
        <w:t>XXX</w:t>
      </w:r>
      <w:r>
        <w:rPr>
          <w:rFonts w:ascii="Verdana" w:hAnsi="Verdana" w:cs="Verdana"/>
          <w:spacing w:val="3"/>
          <w:sz w:val="22"/>
          <w:szCs w:val="22"/>
          <w:lang w:val="es-ES" w:eastAsia="es-ES"/>
        </w:rPr>
        <w:t>, correspondiente a su difunto marido, gestiones que presentó ante los órganos competentes del Consejo de Transporte Público, no obstante la dirección de Asuntos jurídicos arrogándose funciones que no le corresponde y generando vicio nugatorio de desviación de poder y abuso de autoridad, sin tener la competencia para definir por el fondo su</w:t>
      </w:r>
    </w:p>
    <w:p w:rsidR="00BB7CE0" w:rsidRDefault="00BB7CE0">
      <w:pPr>
        <w:widowControl/>
        <w:rPr>
          <w:sz w:val="24"/>
          <w:szCs w:val="24"/>
        </w:rPr>
        <w:sectPr w:rsidR="00BB7CE0">
          <w:pgSz w:w="12134" w:h="15840"/>
          <w:pgMar w:top="800" w:right="1358" w:bottom="210" w:left="2136" w:header="720" w:footer="720" w:gutter="0"/>
          <w:cols w:space="720"/>
          <w:noEndnote/>
        </w:sectPr>
      </w:pPr>
    </w:p>
    <w:p w:rsidR="00BB7CE0" w:rsidRDefault="009D786B">
      <w:pPr>
        <w:tabs>
          <w:tab w:val="left" w:pos="2592"/>
        </w:tabs>
        <w:kinsoku w:val="0"/>
        <w:overflowPunct w:val="0"/>
        <w:autoSpaceDE/>
        <w:autoSpaceDN/>
        <w:adjustRightInd/>
        <w:spacing w:line="206" w:lineRule="exact"/>
        <w:textAlignment w:val="baseline"/>
        <w:rPr>
          <w:spacing w:val="-2"/>
          <w:sz w:val="18"/>
          <w:szCs w:val="18"/>
          <w:lang w:val="es-ES" w:eastAsia="es-ES"/>
        </w:rPr>
      </w:pPr>
      <w:r>
        <w:rPr>
          <w:spacing w:val="-2"/>
          <w:sz w:val="18"/>
          <w:szCs w:val="18"/>
          <w:lang w:val="es-ES" w:eastAsia="es-ES"/>
        </w:rPr>
        <w:tab/>
      </w:r>
    </w:p>
    <w:p w:rsidR="00BB7CE0" w:rsidRDefault="00BB7CE0">
      <w:pPr>
        <w:widowControl/>
        <w:rPr>
          <w:sz w:val="24"/>
          <w:szCs w:val="24"/>
        </w:rPr>
        <w:sectPr w:rsidR="00BB7CE0">
          <w:type w:val="continuous"/>
          <w:pgSz w:w="12134" w:h="15840"/>
          <w:pgMar w:top="800" w:right="1776" w:bottom="210" w:left="7478" w:header="720" w:footer="720" w:gutter="0"/>
          <w:cols w:space="720"/>
          <w:noEndnote/>
        </w:sectPr>
      </w:pPr>
    </w:p>
    <w:p w:rsidR="00BB7CE0" w:rsidRDefault="009D786B">
      <w:pPr>
        <w:kinsoku w:val="0"/>
        <w:overflowPunct w:val="0"/>
        <w:autoSpaceDE/>
        <w:autoSpaceDN/>
        <w:adjustRightInd/>
        <w:spacing w:before="3" w:line="27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gestión le rechaza su solicitud. Por lo dicho el acto nulo, por lo que solicita se revoque el acto objetado. (Ver folio del 30 al 41 del expediente administrativo)</w:t>
      </w:r>
    </w:p>
    <w:p w:rsidR="00BB7CE0" w:rsidRDefault="009D786B">
      <w:pPr>
        <w:kinsoku w:val="0"/>
        <w:overflowPunct w:val="0"/>
        <w:autoSpaceDE/>
        <w:autoSpaceDN/>
        <w:adjustRightInd/>
        <w:spacing w:before="269" w:line="277" w:lineRule="exact"/>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TERCERO: Mediante oficio DAJ-2013000553 del 6 de febrero de 2013, </w:t>
      </w:r>
      <w:r>
        <w:rPr>
          <w:rFonts w:ascii="Verdana" w:hAnsi="Verdana" w:cs="Verdana"/>
          <w:spacing w:val="9"/>
          <w:sz w:val="21"/>
          <w:szCs w:val="21"/>
          <w:lang w:val="es-ES" w:eastAsia="es-ES"/>
        </w:rPr>
        <w:t>los Licenciados María Elena Rojas Abarca y Giovanna Campos Bolaños, de la Dirección de Asuntos Jurídicos del CTP, trasladan el Recurso de Revocatoria con Apelación en subsidio presentado por la señora S</w:t>
      </w:r>
      <w:r w:rsidR="00E80696">
        <w:rPr>
          <w:rFonts w:ascii="Verdana" w:hAnsi="Verdana" w:cs="Verdana"/>
          <w:spacing w:val="9"/>
          <w:sz w:val="21"/>
          <w:szCs w:val="21"/>
          <w:lang w:val="es-ES" w:eastAsia="es-ES"/>
        </w:rPr>
        <w:t>.R.</w:t>
      </w:r>
      <w:r>
        <w:rPr>
          <w:rFonts w:ascii="Verdana" w:hAnsi="Verdana" w:cs="Verdana"/>
          <w:spacing w:val="9"/>
          <w:sz w:val="21"/>
          <w:szCs w:val="21"/>
          <w:lang w:val="es-ES" w:eastAsia="es-ES"/>
        </w:rPr>
        <w:t xml:space="preserve">, al Director Ejecutivo del CTP </w:t>
      </w:r>
      <w:r>
        <w:rPr>
          <w:rFonts w:ascii="Verdana" w:hAnsi="Verdana" w:cs="Verdana"/>
          <w:b/>
          <w:bCs/>
          <w:spacing w:val="9"/>
          <w:sz w:val="21"/>
          <w:szCs w:val="21"/>
          <w:lang w:val="es-ES" w:eastAsia="es-ES"/>
        </w:rPr>
        <w:t xml:space="preserve">Licenciado Mario Badilla </w:t>
      </w:r>
      <w:proofErr w:type="spellStart"/>
      <w:r>
        <w:rPr>
          <w:rFonts w:ascii="Verdana" w:hAnsi="Verdana" w:cs="Verdana"/>
          <w:b/>
          <w:bCs/>
          <w:spacing w:val="9"/>
          <w:sz w:val="21"/>
          <w:szCs w:val="21"/>
          <w:lang w:val="es-ES" w:eastAsia="es-ES"/>
        </w:rPr>
        <w:t>Apuy</w:t>
      </w:r>
      <w:proofErr w:type="spell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por ser de su competencia. (Léanse folios 26 y 28 del expediente administrativo)</w:t>
      </w:r>
    </w:p>
    <w:p w:rsidR="00BB7CE0" w:rsidRDefault="009D786B">
      <w:pPr>
        <w:kinsoku w:val="0"/>
        <w:overflowPunct w:val="0"/>
        <w:autoSpaceDE/>
        <w:autoSpaceDN/>
        <w:adjustRightInd/>
        <w:spacing w:before="269" w:line="277" w:lineRule="exact"/>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CUARTO: Mediante oficio DE-2013-3131 de 2 de octubre de 2013, </w:t>
      </w:r>
      <w:r>
        <w:rPr>
          <w:rFonts w:ascii="Verdana" w:hAnsi="Verdana" w:cs="Verdana"/>
          <w:spacing w:val="9"/>
          <w:sz w:val="21"/>
          <w:szCs w:val="21"/>
          <w:lang w:val="es-ES" w:eastAsia="es-ES"/>
        </w:rPr>
        <w:t xml:space="preserve">el Director Ejecutivo del CTP </w:t>
      </w:r>
      <w:r>
        <w:rPr>
          <w:rFonts w:ascii="Verdana" w:hAnsi="Verdana" w:cs="Verdana"/>
          <w:b/>
          <w:bCs/>
          <w:spacing w:val="9"/>
          <w:sz w:val="21"/>
          <w:szCs w:val="21"/>
          <w:lang w:val="es-ES" w:eastAsia="es-ES"/>
        </w:rPr>
        <w:t xml:space="preserve">Licenciado Juan Manuel Delgado Naranjo, </w:t>
      </w:r>
      <w:r>
        <w:rPr>
          <w:rFonts w:ascii="Verdana" w:hAnsi="Verdana" w:cs="Verdana"/>
          <w:spacing w:val="9"/>
          <w:sz w:val="21"/>
          <w:szCs w:val="21"/>
          <w:lang w:val="es-ES" w:eastAsia="es-ES"/>
        </w:rPr>
        <w:t>se declara incompetente para conocer del Recurso de Revocatoria con Apelación en subsidio presentado por la señora S</w:t>
      </w:r>
      <w:r w:rsidR="00E80696">
        <w:rPr>
          <w:rFonts w:ascii="Verdana" w:hAnsi="Verdana" w:cs="Verdana"/>
          <w:spacing w:val="9"/>
          <w:sz w:val="21"/>
          <w:szCs w:val="21"/>
          <w:lang w:val="es-ES" w:eastAsia="es-ES"/>
        </w:rPr>
        <w:t>.R.</w:t>
      </w:r>
      <w:r>
        <w:rPr>
          <w:rFonts w:ascii="Verdana" w:hAnsi="Verdana" w:cs="Verdana"/>
          <w:spacing w:val="9"/>
          <w:sz w:val="21"/>
          <w:szCs w:val="21"/>
          <w:lang w:val="es-ES" w:eastAsia="es-ES"/>
        </w:rPr>
        <w:t xml:space="preserve"> y traslada el mismo para lo de su competencia a la Junta Directiva del Consejo de Transporte Público. (Léanse folios del 42 al 46 del expediente administrativo)</w:t>
      </w:r>
    </w:p>
    <w:p w:rsidR="00BB7CE0" w:rsidRDefault="009D786B">
      <w:pPr>
        <w:kinsoku w:val="0"/>
        <w:overflowPunct w:val="0"/>
        <w:autoSpaceDE/>
        <w:autoSpaceDN/>
        <w:adjustRightInd/>
        <w:spacing w:before="290" w:line="277" w:lineRule="exact"/>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QUINTO: </w:t>
      </w:r>
      <w:r>
        <w:rPr>
          <w:rFonts w:ascii="Verdana" w:hAnsi="Verdana" w:cs="Verdana"/>
          <w:spacing w:val="9"/>
          <w:sz w:val="21"/>
          <w:szCs w:val="21"/>
          <w:lang w:val="es-ES" w:eastAsia="es-ES"/>
        </w:rPr>
        <w:t xml:space="preserve">Mediante acuerdo </w:t>
      </w:r>
      <w:r>
        <w:rPr>
          <w:rFonts w:ascii="Verdana" w:hAnsi="Verdana" w:cs="Verdana"/>
          <w:b/>
          <w:bCs/>
          <w:spacing w:val="9"/>
          <w:sz w:val="21"/>
          <w:szCs w:val="21"/>
          <w:lang w:val="es-ES" w:eastAsia="es-ES"/>
        </w:rPr>
        <w:t xml:space="preserve">7.20 de la Sesión Ordinaria 76-2014 del 10 de diciembre de 2014, </w:t>
      </w:r>
      <w:r>
        <w:rPr>
          <w:rFonts w:ascii="Verdana" w:hAnsi="Verdana" w:cs="Verdana"/>
          <w:spacing w:val="9"/>
          <w:sz w:val="21"/>
          <w:szCs w:val="21"/>
          <w:lang w:val="es-ES" w:eastAsia="es-ES"/>
        </w:rPr>
        <w:t>la Junta Directiva del Consejo de Transporte Público rechaza el Recurso de Revocatoria y eleva ante el Tribunal Administrativo de Transporte Público el Recurso de Apelación.</w:t>
      </w:r>
    </w:p>
    <w:p w:rsidR="00BB7CE0" w:rsidRDefault="009D786B">
      <w:pPr>
        <w:kinsoku w:val="0"/>
        <w:overflowPunct w:val="0"/>
        <w:autoSpaceDE/>
        <w:autoSpaceDN/>
        <w:adjustRightInd/>
        <w:spacing w:before="270" w:line="278"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SEXTO: </w:t>
      </w:r>
      <w:r>
        <w:rPr>
          <w:rFonts w:ascii="Verdana" w:hAnsi="Verdana" w:cs="Verdana"/>
          <w:sz w:val="21"/>
          <w:szCs w:val="21"/>
          <w:lang w:val="es-ES" w:eastAsia="es-ES"/>
        </w:rPr>
        <w:t>En los procedimientos seguidos se han observado las prescripciones legales.</w:t>
      </w:r>
    </w:p>
    <w:p w:rsidR="00BB7CE0" w:rsidRDefault="009D786B">
      <w:pPr>
        <w:kinsoku w:val="0"/>
        <w:overflowPunct w:val="0"/>
        <w:autoSpaceDE/>
        <w:autoSpaceDN/>
        <w:adjustRightInd/>
        <w:spacing w:before="264" w:line="281" w:lineRule="exact"/>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Redacta la Jueza Pérez Peláez.</w:t>
      </w:r>
    </w:p>
    <w:p w:rsidR="00BB7CE0" w:rsidRDefault="009D786B">
      <w:pPr>
        <w:kinsoku w:val="0"/>
        <w:overflowPunct w:val="0"/>
        <w:autoSpaceDE/>
        <w:autoSpaceDN/>
        <w:adjustRightInd/>
        <w:spacing w:before="539" w:line="281"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CONSIDERANDO UNICO</w:t>
      </w:r>
    </w:p>
    <w:p w:rsidR="00BB7CE0" w:rsidRDefault="009D786B">
      <w:pPr>
        <w:kinsoku w:val="0"/>
        <w:overflowPunct w:val="0"/>
        <w:autoSpaceDE/>
        <w:autoSpaceDN/>
        <w:adjustRightInd/>
        <w:spacing w:before="820" w:line="275"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conocimiento del </w:t>
      </w:r>
      <w:r>
        <w:rPr>
          <w:rFonts w:ascii="Verdana" w:hAnsi="Verdana" w:cs="Verdana"/>
          <w:b/>
          <w:bCs/>
          <w:sz w:val="21"/>
          <w:szCs w:val="21"/>
          <w:lang w:val="es-ES" w:eastAsia="es-ES"/>
        </w:rPr>
        <w:t xml:space="preserve">Recurso de Apelación en Subsidio y Nulidad concomitante, </w:t>
      </w:r>
      <w:r>
        <w:rPr>
          <w:rFonts w:ascii="Verdana" w:hAnsi="Verdana" w:cs="Verdana"/>
          <w:sz w:val="21"/>
          <w:szCs w:val="21"/>
          <w:lang w:val="es-ES" w:eastAsia="es-ES"/>
        </w:rPr>
        <w:t xml:space="preserve">interpuesto por la señora </w:t>
      </w:r>
      <w:r>
        <w:rPr>
          <w:rFonts w:ascii="Verdana" w:hAnsi="Verdana" w:cs="Verdana"/>
          <w:b/>
          <w:bCs/>
          <w:sz w:val="21"/>
          <w:szCs w:val="21"/>
          <w:lang w:val="es-ES" w:eastAsia="es-ES"/>
        </w:rPr>
        <w:t>R</w:t>
      </w:r>
      <w:r w:rsidR="00E80696">
        <w:rPr>
          <w:rFonts w:ascii="Verdana" w:hAnsi="Verdana" w:cs="Verdana"/>
          <w:b/>
          <w:bCs/>
          <w:sz w:val="21"/>
          <w:szCs w:val="21"/>
          <w:lang w:val="es-ES" w:eastAsia="es-ES"/>
        </w:rPr>
        <w:t>.M.S.R.</w:t>
      </w:r>
      <w:r>
        <w:rPr>
          <w:rFonts w:ascii="Verdana" w:hAnsi="Verdana" w:cs="Verdana"/>
          <w:b/>
          <w:bCs/>
          <w:sz w:val="21"/>
          <w:szCs w:val="21"/>
          <w:lang w:val="es-ES" w:eastAsia="es-ES"/>
        </w:rPr>
        <w:t xml:space="preserve">, cédula de identidad número </w:t>
      </w:r>
      <w:r w:rsidR="00E80696">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en contra del </w:t>
      </w:r>
      <w:r>
        <w:rPr>
          <w:rFonts w:ascii="Verdana" w:hAnsi="Verdana" w:cs="Verdana"/>
          <w:b/>
          <w:bCs/>
          <w:sz w:val="21"/>
          <w:szCs w:val="21"/>
          <w:lang w:val="es-ES" w:eastAsia="es-ES"/>
        </w:rPr>
        <w:t xml:space="preserve">Oficio DAJ-2012-4335, </w:t>
      </w:r>
      <w:r>
        <w:rPr>
          <w:rFonts w:ascii="Verdana" w:hAnsi="Verdana" w:cs="Verdana"/>
          <w:sz w:val="21"/>
          <w:szCs w:val="21"/>
          <w:lang w:val="es-ES" w:eastAsia="es-ES"/>
        </w:rPr>
        <w:t xml:space="preserve">de fecha 18 de diciembre de 2012, de la </w:t>
      </w:r>
      <w:r>
        <w:rPr>
          <w:rFonts w:ascii="Verdana" w:hAnsi="Verdana" w:cs="Verdana"/>
          <w:b/>
          <w:bCs/>
          <w:sz w:val="21"/>
          <w:szCs w:val="21"/>
          <w:lang w:val="es-ES" w:eastAsia="es-ES"/>
        </w:rPr>
        <w:t xml:space="preserve">Dirección de Asuntos Jurídicos </w:t>
      </w:r>
      <w:r>
        <w:rPr>
          <w:rFonts w:ascii="Verdana" w:hAnsi="Verdana" w:cs="Verdana"/>
          <w:sz w:val="21"/>
          <w:szCs w:val="21"/>
          <w:lang w:val="es-ES" w:eastAsia="es-ES"/>
        </w:rPr>
        <w:t xml:space="preserve">del Consejo de Transporte Público, </w:t>
      </w:r>
      <w:r>
        <w:rPr>
          <w:rFonts w:ascii="Verdana" w:hAnsi="Verdana" w:cs="Verdana"/>
          <w:b/>
          <w:bCs/>
          <w:sz w:val="21"/>
          <w:szCs w:val="21"/>
          <w:lang w:val="es-ES" w:eastAsia="es-ES"/>
        </w:rPr>
        <w:t xml:space="preserve">no es competencia de este Tribunal </w:t>
      </w:r>
      <w:r>
        <w:rPr>
          <w:rFonts w:ascii="Verdana" w:hAnsi="Verdana" w:cs="Verdana"/>
          <w:sz w:val="21"/>
          <w:szCs w:val="21"/>
          <w:lang w:val="es-ES" w:eastAsia="es-ES"/>
        </w:rPr>
        <w:t>y así debe de ser declarado.</w:t>
      </w:r>
    </w:p>
    <w:p w:rsidR="00BB7CE0" w:rsidRDefault="009D786B">
      <w:pPr>
        <w:kinsoku w:val="0"/>
        <w:overflowPunct w:val="0"/>
        <w:autoSpaceDE/>
        <w:autoSpaceDN/>
        <w:adjustRightInd/>
        <w:spacing w:before="256" w:after="490" w:line="278" w:lineRule="exact"/>
        <w:jc w:val="both"/>
        <w:textAlignment w:val="baseline"/>
        <w:rPr>
          <w:rFonts w:ascii="Verdana" w:hAnsi="Verdana" w:cs="Verdana"/>
          <w:spacing w:val="12"/>
          <w:sz w:val="21"/>
          <w:szCs w:val="21"/>
          <w:lang w:val="es-ES" w:eastAsia="es-ES"/>
        </w:rPr>
      </w:pPr>
      <w:r>
        <w:rPr>
          <w:rFonts w:ascii="Verdana" w:hAnsi="Verdana" w:cs="Verdana"/>
          <w:spacing w:val="12"/>
          <w:sz w:val="21"/>
          <w:szCs w:val="21"/>
          <w:lang w:val="es-ES" w:eastAsia="es-ES"/>
        </w:rPr>
        <w:t xml:space="preserve">Como se puede colegir de las piezas del expediente el </w:t>
      </w:r>
      <w:r>
        <w:rPr>
          <w:rFonts w:ascii="Verdana" w:hAnsi="Verdana" w:cs="Verdana"/>
          <w:b/>
          <w:bCs/>
          <w:spacing w:val="12"/>
          <w:sz w:val="21"/>
          <w:szCs w:val="21"/>
          <w:lang w:val="es-ES" w:eastAsia="es-ES"/>
        </w:rPr>
        <w:t xml:space="preserve">Oficio DM-2012-4335, </w:t>
      </w:r>
      <w:r>
        <w:rPr>
          <w:rFonts w:ascii="Verdana" w:hAnsi="Verdana" w:cs="Verdana"/>
          <w:spacing w:val="12"/>
          <w:sz w:val="21"/>
          <w:szCs w:val="21"/>
          <w:lang w:val="es-ES" w:eastAsia="es-ES"/>
        </w:rPr>
        <w:t xml:space="preserve">de fecha 18 de diciembre de 2012 de la </w:t>
      </w:r>
      <w:r>
        <w:rPr>
          <w:rFonts w:ascii="Verdana" w:hAnsi="Verdana" w:cs="Verdana"/>
          <w:b/>
          <w:bCs/>
          <w:spacing w:val="12"/>
          <w:sz w:val="21"/>
          <w:szCs w:val="21"/>
          <w:lang w:val="es-ES" w:eastAsia="es-ES"/>
        </w:rPr>
        <w:t xml:space="preserve">Dirección de Asuntos Jurídicos </w:t>
      </w:r>
      <w:r>
        <w:rPr>
          <w:rFonts w:ascii="Verdana" w:hAnsi="Verdana" w:cs="Verdana"/>
          <w:spacing w:val="12"/>
          <w:sz w:val="21"/>
          <w:szCs w:val="21"/>
          <w:lang w:val="es-ES" w:eastAsia="es-ES"/>
        </w:rPr>
        <w:t>del Consejo de Transporte Público, es un acto interno de dicho órgano que claro está, cuenta con los recursos ordinarios previstos en la Ley General de la Administración Pública,</w:t>
      </w:r>
    </w:p>
    <w:p w:rsidR="00BB7CE0" w:rsidRDefault="00BB7CE0">
      <w:pPr>
        <w:widowControl/>
        <w:rPr>
          <w:sz w:val="24"/>
          <w:szCs w:val="24"/>
        </w:rPr>
        <w:sectPr w:rsidR="00BB7CE0">
          <w:pgSz w:w="12134" w:h="15840"/>
          <w:pgMar w:top="1260" w:right="1934" w:bottom="264" w:left="2160" w:header="720" w:footer="720" w:gutter="0"/>
          <w:cols w:space="720"/>
          <w:noEndnote/>
        </w:sectPr>
      </w:pPr>
    </w:p>
    <w:p w:rsidR="00BB7CE0" w:rsidRDefault="00BB7CE0">
      <w:pPr>
        <w:widowControl/>
        <w:rPr>
          <w:sz w:val="24"/>
          <w:szCs w:val="24"/>
        </w:rPr>
        <w:sectPr w:rsidR="00BB7CE0">
          <w:type w:val="continuous"/>
          <w:pgSz w:w="12134" w:h="15840"/>
          <w:pgMar w:top="1260" w:right="2757" w:bottom="264" w:left="7517" w:header="720" w:footer="720" w:gutter="0"/>
          <w:cols w:space="720"/>
          <w:noEndnote/>
        </w:sectPr>
      </w:pPr>
    </w:p>
    <w:p w:rsidR="00BB7CE0" w:rsidRDefault="009D786B">
      <w:pPr>
        <w:kinsoku w:val="0"/>
        <w:overflowPunct w:val="0"/>
        <w:autoSpaceDE/>
        <w:autoSpaceDN/>
        <w:adjustRightInd/>
        <w:spacing w:before="4" w:line="276"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pero cuya alzada es competencia de esa Junta Directiva y no del Tribunal Administrativo de Transporte.</w:t>
      </w:r>
    </w:p>
    <w:p w:rsidR="00BB7CE0" w:rsidRDefault="009D786B">
      <w:pPr>
        <w:kinsoku w:val="0"/>
        <w:overflowPunct w:val="0"/>
        <w:autoSpaceDE/>
        <w:autoSpaceDN/>
        <w:adjustRightInd/>
        <w:spacing w:before="267" w:line="276"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el numeral 22 de La Ley de Transporte Remunerado de Personas en Vehículos en la Modalidad de Taxi, N. 7969 del 22 de diciembre de 1999, el Tribunal es competente:</w:t>
      </w:r>
    </w:p>
    <w:p w:rsidR="00BB7CE0" w:rsidRDefault="009D786B">
      <w:pPr>
        <w:kinsoku w:val="0"/>
        <w:overflowPunct w:val="0"/>
        <w:autoSpaceDE/>
        <w:autoSpaceDN/>
        <w:adjustRightInd/>
        <w:spacing w:before="266" w:line="276" w:lineRule="exact"/>
        <w:ind w:left="504"/>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"ARTÍCULO 22.- Competencia del Tribunal</w:t>
      </w:r>
    </w:p>
    <w:p w:rsidR="00BB7CE0" w:rsidRDefault="009D786B">
      <w:pPr>
        <w:kinsoku w:val="0"/>
        <w:overflowPunct w:val="0"/>
        <w:autoSpaceDE/>
        <w:autoSpaceDN/>
        <w:adjustRightInd/>
        <w:spacing w:before="7" w:line="276" w:lineRule="exact"/>
        <w:ind w:left="504"/>
        <w:textAlignment w:val="baseline"/>
        <w:rPr>
          <w:rFonts w:ascii="Verdana" w:hAnsi="Verdana" w:cs="Verdana"/>
          <w:i/>
          <w:iCs/>
          <w:spacing w:val="2"/>
          <w:sz w:val="22"/>
          <w:szCs w:val="22"/>
          <w:lang w:val="es-ES" w:eastAsia="es-ES"/>
        </w:rPr>
      </w:pPr>
      <w:r>
        <w:rPr>
          <w:rFonts w:ascii="Verdana" w:hAnsi="Verdana" w:cs="Verdana"/>
          <w:i/>
          <w:iCs/>
          <w:spacing w:val="2"/>
          <w:sz w:val="22"/>
          <w:szCs w:val="22"/>
          <w:lang w:val="es-ES" w:eastAsia="es-ES"/>
        </w:rPr>
        <w:t>El Tribunal será competente para lo siguiente:</w:t>
      </w:r>
    </w:p>
    <w:p w:rsidR="00BB7CE0" w:rsidRDefault="009D786B">
      <w:pPr>
        <w:numPr>
          <w:ilvl w:val="0"/>
          <w:numId w:val="1"/>
        </w:numPr>
        <w:kinsoku w:val="0"/>
        <w:overflowPunct w:val="0"/>
        <w:autoSpaceDE/>
        <w:autoSpaceDN/>
        <w:adjustRightInd/>
        <w:spacing w:before="277" w:line="279" w:lineRule="exact"/>
        <w:ind w:right="144"/>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Conocer y resolver, en sede administrativa, los recursos de apelación que se interpongan contra cualquier acto o resolución del Consejo.</w:t>
      </w:r>
    </w:p>
    <w:p w:rsidR="00BB7CE0" w:rsidRDefault="009D786B">
      <w:pPr>
        <w:numPr>
          <w:ilvl w:val="0"/>
          <w:numId w:val="2"/>
        </w:numPr>
        <w:kinsoku w:val="0"/>
        <w:overflowPunct w:val="0"/>
        <w:autoSpaceDE/>
        <w:autoSpaceDN/>
        <w:adjustRightInd/>
        <w:spacing w:before="2" w:line="276" w:lineRule="exact"/>
        <w:ind w:right="14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Establecer, en vía administrativa, las indemnizaciones que puedan originarse en relación con los daños producidos por violaciones de la legislación del transporte público.</w:t>
      </w:r>
    </w:p>
    <w:p w:rsidR="00BB7CE0" w:rsidRDefault="009D786B">
      <w:pPr>
        <w:numPr>
          <w:ilvl w:val="0"/>
          <w:numId w:val="3"/>
        </w:numPr>
        <w:kinsoku w:val="0"/>
        <w:overflowPunct w:val="0"/>
        <w:autoSpaceDE/>
        <w:autoSpaceDN/>
        <w:adjustRightInd/>
        <w:spacing w:before="3" w:line="277" w:lineRule="exact"/>
        <w:ind w:right="144"/>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Las resoluciones del </w:t>
      </w:r>
      <w:r>
        <w:rPr>
          <w:rFonts w:ascii="Verdana" w:hAnsi="Verdana" w:cs="Verdana"/>
          <w:b/>
          <w:bCs/>
          <w:i/>
          <w:iCs/>
          <w:sz w:val="22"/>
          <w:szCs w:val="22"/>
          <w:lang w:val="es-ES" w:eastAsia="es-ES"/>
        </w:rPr>
        <w:t xml:space="preserve">Tribunal </w:t>
      </w:r>
      <w:r>
        <w:rPr>
          <w:rFonts w:ascii="Verdana" w:hAnsi="Verdana" w:cs="Verdana"/>
          <w:i/>
          <w:iCs/>
          <w:sz w:val="22"/>
          <w:szCs w:val="22"/>
          <w:lang w:val="es-ES" w:eastAsia="es-ES"/>
        </w:rPr>
        <w:t>no tendrán más recursos y darán por agotada la vía administrativa." ( el resaltado es nuestro)</w:t>
      </w:r>
    </w:p>
    <w:p w:rsidR="00BB7CE0" w:rsidRDefault="009D786B">
      <w:pPr>
        <w:kinsoku w:val="0"/>
        <w:overflowPunct w:val="0"/>
        <w:autoSpaceDE/>
        <w:autoSpaceDN/>
        <w:adjustRightInd/>
        <w:spacing w:before="569" w:line="276" w:lineRule="exact"/>
        <w:ind w:left="144"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Como se puede verificar de lo dicho, el órgano de alzada, tiene la competencia para conocer de los recursos de apelación que se le presenten contra los actos del Consejo de Transporte Público, sin embargo, al revisar el acto impugnado, se puede determinar con meridiana claridad que dicho acto es directo y propio de un órgano inferior dentro de la estructura organizacional del Consejo, el cual no es recurrible ante el Tribunal Administrativo de Transporte, sino ante la Junta Directiva del órgano colegiado de referencia tal como se verifica en el expediente que lo hizo la señora </w:t>
      </w:r>
      <w:r>
        <w:rPr>
          <w:rFonts w:ascii="Verdana" w:hAnsi="Verdana" w:cs="Verdana"/>
          <w:b/>
          <w:bCs/>
          <w:spacing w:val="4"/>
          <w:sz w:val="22"/>
          <w:szCs w:val="22"/>
          <w:lang w:val="es-ES" w:eastAsia="es-ES"/>
        </w:rPr>
        <w:t>R</w:t>
      </w:r>
      <w:r w:rsidR="00E80696">
        <w:rPr>
          <w:rFonts w:ascii="Verdana" w:hAnsi="Verdana" w:cs="Verdana"/>
          <w:b/>
          <w:bCs/>
          <w:spacing w:val="4"/>
          <w:sz w:val="22"/>
          <w:szCs w:val="22"/>
          <w:lang w:val="es-ES" w:eastAsia="es-ES"/>
        </w:rPr>
        <w:t>.M.S.R.</w:t>
      </w:r>
      <w:r>
        <w:rPr>
          <w:rFonts w:ascii="Verdana" w:hAnsi="Verdana" w:cs="Verdana"/>
          <w:b/>
          <w:bCs/>
          <w:spacing w:val="4"/>
          <w:sz w:val="22"/>
          <w:szCs w:val="22"/>
          <w:lang w:val="es-ES" w:eastAsia="es-ES"/>
        </w:rPr>
        <w:t xml:space="preserve">, cédula de identidad número </w:t>
      </w:r>
      <w:r w:rsidR="00E80696">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quien presento el Recurso de Revocatoria con Apelación en Subsidio, ante la Dirección de Asuntos Jurídicos, precisamente el departamento del cual emana el oficio impugnado.</w:t>
      </w:r>
    </w:p>
    <w:p w:rsidR="00BB7CE0" w:rsidRDefault="009D786B">
      <w:pPr>
        <w:kinsoku w:val="0"/>
        <w:overflowPunct w:val="0"/>
        <w:autoSpaceDE/>
        <w:autoSpaceDN/>
        <w:adjustRightInd/>
        <w:spacing w:before="295" w:after="1838" w:line="276" w:lineRule="exact"/>
        <w:ind w:left="144" w:right="144"/>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Por lo indicado anteriormente lo procedente es rechazar por ser mal elevado el </w:t>
      </w:r>
      <w:r>
        <w:rPr>
          <w:rFonts w:ascii="Verdana" w:hAnsi="Verdana" w:cs="Verdana"/>
          <w:b/>
          <w:bCs/>
          <w:spacing w:val="4"/>
          <w:sz w:val="22"/>
          <w:szCs w:val="22"/>
          <w:lang w:val="es-ES" w:eastAsia="es-ES"/>
        </w:rPr>
        <w:t xml:space="preserve">Recurso de Apelación en Subsidio y Nulidad concomitante, </w:t>
      </w:r>
      <w:r>
        <w:rPr>
          <w:rFonts w:ascii="Verdana" w:hAnsi="Verdana" w:cs="Verdana"/>
          <w:spacing w:val="4"/>
          <w:sz w:val="22"/>
          <w:szCs w:val="22"/>
          <w:lang w:val="es-ES" w:eastAsia="es-ES"/>
        </w:rPr>
        <w:t xml:space="preserve">interpuesto por la señora </w:t>
      </w:r>
      <w:r>
        <w:rPr>
          <w:rFonts w:ascii="Verdana" w:hAnsi="Verdana" w:cs="Verdana"/>
          <w:b/>
          <w:bCs/>
          <w:spacing w:val="4"/>
          <w:sz w:val="22"/>
          <w:szCs w:val="22"/>
          <w:lang w:val="es-ES" w:eastAsia="es-ES"/>
        </w:rPr>
        <w:t>R</w:t>
      </w:r>
      <w:r w:rsidR="00E80696">
        <w:rPr>
          <w:rFonts w:ascii="Verdana" w:hAnsi="Verdana" w:cs="Verdana"/>
          <w:b/>
          <w:bCs/>
          <w:spacing w:val="4"/>
          <w:sz w:val="22"/>
          <w:szCs w:val="22"/>
          <w:lang w:val="es-ES" w:eastAsia="es-ES"/>
        </w:rPr>
        <w:t>.M.S.R.</w:t>
      </w:r>
      <w:r>
        <w:rPr>
          <w:rFonts w:ascii="Verdana" w:hAnsi="Verdana" w:cs="Verdana"/>
          <w:b/>
          <w:bCs/>
          <w:spacing w:val="4"/>
          <w:sz w:val="22"/>
          <w:szCs w:val="22"/>
          <w:lang w:val="es-ES" w:eastAsia="es-ES"/>
        </w:rPr>
        <w:t xml:space="preserve">, cédula de identidad número </w:t>
      </w:r>
      <w:r w:rsidR="00E80696">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contra el </w:t>
      </w:r>
      <w:r w:rsidR="00E80696">
        <w:rPr>
          <w:rFonts w:ascii="Verdana" w:hAnsi="Verdana" w:cs="Verdana"/>
          <w:b/>
          <w:bCs/>
          <w:spacing w:val="4"/>
          <w:sz w:val="22"/>
          <w:szCs w:val="22"/>
          <w:lang w:val="es-ES" w:eastAsia="es-ES"/>
        </w:rPr>
        <w:t>Oficio DAJ</w:t>
      </w:r>
      <w:r>
        <w:rPr>
          <w:rFonts w:ascii="Verdana" w:hAnsi="Verdana" w:cs="Verdana"/>
          <w:b/>
          <w:bCs/>
          <w:spacing w:val="4"/>
          <w:sz w:val="22"/>
          <w:szCs w:val="22"/>
          <w:lang w:val="es-ES" w:eastAsia="es-ES"/>
        </w:rPr>
        <w:t xml:space="preserve">-2012-4335 de la Dirección de Asuntos Jurídicos. </w:t>
      </w:r>
      <w:r>
        <w:rPr>
          <w:rFonts w:ascii="Verdana" w:hAnsi="Verdana" w:cs="Verdana"/>
          <w:spacing w:val="4"/>
          <w:sz w:val="22"/>
          <w:szCs w:val="22"/>
          <w:lang w:val="es-ES" w:eastAsia="es-ES"/>
        </w:rPr>
        <w:t>Debe indicársele sin embargo a la recurrente, que una vez que la Junta directiva del Consejo de Transporte Público emita el acto final, dicho acto si puede ser recurrido en alzada ante este Tribunal Administrativo de transporte, si así lo considera pertinente.</w:t>
      </w:r>
    </w:p>
    <w:p w:rsidR="00BB7CE0" w:rsidRDefault="00BB7CE0">
      <w:pPr>
        <w:widowControl/>
        <w:rPr>
          <w:sz w:val="24"/>
          <w:szCs w:val="24"/>
        </w:rPr>
        <w:sectPr w:rsidR="00BB7CE0">
          <w:pgSz w:w="12134" w:h="15840"/>
          <w:pgMar w:top="1340" w:right="1814" w:bottom="200" w:left="2002" w:header="720" w:footer="720" w:gutter="0"/>
          <w:cols w:space="720"/>
          <w:noEndnote/>
        </w:sectPr>
      </w:pPr>
    </w:p>
    <w:p w:rsidR="00BB7CE0" w:rsidRDefault="009D786B">
      <w:pPr>
        <w:tabs>
          <w:tab w:val="left" w:pos="2592"/>
        </w:tabs>
        <w:kinsoku w:val="0"/>
        <w:overflowPunct w:val="0"/>
        <w:autoSpaceDE/>
        <w:autoSpaceDN/>
        <w:adjustRightInd/>
        <w:spacing w:line="245" w:lineRule="exact"/>
        <w:textAlignment w:val="baseline"/>
        <w:rPr>
          <w:rFonts w:ascii="Verdana" w:hAnsi="Verdana" w:cs="Verdana"/>
          <w:spacing w:val="-2"/>
          <w:sz w:val="22"/>
          <w:szCs w:val="22"/>
          <w:lang w:val="es-ES" w:eastAsia="es-ES"/>
        </w:rPr>
      </w:pPr>
      <w:r>
        <w:rPr>
          <w:spacing w:val="-2"/>
          <w:sz w:val="18"/>
          <w:szCs w:val="18"/>
          <w:lang w:val="es-ES" w:eastAsia="es-ES"/>
        </w:rPr>
        <w:tab/>
      </w:r>
    </w:p>
    <w:p w:rsidR="00BB7CE0" w:rsidRDefault="00BB7CE0">
      <w:pPr>
        <w:widowControl/>
        <w:rPr>
          <w:sz w:val="24"/>
          <w:szCs w:val="24"/>
        </w:rPr>
        <w:sectPr w:rsidR="00BB7CE0">
          <w:type w:val="continuous"/>
          <w:pgSz w:w="12134" w:h="15840"/>
          <w:pgMar w:top="1340" w:right="1814" w:bottom="200" w:left="7440" w:header="720" w:footer="720" w:gutter="0"/>
          <w:cols w:space="720"/>
          <w:noEndnote/>
        </w:sectPr>
      </w:pPr>
    </w:p>
    <w:p w:rsidR="00BB7CE0" w:rsidRDefault="009D786B">
      <w:pPr>
        <w:kinsoku w:val="0"/>
        <w:overflowPunct w:val="0"/>
        <w:autoSpaceDE/>
        <w:autoSpaceDN/>
        <w:adjustRightInd/>
        <w:spacing w:after="544" w:line="257" w:lineRule="exact"/>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lastRenderedPageBreak/>
        <w:t>POR TANTO</w:t>
      </w:r>
    </w:p>
    <w:p w:rsidR="00BB7CE0" w:rsidRDefault="00BB7CE0">
      <w:pPr>
        <w:widowControl/>
        <w:rPr>
          <w:sz w:val="24"/>
          <w:szCs w:val="24"/>
        </w:rPr>
        <w:sectPr w:rsidR="00BB7CE0">
          <w:pgSz w:w="12134" w:h="15840"/>
          <w:pgMar w:top="2640" w:right="5266" w:bottom="264" w:left="5008" w:header="720" w:footer="720" w:gutter="0"/>
          <w:cols w:space="720"/>
          <w:noEndnote/>
        </w:sectPr>
      </w:pPr>
    </w:p>
    <w:p w:rsidR="00BB7CE0" w:rsidRDefault="009D786B">
      <w:pPr>
        <w:numPr>
          <w:ilvl w:val="0"/>
          <w:numId w:val="4"/>
        </w:numPr>
        <w:kinsoku w:val="0"/>
        <w:overflowPunct w:val="0"/>
        <w:autoSpaceDE/>
        <w:autoSpaceDN/>
        <w:adjustRightInd/>
        <w:spacing w:before="23" w:line="274" w:lineRule="exact"/>
        <w:ind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Rechaza por mal elevado </w:t>
      </w:r>
      <w:r>
        <w:rPr>
          <w:rFonts w:ascii="Verdana" w:hAnsi="Verdana" w:cs="Verdana"/>
          <w:b/>
          <w:bCs/>
          <w:sz w:val="21"/>
          <w:szCs w:val="21"/>
          <w:lang w:val="es-ES" w:eastAsia="es-ES"/>
        </w:rPr>
        <w:t xml:space="preserve">Recurso de Apelación en Subsidio y Nulidad concomitante, </w:t>
      </w:r>
      <w:r>
        <w:rPr>
          <w:rFonts w:ascii="Verdana" w:hAnsi="Verdana" w:cs="Verdana"/>
          <w:sz w:val="21"/>
          <w:szCs w:val="21"/>
          <w:lang w:val="es-ES" w:eastAsia="es-ES"/>
        </w:rPr>
        <w:t xml:space="preserve">interpuesto por la señora </w:t>
      </w:r>
      <w:r>
        <w:rPr>
          <w:rFonts w:ascii="Verdana" w:hAnsi="Verdana" w:cs="Verdana"/>
          <w:b/>
          <w:bCs/>
          <w:sz w:val="21"/>
          <w:szCs w:val="21"/>
          <w:lang w:val="es-ES" w:eastAsia="es-ES"/>
        </w:rPr>
        <w:t>R</w:t>
      </w:r>
      <w:r w:rsidR="00E80696">
        <w:rPr>
          <w:rFonts w:ascii="Verdana" w:hAnsi="Verdana" w:cs="Verdana"/>
          <w:b/>
          <w:bCs/>
          <w:sz w:val="21"/>
          <w:szCs w:val="21"/>
          <w:lang w:val="es-ES" w:eastAsia="es-ES"/>
        </w:rPr>
        <w:t>.M.S.R.</w:t>
      </w:r>
      <w:r>
        <w:rPr>
          <w:rFonts w:ascii="Verdana" w:hAnsi="Verdana" w:cs="Verdana"/>
          <w:b/>
          <w:bCs/>
          <w:sz w:val="21"/>
          <w:szCs w:val="21"/>
          <w:lang w:val="es-ES" w:eastAsia="es-ES"/>
        </w:rPr>
        <w:t xml:space="preserve">, cédula de identidad número </w:t>
      </w:r>
      <w:r w:rsidR="00E80696">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Oficio DM-2012-4335, </w:t>
      </w:r>
      <w:r>
        <w:rPr>
          <w:rFonts w:ascii="Verdana" w:hAnsi="Verdana" w:cs="Verdana"/>
          <w:sz w:val="21"/>
          <w:szCs w:val="21"/>
          <w:lang w:val="es-ES" w:eastAsia="es-ES"/>
        </w:rPr>
        <w:t xml:space="preserve">de fecha 18 de diciembre de 2012 de la </w:t>
      </w:r>
      <w:r>
        <w:rPr>
          <w:rFonts w:ascii="Verdana" w:hAnsi="Verdana" w:cs="Verdana"/>
          <w:b/>
          <w:bCs/>
          <w:sz w:val="21"/>
          <w:szCs w:val="21"/>
          <w:lang w:val="es-ES" w:eastAsia="es-ES"/>
        </w:rPr>
        <w:t xml:space="preserve">Dirección de Asuntos Jurídicos </w:t>
      </w:r>
      <w:r>
        <w:rPr>
          <w:rFonts w:ascii="Verdana" w:hAnsi="Verdana" w:cs="Verdana"/>
          <w:sz w:val="21"/>
          <w:szCs w:val="21"/>
          <w:lang w:val="es-ES" w:eastAsia="es-ES"/>
        </w:rPr>
        <w:t>del Consejo de Transporte Público.</w:t>
      </w:r>
    </w:p>
    <w:p w:rsidR="00BB7CE0" w:rsidRDefault="009D786B">
      <w:pPr>
        <w:numPr>
          <w:ilvl w:val="0"/>
          <w:numId w:val="5"/>
        </w:numPr>
        <w:kinsoku w:val="0"/>
        <w:overflowPunct w:val="0"/>
        <w:autoSpaceDE/>
        <w:autoSpaceDN/>
        <w:adjustRightInd/>
        <w:spacing w:before="280" w:after="753" w:line="280" w:lineRule="exact"/>
        <w:ind w:right="79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Devuélvase el asunto al Consejo de Transporte Público </w:t>
      </w:r>
      <w:r>
        <w:rPr>
          <w:rFonts w:ascii="Verdana" w:hAnsi="Verdana" w:cs="Verdana"/>
          <w:sz w:val="21"/>
          <w:szCs w:val="21"/>
          <w:lang w:val="es-ES" w:eastAsia="es-ES"/>
        </w:rPr>
        <w:t xml:space="preserve">para lo de su competencia. </w:t>
      </w:r>
      <w:r>
        <w:rPr>
          <w:rFonts w:ascii="Verdana" w:hAnsi="Verdana" w:cs="Verdana"/>
          <w:b/>
          <w:bCs/>
          <w:sz w:val="21"/>
          <w:szCs w:val="21"/>
          <w:lang w:val="es-ES" w:eastAsia="es-ES"/>
        </w:rPr>
        <w:t>NOTIFIQUESE.</w:t>
      </w:r>
    </w:p>
    <w:p w:rsidR="00E80696" w:rsidRPr="00AE0D42" w:rsidRDefault="00E80696" w:rsidP="00E80696">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E80696" w:rsidRDefault="00E80696" w:rsidP="00E8069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E80696" w:rsidRDefault="00E80696" w:rsidP="00E8069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E80696" w:rsidRDefault="00E80696" w:rsidP="00E8069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E80696" w:rsidRPr="00AE0D42" w:rsidRDefault="00E80696" w:rsidP="00E80696">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E80696" w:rsidRDefault="00E80696" w:rsidP="00E80696">
      <w:pPr>
        <w:kinsoku w:val="0"/>
        <w:overflowPunct w:val="0"/>
        <w:autoSpaceDE/>
        <w:autoSpaceDN/>
        <w:adjustRightInd/>
        <w:ind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E80696" w:rsidRDefault="00E80696" w:rsidP="00E80696">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E80696" w:rsidRDefault="00E80696" w:rsidP="00E80696">
      <w:pPr>
        <w:kinsoku w:val="0"/>
        <w:overflowPunct w:val="0"/>
        <w:autoSpaceDE/>
        <w:autoSpaceDN/>
        <w:adjustRightInd/>
        <w:spacing w:before="280" w:after="753" w:line="280" w:lineRule="exact"/>
        <w:ind w:right="792"/>
        <w:jc w:val="both"/>
        <w:textAlignment w:val="baseline"/>
        <w:rPr>
          <w:rFonts w:ascii="Verdana" w:hAnsi="Verdana" w:cs="Verdana"/>
          <w:b/>
          <w:bCs/>
          <w:sz w:val="21"/>
          <w:szCs w:val="21"/>
          <w:lang w:val="es-ES" w:eastAsia="es-ES"/>
        </w:rPr>
      </w:pPr>
    </w:p>
    <w:p w:rsidR="00BB7CE0" w:rsidRDefault="00BB7CE0">
      <w:pPr>
        <w:kinsoku w:val="0"/>
        <w:overflowPunct w:val="0"/>
        <w:autoSpaceDE/>
        <w:autoSpaceDN/>
        <w:adjustRightInd/>
        <w:spacing w:after="4387"/>
        <w:ind w:left="230" w:right="92"/>
        <w:textAlignment w:val="baseline"/>
        <w:rPr>
          <w:sz w:val="24"/>
          <w:szCs w:val="24"/>
        </w:rPr>
        <w:sectPr w:rsidR="00BB7CE0">
          <w:type w:val="continuous"/>
          <w:pgSz w:w="12134" w:h="15840"/>
          <w:pgMar w:top="2640" w:right="1660" w:bottom="264" w:left="2194" w:header="720" w:footer="720" w:gutter="0"/>
          <w:cols w:space="720"/>
          <w:noEndnote/>
        </w:sectPr>
      </w:pPr>
    </w:p>
    <w:p w:rsidR="009D786B" w:rsidRDefault="009D786B" w:rsidP="00E80696">
      <w:pPr>
        <w:tabs>
          <w:tab w:val="right" w:pos="2664"/>
        </w:tabs>
        <w:kinsoku w:val="0"/>
        <w:overflowPunct w:val="0"/>
        <w:autoSpaceDE/>
        <w:autoSpaceDN/>
        <w:adjustRightInd/>
        <w:spacing w:line="232" w:lineRule="exact"/>
        <w:textAlignment w:val="baseline"/>
        <w:rPr>
          <w:rFonts w:ascii="Verdana" w:hAnsi="Verdana" w:cs="Verdana"/>
          <w:sz w:val="18"/>
          <w:szCs w:val="18"/>
          <w:lang w:val="es-ES" w:eastAsia="es-ES"/>
        </w:rPr>
      </w:pPr>
    </w:p>
    <w:sectPr w:rsidR="009D786B">
      <w:type w:val="continuous"/>
      <w:pgSz w:w="12134" w:h="15840"/>
      <w:pgMar w:top="2640" w:right="1884" w:bottom="264" w:left="75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9143"/>
    <w:multiLevelType w:val="singleLevel"/>
    <w:tmpl w:val="590E33F8"/>
    <w:lvl w:ilvl="0">
      <w:start w:val="1"/>
      <w:numFmt w:val="lowerLetter"/>
      <w:lvlText w:val="%1)"/>
      <w:lvlJc w:val="left"/>
      <w:pPr>
        <w:tabs>
          <w:tab w:val="num" w:pos="864"/>
        </w:tabs>
        <w:ind w:left="504"/>
      </w:pPr>
      <w:rPr>
        <w:rFonts w:ascii="Verdana" w:hAnsi="Verdana" w:cs="Verdana"/>
        <w:b/>
        <w:bCs/>
        <w:i/>
        <w:iCs/>
        <w:snapToGrid/>
        <w:sz w:val="22"/>
        <w:szCs w:val="22"/>
      </w:rPr>
    </w:lvl>
  </w:abstractNum>
  <w:abstractNum w:abstractNumId="1" w15:restartNumberingAfterBreak="0">
    <w:nsid w:val="053DE724"/>
    <w:multiLevelType w:val="singleLevel"/>
    <w:tmpl w:val="27D0EDCB"/>
    <w:lvl w:ilvl="0">
      <w:start w:val="1"/>
      <w:numFmt w:val="upperRoman"/>
      <w:lvlText w:val="%1.-"/>
      <w:lvlJc w:val="left"/>
      <w:pPr>
        <w:tabs>
          <w:tab w:val="num" w:pos="576"/>
        </w:tabs>
      </w:pPr>
      <w:rPr>
        <w:rFonts w:ascii="Verdana" w:hAnsi="Verdana" w:cs="Verdana"/>
        <w:snapToGrid/>
        <w:sz w:val="21"/>
        <w:szCs w:val="21"/>
      </w:rPr>
    </w:lvl>
  </w:abstractNum>
  <w:num w:numId="1">
    <w:abstractNumId w:val="0"/>
  </w:num>
  <w:num w:numId="2">
    <w:abstractNumId w:val="0"/>
    <w:lvlOverride w:ilvl="0">
      <w:lvl w:ilvl="0">
        <w:numFmt w:val="lowerLetter"/>
        <w:lvlText w:val="%1)"/>
        <w:lvlJc w:val="left"/>
        <w:pPr>
          <w:tabs>
            <w:tab w:val="num" w:pos="936"/>
          </w:tabs>
          <w:ind w:left="504"/>
        </w:pPr>
        <w:rPr>
          <w:rFonts w:ascii="Verdana" w:hAnsi="Verdana" w:cs="Verdana"/>
          <w:i/>
          <w:iCs/>
          <w:snapToGrid/>
          <w:sz w:val="22"/>
          <w:szCs w:val="22"/>
        </w:rPr>
      </w:lvl>
    </w:lvlOverride>
  </w:num>
  <w:num w:numId="3">
    <w:abstractNumId w:val="0"/>
    <w:lvlOverride w:ilvl="0">
      <w:lvl w:ilvl="0">
        <w:numFmt w:val="lowerLetter"/>
        <w:lvlText w:val="%1)"/>
        <w:lvlJc w:val="left"/>
        <w:pPr>
          <w:tabs>
            <w:tab w:val="num" w:pos="792"/>
          </w:tabs>
          <w:ind w:left="504"/>
        </w:pPr>
        <w:rPr>
          <w:rFonts w:ascii="Verdana" w:hAnsi="Verdana" w:cs="Verdana"/>
          <w:i/>
          <w:iCs/>
          <w:snapToGrid/>
          <w:sz w:val="22"/>
          <w:szCs w:val="22"/>
        </w:rPr>
      </w:lvl>
    </w:lvlOverride>
  </w:num>
  <w:num w:numId="4">
    <w:abstractNumId w:val="1"/>
  </w:num>
  <w:num w:numId="5">
    <w:abstractNumId w:val="1"/>
    <w:lvlOverride w:ilvl="0">
      <w:lvl w:ilvl="0">
        <w:numFmt w:val="upperRoman"/>
        <w:lvlText w:val="%1.-"/>
        <w:lvlJc w:val="left"/>
        <w:pPr>
          <w:tabs>
            <w:tab w:val="num" w:pos="504"/>
          </w:tabs>
        </w:pPr>
        <w:rPr>
          <w:rFonts w:ascii="Verdana" w:hAnsi="Verdana" w:cs="Verdana"/>
          <w:b/>
          <w:bCs/>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4A"/>
    <w:rsid w:val="009D786B"/>
    <w:rsid w:val="00A66B4A"/>
    <w:rsid w:val="00BB7CE0"/>
    <w:rsid w:val="00DF4867"/>
    <w:rsid w:val="00E806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80696"/>
    <w:rPr>
      <w:lang w:val="es-CR"/>
    </w:rPr>
  </w:style>
  <w:style w:type="character" w:customStyle="1" w:styleId="CharacterStyle1">
    <w:name w:val="Character Style 1"/>
    <w:uiPriority w:val="99"/>
    <w:rsid w:val="00E806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5720</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2019-09-11T15:35:00Z</dcterms:created>
  <dcterms:modified xsi:type="dcterms:W3CDTF">2019-09-11T15:35:00Z</dcterms:modified>
</cp:coreProperties>
</file>