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0F5E">
      <w:pPr>
        <w:kinsoku w:val="0"/>
        <w:overflowPunct w:val="0"/>
        <w:autoSpaceDE/>
        <w:autoSpaceDN/>
        <w:adjustRightInd/>
        <w:spacing w:line="295" w:lineRule="exact"/>
        <w:ind w:left="72"/>
        <w:jc w:val="center"/>
        <w:textAlignment w:val="baseline"/>
        <w:rPr>
          <w:b/>
          <w:bCs/>
          <w:sz w:val="26"/>
          <w:szCs w:val="26"/>
          <w:lang w:val="es-ES" w:eastAsia="es-ES"/>
        </w:rPr>
      </w:pPr>
      <w:r>
        <w:rPr>
          <w:b/>
          <w:bCs/>
          <w:sz w:val="26"/>
          <w:szCs w:val="26"/>
          <w:lang w:val="es-ES" w:eastAsia="es-ES"/>
        </w:rPr>
        <w:t>RESOLUCIÓN No. TAT-2556-2015</w:t>
      </w:r>
    </w:p>
    <w:p w:rsidR="00000000" w:rsidRDefault="00F80F5E">
      <w:pPr>
        <w:kinsoku w:val="0"/>
        <w:overflowPunct w:val="0"/>
        <w:autoSpaceDE/>
        <w:autoSpaceDN/>
        <w:adjustRightInd/>
        <w:spacing w:before="361" w:line="304" w:lineRule="exact"/>
        <w:ind w:left="72"/>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w:t>
      </w:r>
      <w:r>
        <w:rPr>
          <w:spacing w:val="6"/>
          <w:sz w:val="26"/>
          <w:szCs w:val="26"/>
          <w:lang w:val="es-ES" w:eastAsia="es-ES"/>
        </w:rPr>
        <w:t>s 09:52</w:t>
      </w:r>
    </w:p>
    <w:p w:rsidR="00000000" w:rsidRDefault="00AC3AF8">
      <w:pPr>
        <w:tabs>
          <w:tab w:val="left" w:leader="hyphen" w:pos="8928"/>
        </w:tabs>
        <w:kinsoku w:val="0"/>
        <w:overflowPunct w:val="0"/>
        <w:autoSpaceDE/>
        <w:autoSpaceDN/>
        <w:adjustRightInd/>
        <w:spacing w:before="41" w:line="304" w:lineRule="exact"/>
        <w:ind w:left="72"/>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w:t>
      </w:r>
      <w:r w:rsidR="00F80F5E">
        <w:rPr>
          <w:sz w:val="26"/>
          <w:szCs w:val="26"/>
          <w:lang w:val="es-ES" w:eastAsia="es-ES"/>
        </w:rPr>
        <w:t xml:space="preserve"> día Treinta de Abril del Dos Mil Quince.</w:t>
      </w:r>
      <w:r w:rsidR="00F80F5E">
        <w:rPr>
          <w:sz w:val="26"/>
          <w:szCs w:val="26"/>
          <w:lang w:val="es-ES" w:eastAsia="es-ES"/>
        </w:rPr>
        <w:tab/>
      </w:r>
    </w:p>
    <w:p w:rsidR="00000000" w:rsidRDefault="00F80F5E">
      <w:pPr>
        <w:kinsoku w:val="0"/>
        <w:overflowPunct w:val="0"/>
        <w:autoSpaceDE/>
        <w:autoSpaceDN/>
        <w:adjustRightInd/>
        <w:spacing w:before="348" w:line="304" w:lineRule="exact"/>
        <w:ind w:left="72" w:right="144"/>
        <w:jc w:val="both"/>
        <w:textAlignment w:val="baseline"/>
        <w:rPr>
          <w:sz w:val="24"/>
          <w:szCs w:val="24"/>
          <w:lang w:eastAsia="en-US"/>
        </w:rPr>
      </w:pPr>
      <w:r>
        <w:rPr>
          <w:sz w:val="26"/>
          <w:szCs w:val="26"/>
          <w:lang w:val="es-ES" w:eastAsia="es-ES"/>
        </w:rPr>
        <w:t xml:space="preserve">Se conoce por este medio de elevación de </w:t>
      </w:r>
      <w:r>
        <w:rPr>
          <w:b/>
          <w:bCs/>
          <w:sz w:val="26"/>
          <w:szCs w:val="26"/>
          <w:lang w:val="es-ES" w:eastAsia="es-ES"/>
        </w:rPr>
        <w:t xml:space="preserve">RECURSO DE NULIDAD </w:t>
      </w:r>
      <w:r>
        <w:rPr>
          <w:sz w:val="26"/>
          <w:szCs w:val="26"/>
          <w:lang w:val="es-ES" w:eastAsia="es-ES"/>
        </w:rPr>
        <w:t xml:space="preserve">interpuesto por la señora </w:t>
      </w:r>
      <w:r>
        <w:rPr>
          <w:b/>
          <w:bCs/>
          <w:sz w:val="26"/>
          <w:szCs w:val="26"/>
          <w:lang w:val="es-ES" w:eastAsia="es-ES"/>
        </w:rPr>
        <w:t>P</w:t>
      </w:r>
      <w:r w:rsidR="00AC3AF8">
        <w:rPr>
          <w:b/>
          <w:bCs/>
          <w:sz w:val="26"/>
          <w:szCs w:val="26"/>
          <w:lang w:val="es-ES" w:eastAsia="es-ES"/>
        </w:rPr>
        <w:t>.V.S.</w:t>
      </w:r>
      <w:r>
        <w:rPr>
          <w:b/>
          <w:bCs/>
          <w:sz w:val="26"/>
          <w:szCs w:val="26"/>
          <w:lang w:val="es-ES" w:eastAsia="es-ES"/>
        </w:rPr>
        <w:t xml:space="preserve">, </w:t>
      </w:r>
      <w:r>
        <w:rPr>
          <w:sz w:val="26"/>
          <w:szCs w:val="26"/>
          <w:lang w:val="es-ES" w:eastAsia="es-ES"/>
        </w:rPr>
        <w:t xml:space="preserve">portadora de la cédula de identidad </w:t>
      </w:r>
      <w:proofErr w:type="gramStart"/>
      <w:r>
        <w:rPr>
          <w:sz w:val="26"/>
          <w:szCs w:val="26"/>
          <w:lang w:val="es-ES" w:eastAsia="es-ES"/>
        </w:rPr>
        <w:t xml:space="preserve">número </w:t>
      </w:r>
      <w:r w:rsidR="00AC3AF8">
        <w:rPr>
          <w:sz w:val="26"/>
          <w:szCs w:val="26"/>
          <w:lang w:val="es-ES" w:eastAsia="es-ES"/>
        </w:rPr>
        <w:t>…</w:t>
      </w:r>
      <w:proofErr w:type="gramEnd"/>
      <w:r>
        <w:rPr>
          <w:sz w:val="26"/>
          <w:szCs w:val="26"/>
          <w:lang w:val="es-ES" w:eastAsia="es-ES"/>
        </w:rPr>
        <w:t xml:space="preserve">, en cuanto al Oficio No. DAJ-2013-006152 de la Dirección de Asuntos Jurídicos del Consejo de Transporte Público y contra lo Actuado por la Junta Directiva de dicho Consejo en su Sesión del 10 de Enero del año 2014 </w:t>
      </w:r>
      <w:r>
        <w:rPr>
          <w:i/>
          <w:iCs/>
          <w:sz w:val="26"/>
          <w:szCs w:val="26"/>
          <w:lang w:val="es-ES" w:eastAsia="es-ES"/>
        </w:rPr>
        <w:t xml:space="preserve">(sic.) </w:t>
      </w:r>
      <w:r>
        <w:rPr>
          <w:sz w:val="26"/>
          <w:szCs w:val="26"/>
          <w:lang w:val="es-ES" w:eastAsia="es-ES"/>
        </w:rPr>
        <w:t>en cuanto a la Accionante a</w:t>
      </w:r>
      <w:r>
        <w:rPr>
          <w:sz w:val="26"/>
          <w:szCs w:val="26"/>
          <w:lang w:val="es-ES" w:eastAsia="es-ES"/>
        </w:rPr>
        <w:t xml:space="preserve">ludida y en torno a la Concesión de Taxi Placa No. TSJ-5637.- </w:t>
      </w:r>
      <w:r>
        <w:rPr>
          <w:b/>
          <w:bCs/>
          <w:i/>
          <w:iCs/>
          <w:sz w:val="26"/>
          <w:szCs w:val="26"/>
          <w:lang w:val="es-ES" w:eastAsia="es-ES"/>
        </w:rPr>
        <w:t>EXPEDIENTE No. TAT-202-15.</w:t>
      </w:r>
      <w:r>
        <w:rPr>
          <w:b/>
          <w:bCs/>
          <w:i/>
          <w:iCs/>
          <w:sz w:val="26"/>
          <w:szCs w:val="26"/>
          <w:lang w:val="es-ES" w:eastAsia="es-ES"/>
        </w:rPr>
        <w:noBreakHyphen/>
      </w:r>
    </w:p>
    <w:p w:rsidR="00000000" w:rsidRDefault="00F80F5E">
      <w:pPr>
        <w:kinsoku w:val="0"/>
        <w:overflowPunct w:val="0"/>
        <w:autoSpaceDE/>
        <w:autoSpaceDN/>
        <w:adjustRightInd/>
        <w:spacing w:before="305" w:line="300"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F80F5E">
      <w:pPr>
        <w:kinsoku w:val="0"/>
        <w:overflowPunct w:val="0"/>
        <w:autoSpaceDE/>
        <w:autoSpaceDN/>
        <w:adjustRightInd/>
        <w:spacing w:before="296" w:line="304" w:lineRule="exact"/>
        <w:ind w:left="72" w:right="144"/>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En lo real, mediante su Acuerdo No. 5.29 de su Sesión Ordinaria No. 01-2014 del 08 de Enero del 2014 </w:t>
      </w:r>
      <w:r>
        <w:rPr>
          <w:i/>
          <w:iCs/>
          <w:sz w:val="26"/>
          <w:szCs w:val="26"/>
          <w:lang w:val="es-ES" w:eastAsia="es-ES"/>
        </w:rPr>
        <w:t xml:space="preserve">(no del 10 de Enero de ese ano como aduce la Gestionarte), </w:t>
      </w:r>
      <w:r>
        <w:rPr>
          <w:sz w:val="26"/>
          <w:szCs w:val="26"/>
          <w:lang w:val="es-ES" w:eastAsia="es-ES"/>
        </w:rPr>
        <w:t xml:space="preserve">la Junta Directiva del Consejo de Transporte Público dispuso Archivar por Falta de Diligencia e Interés de la </w:t>
      </w:r>
      <w:proofErr w:type="spellStart"/>
      <w:r>
        <w:rPr>
          <w:sz w:val="26"/>
          <w:szCs w:val="26"/>
          <w:lang w:val="es-ES" w:eastAsia="es-ES"/>
        </w:rPr>
        <w:t>Gestionante</w:t>
      </w:r>
      <w:proofErr w:type="spellEnd"/>
      <w:r>
        <w:rPr>
          <w:sz w:val="26"/>
          <w:szCs w:val="26"/>
          <w:lang w:val="es-ES" w:eastAsia="es-ES"/>
        </w:rPr>
        <w:t xml:space="preserve"> un Trámite de Solicitud de Traspaso de Concesión Mortis causa, presentado p</w:t>
      </w:r>
      <w:r>
        <w:rPr>
          <w:sz w:val="26"/>
          <w:szCs w:val="26"/>
          <w:lang w:val="es-ES" w:eastAsia="es-ES"/>
        </w:rPr>
        <w:t>or la Señora V</w:t>
      </w:r>
      <w:r w:rsidR="00AC3AF8">
        <w:rPr>
          <w:sz w:val="26"/>
          <w:szCs w:val="26"/>
          <w:lang w:val="es-ES" w:eastAsia="es-ES"/>
        </w:rPr>
        <w:t>.S.</w:t>
      </w:r>
      <w:r>
        <w:rPr>
          <w:sz w:val="26"/>
          <w:szCs w:val="26"/>
          <w:lang w:val="es-ES" w:eastAsia="es-ES"/>
        </w:rPr>
        <w:t xml:space="preserve"> en cuanto a la Concesión de Taxi Placas No. TSJ-</w:t>
      </w:r>
      <w:r w:rsidR="00AC3AF8">
        <w:rPr>
          <w:sz w:val="26"/>
          <w:szCs w:val="26"/>
          <w:lang w:val="es-ES" w:eastAsia="es-ES"/>
        </w:rPr>
        <w:t>XXXX</w:t>
      </w:r>
      <w:r>
        <w:rPr>
          <w:sz w:val="26"/>
          <w:szCs w:val="26"/>
          <w:lang w:val="es-ES" w:eastAsia="es-ES"/>
        </w:rPr>
        <w:t xml:space="preserve">; </w:t>
      </w:r>
      <w:r>
        <w:rPr>
          <w:i/>
          <w:iCs/>
          <w:sz w:val="26"/>
          <w:szCs w:val="26"/>
          <w:lang w:val="es-ES" w:eastAsia="es-ES"/>
        </w:rPr>
        <w:t xml:space="preserve">y, </w:t>
      </w:r>
      <w:r>
        <w:rPr>
          <w:sz w:val="26"/>
          <w:szCs w:val="26"/>
          <w:lang w:val="es-ES" w:eastAsia="es-ES"/>
        </w:rPr>
        <w:t>a su vez, tener como Fenecida y/o Extinta la Concesión aludida.</w:t>
      </w:r>
    </w:p>
    <w:p w:rsidR="00000000" w:rsidRDefault="00F80F5E">
      <w:pPr>
        <w:kinsoku w:val="0"/>
        <w:overflowPunct w:val="0"/>
        <w:autoSpaceDE/>
        <w:autoSpaceDN/>
        <w:adjustRightInd/>
        <w:spacing w:before="308" w:line="304" w:lineRule="exact"/>
        <w:ind w:left="72" w:right="144"/>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Acuerdo antes dicho fue meritoriamente comunicado al correo electrónico por ella misma señalado com</w:t>
      </w:r>
      <w:r>
        <w:rPr>
          <w:sz w:val="26"/>
          <w:szCs w:val="26"/>
          <w:lang w:val="es-ES" w:eastAsia="es-ES"/>
        </w:rPr>
        <w:t>o medio para notificaciones en cuanto a los trámites de su interés desde fecha 10 de Enero del año 2014 (Ver folio No. 7 del expediente del presente Caso).</w:t>
      </w:r>
    </w:p>
    <w:p w:rsidR="00000000" w:rsidRDefault="00F80F5E">
      <w:pPr>
        <w:kinsoku w:val="0"/>
        <w:overflowPunct w:val="0"/>
        <w:autoSpaceDE/>
        <w:autoSpaceDN/>
        <w:adjustRightInd/>
        <w:spacing w:before="291" w:line="304" w:lineRule="exact"/>
        <w:ind w:left="72" w:right="144"/>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No es sino hasta el día 18 de Julio del año 2014 que la Señora V</w:t>
      </w:r>
      <w:r w:rsidR="00AC3AF8">
        <w:rPr>
          <w:sz w:val="26"/>
          <w:szCs w:val="26"/>
          <w:lang w:val="es-ES" w:eastAsia="es-ES"/>
        </w:rPr>
        <w:t>.S.</w:t>
      </w:r>
      <w:r>
        <w:rPr>
          <w:sz w:val="26"/>
          <w:szCs w:val="26"/>
          <w:lang w:val="es-ES" w:eastAsia="es-ES"/>
        </w:rPr>
        <w:t xml:space="preserve"> se presenta con u</w:t>
      </w:r>
      <w:r>
        <w:rPr>
          <w:sz w:val="26"/>
          <w:szCs w:val="26"/>
          <w:lang w:val="es-ES" w:eastAsia="es-ES"/>
        </w:rPr>
        <w:t>na Gestión que ella denomina como RECURSO DE NULIDAD, no impugnando tanto el fondo del Acuerdo antes referido; sino que solamente aduciendo una supuesta Nulidad por la indebida Notificación del Acto en cuestión, toda vez que indica haber deshabilitado y ca</w:t>
      </w:r>
      <w:r>
        <w:rPr>
          <w:sz w:val="26"/>
          <w:szCs w:val="26"/>
          <w:lang w:val="es-ES" w:eastAsia="es-ES"/>
        </w:rPr>
        <w:t>mbiado de medio de Notificaciones en cuanto a los trámites de su interés.</w:t>
      </w:r>
    </w:p>
    <w:p w:rsidR="00000000" w:rsidRDefault="00F80F5E">
      <w:pPr>
        <w:widowControl/>
        <w:rPr>
          <w:sz w:val="24"/>
          <w:szCs w:val="24"/>
        </w:rPr>
        <w:sectPr w:rsidR="00000000">
          <w:pgSz w:w="12134" w:h="15840"/>
          <w:pgMar w:top="1400" w:right="1406" w:bottom="948" w:left="1568" w:header="720" w:footer="720" w:gutter="0"/>
          <w:cols w:space="720"/>
          <w:noEndnote/>
        </w:sectPr>
      </w:pPr>
    </w:p>
    <w:p w:rsidR="00000000" w:rsidRDefault="00F80F5E">
      <w:pPr>
        <w:kinsoku w:val="0"/>
        <w:overflowPunct w:val="0"/>
        <w:autoSpaceDE/>
        <w:autoSpaceDN/>
        <w:adjustRightInd/>
        <w:spacing w:line="301" w:lineRule="exact"/>
        <w:ind w:left="144" w:right="72"/>
        <w:jc w:val="both"/>
        <w:textAlignment w:val="baseline"/>
        <w:rPr>
          <w:sz w:val="26"/>
          <w:szCs w:val="26"/>
          <w:lang w:val="es-ES" w:eastAsia="es-ES"/>
        </w:rPr>
      </w:pPr>
      <w:r w:rsidRPr="00AC3AF8">
        <w:rPr>
          <w:b/>
          <w:sz w:val="26"/>
          <w:szCs w:val="26"/>
          <w:lang w:val="es-ES" w:eastAsia="es-ES"/>
        </w:rPr>
        <w:lastRenderedPageBreak/>
        <w:t>CUARTO:</w:t>
      </w:r>
      <w:r>
        <w:rPr>
          <w:sz w:val="26"/>
          <w:szCs w:val="26"/>
          <w:lang w:val="es-ES" w:eastAsia="es-ES"/>
        </w:rPr>
        <w:t xml:space="preserve"> Mediante su Acuerdo No. 6.29 de su Sesión Ordinaria No. 75-2014, del 08 de Diciembre del 2014, el Recurso interpuesto por la Señora V</w:t>
      </w:r>
      <w:r w:rsidR="00AC3AF8">
        <w:rPr>
          <w:sz w:val="26"/>
          <w:szCs w:val="26"/>
          <w:lang w:val="es-ES" w:eastAsia="es-ES"/>
        </w:rPr>
        <w:t>.S., considerado com</w:t>
      </w:r>
      <w:r>
        <w:rPr>
          <w:sz w:val="26"/>
          <w:szCs w:val="26"/>
          <w:lang w:val="es-ES" w:eastAsia="es-ES"/>
        </w:rPr>
        <w:t>o un Recurso de Revocatoria, es conocido y rech</w:t>
      </w:r>
      <w:r>
        <w:rPr>
          <w:sz w:val="26"/>
          <w:szCs w:val="26"/>
          <w:lang w:val="es-ES" w:eastAsia="es-ES"/>
        </w:rPr>
        <w:t>azado, aduciéndose su presentación extemporánea y afirmándose que la comunicación de actos cuestionada estuvo correcta, pues la interesada nunca cambió formalmente su medio de notificaciones.</w:t>
      </w:r>
    </w:p>
    <w:p w:rsidR="00000000" w:rsidRDefault="00F80F5E">
      <w:pPr>
        <w:kinsoku w:val="0"/>
        <w:overflowPunct w:val="0"/>
        <w:autoSpaceDE/>
        <w:autoSpaceDN/>
        <w:adjustRightInd/>
        <w:spacing w:before="317" w:line="303" w:lineRule="exact"/>
        <w:ind w:left="144" w:right="72"/>
        <w:jc w:val="both"/>
        <w:textAlignment w:val="baseline"/>
        <w:rPr>
          <w:sz w:val="26"/>
          <w:szCs w:val="26"/>
          <w:lang w:val="es-ES" w:eastAsia="es-ES"/>
        </w:rPr>
      </w:pPr>
      <w:r w:rsidRPr="00AC3AF8">
        <w:rPr>
          <w:b/>
          <w:sz w:val="26"/>
          <w:szCs w:val="26"/>
          <w:lang w:val="es-ES" w:eastAsia="es-ES"/>
        </w:rPr>
        <w:t>QUINTO:</w:t>
      </w:r>
      <w:r>
        <w:rPr>
          <w:sz w:val="26"/>
          <w:szCs w:val="26"/>
          <w:lang w:val="es-ES" w:eastAsia="es-ES"/>
        </w:rPr>
        <w:t xml:space="preserve"> Para mejor apreciación del caso, este Tribunal pidió a l</w:t>
      </w:r>
      <w:r>
        <w:rPr>
          <w:sz w:val="26"/>
          <w:szCs w:val="26"/>
          <w:lang w:val="es-ES" w:eastAsia="es-ES"/>
        </w:rPr>
        <w:t>a Interesada que aportara pruebas debidas de su Gestión de Cambio de Forma, Medio y/o Lugar para Notificaciones y la misma, mediante escrito del 07 de Abril del presente año, señala que la supuesta "</w:t>
      </w:r>
      <w:proofErr w:type="spellStart"/>
      <w:r>
        <w:rPr>
          <w:sz w:val="26"/>
          <w:szCs w:val="26"/>
          <w:lang w:val="es-ES" w:eastAsia="es-ES"/>
        </w:rPr>
        <w:t>deshabilitación</w:t>
      </w:r>
      <w:proofErr w:type="spellEnd"/>
      <w:r>
        <w:rPr>
          <w:sz w:val="26"/>
          <w:szCs w:val="26"/>
          <w:lang w:val="es-ES" w:eastAsia="es-ES"/>
        </w:rPr>
        <w:t xml:space="preserve"> de medio para notificaciones fue verbal y</w:t>
      </w:r>
      <w:r>
        <w:rPr>
          <w:sz w:val="26"/>
          <w:szCs w:val="26"/>
          <w:lang w:val="es-ES" w:eastAsia="es-ES"/>
        </w:rPr>
        <w:t xml:space="preserve"> nunca en forma escrita". Sin aportar ninguna prueba adicional de su mero decir.</w:t>
      </w:r>
    </w:p>
    <w:p w:rsidR="00000000" w:rsidRDefault="00F80F5E">
      <w:pPr>
        <w:kinsoku w:val="0"/>
        <w:overflowPunct w:val="0"/>
        <w:autoSpaceDE/>
        <w:autoSpaceDN/>
        <w:adjustRightInd/>
        <w:spacing w:before="299" w:line="303" w:lineRule="exact"/>
        <w:ind w:left="144" w:right="72"/>
        <w:jc w:val="both"/>
        <w:textAlignment w:val="baseline"/>
        <w:rPr>
          <w:sz w:val="26"/>
          <w:szCs w:val="26"/>
          <w:lang w:val="es-ES" w:eastAsia="es-ES"/>
        </w:rPr>
      </w:pPr>
      <w:r w:rsidRPr="00AC3AF8">
        <w:rPr>
          <w:b/>
          <w:sz w:val="26"/>
          <w:szCs w:val="26"/>
          <w:lang w:val="es-ES" w:eastAsia="es-ES"/>
        </w:rPr>
        <w:t>SEXTO</w:t>
      </w:r>
      <w:r w:rsidR="00AC3AF8">
        <w:rPr>
          <w:b/>
          <w:sz w:val="26"/>
          <w:szCs w:val="26"/>
          <w:lang w:val="es-ES" w:eastAsia="es-ES"/>
        </w:rPr>
        <w:t>:</w:t>
      </w:r>
      <w:r>
        <w:rPr>
          <w:sz w:val="26"/>
          <w:szCs w:val="26"/>
          <w:lang w:val="es-ES" w:eastAsia="es-ES"/>
        </w:rPr>
        <w:t xml:space="preserve"> Conforme lo anterior y en mérito de los términos y prescripciones de Ley, procede a conocer este Tribunal.</w:t>
      </w:r>
    </w:p>
    <w:p w:rsidR="00000000" w:rsidRPr="00AC3AF8" w:rsidRDefault="00F80F5E">
      <w:pPr>
        <w:kinsoku w:val="0"/>
        <w:overflowPunct w:val="0"/>
        <w:autoSpaceDE/>
        <w:autoSpaceDN/>
        <w:adjustRightInd/>
        <w:spacing w:before="318" w:line="305" w:lineRule="exact"/>
        <w:ind w:left="144" w:right="72"/>
        <w:textAlignment w:val="baseline"/>
        <w:rPr>
          <w:b/>
          <w:i/>
          <w:iCs/>
          <w:spacing w:val="9"/>
          <w:sz w:val="26"/>
          <w:szCs w:val="26"/>
          <w:lang w:val="es-ES" w:eastAsia="es-ES"/>
        </w:rPr>
      </w:pPr>
      <w:r w:rsidRPr="00AC3AF8">
        <w:rPr>
          <w:b/>
          <w:i/>
          <w:iCs/>
          <w:spacing w:val="9"/>
          <w:sz w:val="26"/>
          <w:szCs w:val="26"/>
          <w:lang w:val="es-ES" w:eastAsia="es-ES"/>
        </w:rPr>
        <w:t>REDACTA EL JUEZ QUESADA AGUIRRE,</w:t>
      </w:r>
    </w:p>
    <w:p w:rsidR="00000000" w:rsidRPr="00AC3AF8" w:rsidRDefault="00F80F5E">
      <w:pPr>
        <w:kinsoku w:val="0"/>
        <w:overflowPunct w:val="0"/>
        <w:autoSpaceDE/>
        <w:autoSpaceDN/>
        <w:adjustRightInd/>
        <w:spacing w:before="300" w:line="305" w:lineRule="exact"/>
        <w:ind w:right="72"/>
        <w:jc w:val="center"/>
        <w:textAlignment w:val="baseline"/>
        <w:rPr>
          <w:b/>
          <w:i/>
          <w:iCs/>
          <w:spacing w:val="1"/>
          <w:sz w:val="26"/>
          <w:szCs w:val="26"/>
          <w:lang w:val="es-ES" w:eastAsia="es-ES"/>
        </w:rPr>
      </w:pPr>
      <w:r w:rsidRPr="00AC3AF8">
        <w:rPr>
          <w:b/>
          <w:i/>
          <w:iCs/>
          <w:spacing w:val="1"/>
          <w:sz w:val="26"/>
          <w:szCs w:val="26"/>
          <w:lang w:val="es-ES" w:eastAsia="es-ES"/>
        </w:rPr>
        <w:t>Considerando Único</w:t>
      </w:r>
    </w:p>
    <w:p w:rsidR="00000000" w:rsidRDefault="00F80F5E">
      <w:pPr>
        <w:kinsoku w:val="0"/>
        <w:overflowPunct w:val="0"/>
        <w:autoSpaceDE/>
        <w:autoSpaceDN/>
        <w:adjustRightInd/>
        <w:spacing w:before="289" w:line="303" w:lineRule="exact"/>
        <w:ind w:left="144" w:right="72"/>
        <w:jc w:val="both"/>
        <w:textAlignment w:val="baseline"/>
        <w:rPr>
          <w:sz w:val="26"/>
          <w:szCs w:val="26"/>
          <w:lang w:val="es-ES" w:eastAsia="es-ES"/>
        </w:rPr>
      </w:pPr>
      <w:r>
        <w:rPr>
          <w:sz w:val="26"/>
          <w:szCs w:val="26"/>
          <w:lang w:val="es-ES" w:eastAsia="es-ES"/>
        </w:rPr>
        <w:t>En la especie se presentan condiciones preclaras sobre la improcedencia del Recurso que presente la Señora V</w:t>
      </w:r>
      <w:r w:rsidR="00AC3AF8">
        <w:rPr>
          <w:sz w:val="26"/>
          <w:szCs w:val="26"/>
          <w:lang w:val="es-ES" w:eastAsia="es-ES"/>
        </w:rPr>
        <w:t>.S.</w:t>
      </w:r>
    </w:p>
    <w:p w:rsidR="00000000" w:rsidRDefault="00F80F5E">
      <w:pPr>
        <w:kinsoku w:val="0"/>
        <w:overflowPunct w:val="0"/>
        <w:autoSpaceDE/>
        <w:autoSpaceDN/>
        <w:adjustRightInd/>
        <w:spacing w:before="316" w:line="303" w:lineRule="exact"/>
        <w:ind w:left="144" w:right="72"/>
        <w:jc w:val="both"/>
        <w:textAlignment w:val="baseline"/>
        <w:rPr>
          <w:sz w:val="26"/>
          <w:szCs w:val="26"/>
          <w:lang w:val="es-ES" w:eastAsia="es-ES"/>
        </w:rPr>
      </w:pPr>
      <w:r>
        <w:rPr>
          <w:sz w:val="26"/>
          <w:szCs w:val="26"/>
          <w:lang w:val="es-ES" w:eastAsia="es-ES"/>
        </w:rPr>
        <w:t>Primeramente, es evidente que nunca realizó un formal cambio de Lugar y/o Medio para Notificaciones y que el Consejo de Transporte Públic</w:t>
      </w:r>
      <w:r>
        <w:rPr>
          <w:sz w:val="26"/>
          <w:szCs w:val="26"/>
          <w:lang w:val="es-ES" w:eastAsia="es-ES"/>
        </w:rPr>
        <w:t>o Notificó en debida forma por el medio por ella expresamente dispuesto al efecto. Siendo claro que de haber determinado algún cambio o variación, debía de haberlo reportado de forma escrita y meritoriamente, lo cual omitió realizar. Y, así las cosas, la p</w:t>
      </w:r>
      <w:r>
        <w:rPr>
          <w:sz w:val="26"/>
          <w:szCs w:val="26"/>
          <w:lang w:val="es-ES" w:eastAsia="es-ES"/>
        </w:rPr>
        <w:t>resentación de su Recurso DOS MESES luego de la Notificación del Acto Objetado, determina la EXTEMPORANEIDAD de su proceder, toda vez que el numeral 11 de la Ley No. 7969 dispone que los Recursos contra los Actos de la Junta Directiva del Consejo de Transp</w:t>
      </w:r>
      <w:r>
        <w:rPr>
          <w:sz w:val="26"/>
          <w:szCs w:val="26"/>
          <w:lang w:val="es-ES" w:eastAsia="es-ES"/>
        </w:rPr>
        <w:t>orte Público deben de interponerse dentro de los CINCO DÍAS HÁBILES posteriores a su debida Comunicación.</w:t>
      </w:r>
    </w:p>
    <w:p w:rsidR="00000000" w:rsidRDefault="00F80F5E">
      <w:pPr>
        <w:kinsoku w:val="0"/>
        <w:overflowPunct w:val="0"/>
        <w:autoSpaceDE/>
        <w:autoSpaceDN/>
        <w:adjustRightInd/>
        <w:spacing w:before="278" w:line="305" w:lineRule="exact"/>
        <w:ind w:left="144" w:right="72"/>
        <w:jc w:val="both"/>
        <w:textAlignment w:val="baseline"/>
        <w:rPr>
          <w:i/>
          <w:iCs/>
          <w:spacing w:val="3"/>
          <w:sz w:val="26"/>
          <w:szCs w:val="26"/>
          <w:lang w:val="es-ES" w:eastAsia="es-ES"/>
        </w:rPr>
      </w:pPr>
      <w:r>
        <w:rPr>
          <w:spacing w:val="3"/>
          <w:sz w:val="26"/>
          <w:szCs w:val="26"/>
          <w:lang w:val="es-ES" w:eastAsia="es-ES"/>
        </w:rPr>
        <w:t xml:space="preserve">En concordancia con lo anterior, es menester indicar </w:t>
      </w:r>
      <w:r>
        <w:rPr>
          <w:i/>
          <w:iCs/>
          <w:spacing w:val="3"/>
          <w:sz w:val="26"/>
          <w:szCs w:val="26"/>
          <w:lang w:val="es-ES" w:eastAsia="es-ES"/>
        </w:rPr>
        <w:t>"que la materia recursiva es perentoria, de tal suerte que si no se interponen los recursos en el</w:t>
      </w:r>
      <w:r>
        <w:rPr>
          <w:i/>
          <w:iCs/>
          <w:spacing w:val="3"/>
          <w:sz w:val="26"/>
          <w:szCs w:val="26"/>
          <w:lang w:val="es-ES" w:eastAsia="es-ES"/>
        </w:rPr>
        <w:t xml:space="preserve"> momento procesal oportuno, no es posible reabrir los plazos, en virtud de la seguridad jurídica que debe privar y del interés público" [...] "en el caso de los plazos recursivos son de obligado cumplimiento </w:t>
      </w:r>
      <w:r>
        <w:rPr>
          <w:spacing w:val="3"/>
          <w:sz w:val="26"/>
          <w:szCs w:val="26"/>
          <w:lang w:val="es-ES" w:eastAsia="es-ES"/>
        </w:rPr>
        <w:t xml:space="preserve">y </w:t>
      </w:r>
      <w:r>
        <w:rPr>
          <w:i/>
          <w:iCs/>
          <w:spacing w:val="3"/>
          <w:sz w:val="26"/>
          <w:szCs w:val="26"/>
          <w:lang w:val="es-ES" w:eastAsia="es-ES"/>
        </w:rPr>
        <w:t>no es posible eximirse de su observancia, esen</w:t>
      </w:r>
      <w:r>
        <w:rPr>
          <w:i/>
          <w:iCs/>
          <w:spacing w:val="3"/>
          <w:sz w:val="26"/>
          <w:szCs w:val="26"/>
          <w:lang w:val="es-ES" w:eastAsia="es-ES"/>
        </w:rPr>
        <w:t>cialmente por la seguridad jurídica, pues tome en consideración el apelante que no se trata de venir a interponer el recurso quizás unos días después, sino que de admitir tal tesitura cualquier recurrente podría venir a interponer el recurso de apelación i</w:t>
      </w:r>
      <w:r>
        <w:rPr>
          <w:i/>
          <w:iCs/>
          <w:spacing w:val="3"/>
          <w:sz w:val="26"/>
          <w:szCs w:val="26"/>
          <w:lang w:val="es-ES" w:eastAsia="es-ES"/>
        </w:rPr>
        <w:t xml:space="preserve">ncluso años después" </w:t>
      </w:r>
      <w:r w:rsidR="00AC3AF8">
        <w:rPr>
          <w:i/>
          <w:iCs/>
          <w:spacing w:val="3"/>
          <w:sz w:val="26"/>
          <w:szCs w:val="26"/>
          <w:lang w:val="es-ES" w:eastAsia="es-ES"/>
        </w:rPr>
        <w:t>[..</w:t>
      </w:r>
      <w:r>
        <w:rPr>
          <w:i/>
          <w:iCs/>
          <w:spacing w:val="3"/>
          <w:sz w:val="26"/>
          <w:szCs w:val="26"/>
          <w:lang w:val="es-ES" w:eastAsia="es-ES"/>
        </w:rPr>
        <w:t>.] "por lo que no</w:t>
      </w:r>
    </w:p>
    <w:p w:rsidR="00000000" w:rsidRDefault="00F80F5E">
      <w:pPr>
        <w:widowControl/>
        <w:rPr>
          <w:sz w:val="24"/>
          <w:szCs w:val="24"/>
        </w:rPr>
        <w:sectPr w:rsidR="00000000">
          <w:pgSz w:w="12134" w:h="15840"/>
          <w:pgMar w:top="1400" w:right="1472" w:bottom="890" w:left="1502" w:header="720" w:footer="720" w:gutter="0"/>
          <w:cols w:space="720"/>
          <w:noEndnote/>
        </w:sectPr>
      </w:pPr>
    </w:p>
    <w:p w:rsidR="00000000" w:rsidRDefault="00F80F5E">
      <w:pPr>
        <w:kinsoku w:val="0"/>
        <w:overflowPunct w:val="0"/>
        <w:autoSpaceDE/>
        <w:autoSpaceDN/>
        <w:adjustRightInd/>
        <w:spacing w:line="301" w:lineRule="exact"/>
        <w:ind w:right="72"/>
        <w:jc w:val="both"/>
        <w:textAlignment w:val="baseline"/>
        <w:rPr>
          <w:b/>
          <w:bCs/>
          <w:sz w:val="26"/>
          <w:szCs w:val="26"/>
          <w:lang w:val="es-ES" w:eastAsia="es-ES"/>
        </w:rPr>
      </w:pPr>
      <w:proofErr w:type="gramStart"/>
      <w:r>
        <w:rPr>
          <w:i/>
          <w:iCs/>
          <w:sz w:val="26"/>
          <w:szCs w:val="26"/>
          <w:lang w:val="es-ES" w:eastAsia="es-ES"/>
        </w:rPr>
        <w:t>existiría</w:t>
      </w:r>
      <w:proofErr w:type="gramEnd"/>
      <w:r>
        <w:rPr>
          <w:i/>
          <w:iCs/>
          <w:sz w:val="26"/>
          <w:szCs w:val="26"/>
          <w:lang w:val="es-ES" w:eastAsia="es-ES"/>
        </w:rPr>
        <w:t xml:space="preserve"> certeza para la Administración, ni para los adjudicados. De esa forma, esta Contraloría General estima que no es de recibo el argumento de la justa causa que le impidió apersonarse en tiempo a este Despach</w:t>
      </w:r>
      <w:r>
        <w:rPr>
          <w:i/>
          <w:iCs/>
          <w:sz w:val="26"/>
          <w:szCs w:val="26"/>
          <w:lang w:val="es-ES" w:eastAsia="es-ES"/>
        </w:rPr>
        <w:t xml:space="preserve">o para hacer valer sus derechos (por ejemplo otorgando un poder especial a otra persona para que realizara estas gestiones en su nombre), por lo que procede rechazar de plano el recurso por extemporáneo." ... </w:t>
      </w:r>
      <w:r>
        <w:rPr>
          <w:b/>
          <w:bCs/>
          <w:sz w:val="26"/>
          <w:szCs w:val="26"/>
          <w:lang w:val="es-ES" w:eastAsia="es-ES"/>
        </w:rPr>
        <w:t>(Resolución No. R-DAGJ-347-2005 de las 9:00 hor</w:t>
      </w:r>
      <w:r>
        <w:rPr>
          <w:b/>
          <w:bCs/>
          <w:sz w:val="26"/>
          <w:szCs w:val="26"/>
          <w:lang w:val="es-ES" w:eastAsia="es-ES"/>
        </w:rPr>
        <w:t>as del 15 de junio del 2005, de la CGR).</w:t>
      </w:r>
    </w:p>
    <w:p w:rsidR="00000000" w:rsidRDefault="00F80F5E">
      <w:pPr>
        <w:kinsoku w:val="0"/>
        <w:overflowPunct w:val="0"/>
        <w:autoSpaceDE/>
        <w:autoSpaceDN/>
        <w:adjustRightInd/>
        <w:spacing w:before="276" w:line="305" w:lineRule="exact"/>
        <w:ind w:right="72"/>
        <w:jc w:val="both"/>
        <w:textAlignment w:val="baseline"/>
        <w:rPr>
          <w:i/>
          <w:iCs/>
          <w:sz w:val="26"/>
          <w:szCs w:val="26"/>
          <w:lang w:val="es-ES" w:eastAsia="es-ES"/>
        </w:rPr>
      </w:pPr>
      <w:r>
        <w:rPr>
          <w:sz w:val="26"/>
          <w:szCs w:val="26"/>
          <w:lang w:val="es-ES" w:eastAsia="es-ES"/>
        </w:rPr>
        <w:t xml:space="preserve">Según se colige del texto del numeral 180 de la Ley General de la Administración Pública, la Nulidad de un Acto, tratándose de Actos Finales o Definitorios </w:t>
      </w:r>
      <w:r>
        <w:rPr>
          <w:i/>
          <w:iCs/>
          <w:sz w:val="26"/>
          <w:szCs w:val="26"/>
          <w:lang w:val="es-ES" w:eastAsia="es-ES"/>
        </w:rPr>
        <w:t xml:space="preserve">(que producen estado), </w:t>
      </w:r>
      <w:r>
        <w:rPr>
          <w:b/>
          <w:bCs/>
          <w:sz w:val="26"/>
          <w:szCs w:val="26"/>
          <w:lang w:val="es-ES" w:eastAsia="es-ES"/>
        </w:rPr>
        <w:t xml:space="preserve">es </w:t>
      </w:r>
      <w:r>
        <w:rPr>
          <w:sz w:val="26"/>
          <w:szCs w:val="26"/>
          <w:lang w:val="es-ES" w:eastAsia="es-ES"/>
        </w:rPr>
        <w:t>PARTE DE LA PRETENSIÓN QUE SE DEB</w:t>
      </w:r>
      <w:r>
        <w:rPr>
          <w:sz w:val="26"/>
          <w:szCs w:val="26"/>
          <w:lang w:val="es-ES" w:eastAsia="es-ES"/>
        </w:rPr>
        <w:t xml:space="preserve">E PLANTEAR POR MEDIO DE UN RECURSO ADMINISTRATIVO. Y más tratándose de una Valoración de Contralor No Jerárquico, corno la que compete a este Tribunal, toda vez que nuestra Revisión de los Actos de la Junta Directiva del Consejo de Transporte Público </w:t>
      </w:r>
      <w:r>
        <w:rPr>
          <w:i/>
          <w:iCs/>
          <w:sz w:val="26"/>
          <w:szCs w:val="26"/>
          <w:lang w:val="es-ES" w:eastAsia="es-ES"/>
        </w:rPr>
        <w:t xml:space="preserve">(con </w:t>
      </w:r>
      <w:r>
        <w:rPr>
          <w:i/>
          <w:iCs/>
          <w:sz w:val="26"/>
          <w:szCs w:val="26"/>
          <w:lang w:val="es-ES" w:eastAsia="es-ES"/>
        </w:rPr>
        <w:t xml:space="preserve">las excepciones del caso) </w:t>
      </w:r>
      <w:r>
        <w:rPr>
          <w:sz w:val="26"/>
          <w:szCs w:val="26"/>
          <w:lang w:val="es-ES" w:eastAsia="es-ES"/>
        </w:rPr>
        <w:t xml:space="preserve">aplica </w:t>
      </w:r>
      <w:r>
        <w:rPr>
          <w:b/>
          <w:bCs/>
          <w:i/>
          <w:iCs/>
          <w:sz w:val="26"/>
          <w:szCs w:val="26"/>
          <w:lang w:val="es-ES" w:eastAsia="es-ES"/>
        </w:rPr>
        <w:t xml:space="preserve">"en virtud de recurso administrativo" (artículo 181 de la Ley General de la Administración Pública). </w:t>
      </w:r>
      <w:r>
        <w:rPr>
          <w:sz w:val="26"/>
          <w:szCs w:val="26"/>
          <w:lang w:val="es-ES" w:eastAsia="es-ES"/>
        </w:rPr>
        <w:t>Así las cosas y aunque puede aceptarse la "Impugnación" de Actuaciones en el ínterin de un Procedimiento o Trámite Adminis</w:t>
      </w:r>
      <w:r>
        <w:rPr>
          <w:sz w:val="26"/>
          <w:szCs w:val="26"/>
          <w:lang w:val="es-ES" w:eastAsia="es-ES"/>
        </w:rPr>
        <w:t xml:space="preserve">trativo </w:t>
      </w:r>
      <w:r>
        <w:rPr>
          <w:i/>
          <w:iCs/>
          <w:sz w:val="26"/>
          <w:szCs w:val="26"/>
          <w:lang w:val="es-ES" w:eastAsia="es-ES"/>
        </w:rPr>
        <w:t xml:space="preserve">(de forma interlocutoria); </w:t>
      </w:r>
      <w:r>
        <w:rPr>
          <w:sz w:val="26"/>
          <w:szCs w:val="26"/>
          <w:lang w:val="es-ES" w:eastAsia="es-ES"/>
        </w:rPr>
        <w:t xml:space="preserve">en cuanto a la Impugnación de su Acto Final, por lo </w:t>
      </w:r>
      <w:r>
        <w:rPr>
          <w:b/>
          <w:bCs/>
          <w:sz w:val="26"/>
          <w:szCs w:val="26"/>
          <w:u w:val="single"/>
          <w:lang w:val="es-ES" w:eastAsia="es-ES"/>
        </w:rPr>
        <w:t>Restrictivo del Ámbito  Recursivo,</w:t>
      </w:r>
      <w:r>
        <w:rPr>
          <w:sz w:val="26"/>
          <w:szCs w:val="26"/>
          <w:lang w:val="es-ES" w:eastAsia="es-ES"/>
        </w:rPr>
        <w:t xml:space="preserve"> no se determina corno Operante la Impugnación </w:t>
      </w:r>
      <w:r>
        <w:rPr>
          <w:i/>
          <w:iCs/>
          <w:sz w:val="26"/>
          <w:szCs w:val="26"/>
          <w:lang w:val="es-ES" w:eastAsia="es-ES"/>
        </w:rPr>
        <w:t xml:space="preserve">(valga lo redundante) </w:t>
      </w:r>
      <w:r>
        <w:rPr>
          <w:sz w:val="26"/>
          <w:szCs w:val="26"/>
          <w:lang w:val="es-ES" w:eastAsia="es-ES"/>
        </w:rPr>
        <w:t xml:space="preserve">del mismo por la </w:t>
      </w:r>
      <w:r>
        <w:rPr>
          <w:b/>
          <w:bCs/>
          <w:sz w:val="26"/>
          <w:szCs w:val="26"/>
          <w:lang w:val="es-ES" w:eastAsia="es-ES"/>
        </w:rPr>
        <w:t>VÍA AUTÓNOMA DE UN INCIDENTE DE NULIDAD, MÁXIME S</w:t>
      </w:r>
      <w:r>
        <w:rPr>
          <w:b/>
          <w:bCs/>
          <w:sz w:val="26"/>
          <w:szCs w:val="26"/>
          <w:lang w:val="es-ES" w:eastAsia="es-ES"/>
        </w:rPr>
        <w:t xml:space="preserve">Í —COMO EN LA ESPECIE- NO SE HAN EJERCIDO </w:t>
      </w:r>
      <w:r>
        <w:rPr>
          <w:i/>
          <w:iCs/>
          <w:sz w:val="26"/>
          <w:szCs w:val="26"/>
          <w:lang w:val="es-ES" w:eastAsia="es-ES"/>
        </w:rPr>
        <w:t xml:space="preserve">(EN </w:t>
      </w:r>
      <w:r>
        <w:rPr>
          <w:b/>
          <w:bCs/>
          <w:i/>
          <w:iCs/>
          <w:sz w:val="26"/>
          <w:szCs w:val="26"/>
          <w:lang w:val="es-ES" w:eastAsia="es-ES"/>
        </w:rPr>
        <w:t xml:space="preserve">TIEMPO) </w:t>
      </w:r>
      <w:r>
        <w:rPr>
          <w:b/>
          <w:bCs/>
          <w:sz w:val="26"/>
          <w:szCs w:val="26"/>
          <w:lang w:val="es-ES" w:eastAsia="es-ES"/>
        </w:rPr>
        <w:t xml:space="preserve">LOS RECURSOS ORDINARIOS DE LEY </w:t>
      </w:r>
      <w:r>
        <w:rPr>
          <w:sz w:val="26"/>
          <w:szCs w:val="26"/>
          <w:lang w:val="es-ES" w:eastAsia="es-ES"/>
        </w:rPr>
        <w:t xml:space="preserve">y una Gestión corno la que nos ocupa debería ser SUBSIDIARIA a los mismos o A ALGUNO PROCEDENTE </w:t>
      </w:r>
      <w:r>
        <w:rPr>
          <w:i/>
          <w:iCs/>
          <w:sz w:val="26"/>
          <w:szCs w:val="26"/>
          <w:lang w:val="es-ES" w:eastAsia="es-ES"/>
        </w:rPr>
        <w:t>(parte de la Pretensión de los Recursos).</w:t>
      </w:r>
    </w:p>
    <w:p w:rsidR="00000000" w:rsidRDefault="00F80F5E">
      <w:pPr>
        <w:kinsoku w:val="0"/>
        <w:overflowPunct w:val="0"/>
        <w:autoSpaceDE/>
        <w:autoSpaceDN/>
        <w:adjustRightInd/>
        <w:spacing w:before="311" w:line="306" w:lineRule="exact"/>
        <w:ind w:right="72"/>
        <w:jc w:val="both"/>
        <w:textAlignment w:val="baseline"/>
        <w:rPr>
          <w:spacing w:val="1"/>
          <w:sz w:val="26"/>
          <w:szCs w:val="26"/>
          <w:lang w:val="es-ES" w:eastAsia="es-ES"/>
        </w:rPr>
      </w:pPr>
      <w:r>
        <w:rPr>
          <w:spacing w:val="1"/>
          <w:sz w:val="26"/>
          <w:szCs w:val="26"/>
          <w:lang w:val="es-ES" w:eastAsia="es-ES"/>
        </w:rPr>
        <w:t xml:space="preserve">Además, la interesada no esgrime </w:t>
      </w:r>
      <w:r>
        <w:rPr>
          <w:spacing w:val="1"/>
          <w:sz w:val="26"/>
          <w:szCs w:val="26"/>
          <w:lang w:val="es-ES" w:eastAsia="es-ES"/>
        </w:rPr>
        <w:t xml:space="preserve">ningún argumento de Impugnación de Fondo ni desdice en nada lo que se dispone mediante el Acuerdo No. 5.29 de su Sesión Ordinaria No. 01-2014 del 08 de Enero del 2014 </w:t>
      </w:r>
      <w:r>
        <w:rPr>
          <w:i/>
          <w:iCs/>
          <w:spacing w:val="1"/>
          <w:sz w:val="26"/>
          <w:szCs w:val="26"/>
          <w:lang w:val="es-ES" w:eastAsia="es-ES"/>
        </w:rPr>
        <w:t xml:space="preserve">(no del 10 de Enero de ese año como aduce la </w:t>
      </w:r>
      <w:proofErr w:type="spellStart"/>
      <w:r>
        <w:rPr>
          <w:i/>
          <w:iCs/>
          <w:spacing w:val="1"/>
          <w:sz w:val="26"/>
          <w:szCs w:val="26"/>
          <w:lang w:val="es-ES" w:eastAsia="es-ES"/>
        </w:rPr>
        <w:t>Gestionante</w:t>
      </w:r>
      <w:proofErr w:type="spellEnd"/>
      <w:r>
        <w:rPr>
          <w:i/>
          <w:iCs/>
          <w:spacing w:val="1"/>
          <w:sz w:val="26"/>
          <w:szCs w:val="26"/>
          <w:lang w:val="es-ES" w:eastAsia="es-ES"/>
        </w:rPr>
        <w:t xml:space="preserve">), </w:t>
      </w:r>
      <w:r>
        <w:rPr>
          <w:spacing w:val="1"/>
          <w:sz w:val="26"/>
          <w:szCs w:val="26"/>
          <w:lang w:val="es-ES" w:eastAsia="es-ES"/>
        </w:rPr>
        <w:t>de la Junta Directiva del Cons</w:t>
      </w:r>
      <w:r>
        <w:rPr>
          <w:spacing w:val="1"/>
          <w:sz w:val="26"/>
          <w:szCs w:val="26"/>
          <w:lang w:val="es-ES" w:eastAsia="es-ES"/>
        </w:rPr>
        <w:t>ejo de Transporte Público.</w:t>
      </w:r>
    </w:p>
    <w:p w:rsidR="00000000" w:rsidRDefault="00F80F5E">
      <w:pPr>
        <w:kinsoku w:val="0"/>
        <w:overflowPunct w:val="0"/>
        <w:autoSpaceDE/>
        <w:autoSpaceDN/>
        <w:adjustRightInd/>
        <w:spacing w:before="278" w:line="306" w:lineRule="exact"/>
        <w:ind w:right="72"/>
        <w:jc w:val="both"/>
        <w:textAlignment w:val="baseline"/>
        <w:rPr>
          <w:spacing w:val="2"/>
          <w:sz w:val="26"/>
          <w:szCs w:val="26"/>
          <w:lang w:val="es-ES" w:eastAsia="es-ES"/>
        </w:rPr>
      </w:pPr>
      <w:r>
        <w:rPr>
          <w:spacing w:val="2"/>
          <w:sz w:val="26"/>
          <w:szCs w:val="26"/>
          <w:lang w:val="es-ES" w:eastAsia="es-ES"/>
        </w:rPr>
        <w:t xml:space="preserve">Y, finalmente, aun interpretándose que lo presentado por la Interesada fue un Recurso de Revocatoria, lo cierto es que NO HABRÍA APELACIÓN EN SUBSIDIO QUE ATENDER </w:t>
      </w:r>
      <w:r>
        <w:rPr>
          <w:i/>
          <w:iCs/>
          <w:spacing w:val="2"/>
          <w:sz w:val="26"/>
          <w:szCs w:val="26"/>
          <w:lang w:val="es-ES" w:eastAsia="es-ES"/>
        </w:rPr>
        <w:t xml:space="preserve">(Artículo 347.2 de la Ley General de la Administración Pública). </w:t>
      </w:r>
      <w:r>
        <w:rPr>
          <w:spacing w:val="2"/>
          <w:sz w:val="26"/>
          <w:szCs w:val="26"/>
          <w:lang w:val="es-ES" w:eastAsia="es-ES"/>
        </w:rPr>
        <w:t>Siendo improcedente la Elevación que del caso se hace para ante este Tribunal.</w:t>
      </w:r>
    </w:p>
    <w:p w:rsidR="00000000" w:rsidRDefault="00F80F5E">
      <w:pPr>
        <w:kinsoku w:val="0"/>
        <w:overflowPunct w:val="0"/>
        <w:autoSpaceDE/>
        <w:autoSpaceDN/>
        <w:adjustRightInd/>
        <w:spacing w:before="415" w:line="306" w:lineRule="exact"/>
        <w:ind w:right="72"/>
        <w:jc w:val="both"/>
        <w:textAlignment w:val="baseline"/>
        <w:rPr>
          <w:sz w:val="26"/>
          <w:szCs w:val="26"/>
          <w:lang w:val="es-ES" w:eastAsia="es-ES"/>
        </w:rPr>
      </w:pPr>
      <w:r>
        <w:rPr>
          <w:sz w:val="26"/>
          <w:szCs w:val="26"/>
          <w:lang w:val="es-ES" w:eastAsia="es-ES"/>
        </w:rPr>
        <w:t>Así las cosas, la Gestión que se atiende y que fuera presentada por la Señora Vega Solís, es manifiestamente improcedente y así debe de declararse.</w:t>
      </w:r>
    </w:p>
    <w:p w:rsidR="00000000" w:rsidRDefault="00F80F5E">
      <w:pPr>
        <w:widowControl/>
        <w:rPr>
          <w:sz w:val="24"/>
          <w:szCs w:val="24"/>
        </w:rPr>
      </w:pPr>
    </w:p>
    <w:p w:rsidR="00224727" w:rsidRDefault="00224727">
      <w:pPr>
        <w:widowControl/>
        <w:rPr>
          <w:sz w:val="24"/>
          <w:szCs w:val="24"/>
        </w:rPr>
      </w:pPr>
    </w:p>
    <w:p w:rsidR="00224727" w:rsidRDefault="00224727">
      <w:pPr>
        <w:widowControl/>
        <w:rPr>
          <w:sz w:val="24"/>
          <w:szCs w:val="24"/>
        </w:rPr>
      </w:pPr>
    </w:p>
    <w:p w:rsidR="00224727" w:rsidRDefault="00224727">
      <w:pPr>
        <w:widowControl/>
        <w:rPr>
          <w:sz w:val="24"/>
          <w:szCs w:val="24"/>
        </w:rPr>
      </w:pPr>
    </w:p>
    <w:p w:rsidR="00224727" w:rsidRDefault="00224727">
      <w:pPr>
        <w:widowControl/>
        <w:rPr>
          <w:sz w:val="24"/>
          <w:szCs w:val="24"/>
        </w:rPr>
      </w:pPr>
    </w:p>
    <w:p w:rsidR="00224727" w:rsidRPr="00AC3AF8" w:rsidRDefault="00224727" w:rsidP="00224727">
      <w:pPr>
        <w:kinsoku w:val="0"/>
        <w:overflowPunct w:val="0"/>
        <w:autoSpaceDE/>
        <w:autoSpaceDN/>
        <w:adjustRightInd/>
        <w:spacing w:after="303" w:line="287" w:lineRule="exact"/>
        <w:jc w:val="center"/>
        <w:textAlignment w:val="baseline"/>
        <w:rPr>
          <w:b/>
          <w:i/>
          <w:iCs/>
          <w:spacing w:val="6"/>
          <w:sz w:val="25"/>
          <w:szCs w:val="25"/>
          <w:lang w:val="es-ES" w:eastAsia="es-ES"/>
        </w:rPr>
      </w:pPr>
      <w:r w:rsidRPr="00AC3AF8">
        <w:rPr>
          <w:b/>
          <w:i/>
          <w:iCs/>
          <w:spacing w:val="6"/>
          <w:sz w:val="25"/>
          <w:szCs w:val="25"/>
          <w:lang w:val="es-ES" w:eastAsia="es-ES"/>
        </w:rPr>
        <w:t>Por Tanto</w:t>
      </w:r>
    </w:p>
    <w:p w:rsidR="00224727" w:rsidRDefault="00224727" w:rsidP="00224727">
      <w:pPr>
        <w:numPr>
          <w:ilvl w:val="0"/>
          <w:numId w:val="1"/>
        </w:numPr>
        <w:tabs>
          <w:tab w:val="right" w:pos="9792"/>
        </w:tabs>
        <w:kinsoku w:val="0"/>
        <w:overflowPunct w:val="0"/>
        <w:autoSpaceDE/>
        <w:autoSpaceDN/>
        <w:adjustRightInd/>
        <w:spacing w:line="301" w:lineRule="exact"/>
        <w:jc w:val="both"/>
        <w:textAlignment w:val="baseline"/>
        <w:rPr>
          <w:spacing w:val="1"/>
          <w:sz w:val="25"/>
          <w:szCs w:val="25"/>
          <w:lang w:val="es-ES" w:eastAsia="es-ES"/>
        </w:rPr>
      </w:pPr>
      <w:r>
        <w:rPr>
          <w:spacing w:val="1"/>
          <w:sz w:val="25"/>
          <w:szCs w:val="25"/>
          <w:lang w:val="es-ES" w:eastAsia="es-ES"/>
        </w:rPr>
        <w:t xml:space="preserve">Conforme a lo apuntado </w:t>
      </w:r>
      <w:r>
        <w:rPr>
          <w:i/>
          <w:iCs/>
          <w:spacing w:val="1"/>
          <w:sz w:val="25"/>
          <w:szCs w:val="25"/>
          <w:lang w:val="es-ES" w:eastAsia="es-ES"/>
        </w:rPr>
        <w:t xml:space="preserve">supra, </w:t>
      </w:r>
      <w:r>
        <w:rPr>
          <w:spacing w:val="1"/>
          <w:sz w:val="25"/>
          <w:szCs w:val="25"/>
          <w:lang w:val="es-ES" w:eastAsia="es-ES"/>
        </w:rPr>
        <w:t>por Tratarse de un Asunto de Mala o Indebida</w:t>
      </w:r>
      <w:r>
        <w:rPr>
          <w:spacing w:val="1"/>
          <w:sz w:val="25"/>
          <w:szCs w:val="25"/>
          <w:lang w:val="es-ES" w:eastAsia="es-ES"/>
        </w:rPr>
        <w:br/>
        <w:t xml:space="preserve">Elevación, se Rechaza el </w:t>
      </w:r>
      <w:r w:rsidRPr="00AC3AF8">
        <w:rPr>
          <w:b/>
          <w:spacing w:val="1"/>
          <w:sz w:val="25"/>
          <w:szCs w:val="25"/>
          <w:lang w:val="es-ES" w:eastAsia="es-ES"/>
        </w:rPr>
        <w:t>RECURSO DE NULIDAD</w:t>
      </w:r>
      <w:r>
        <w:rPr>
          <w:spacing w:val="1"/>
          <w:sz w:val="25"/>
          <w:szCs w:val="25"/>
          <w:lang w:val="es-ES" w:eastAsia="es-ES"/>
        </w:rPr>
        <w:t xml:space="preserve"> interpuesta por la señora </w:t>
      </w:r>
      <w:r w:rsidRPr="00AC3AF8">
        <w:rPr>
          <w:b/>
          <w:spacing w:val="1"/>
          <w:sz w:val="25"/>
          <w:szCs w:val="25"/>
          <w:lang w:val="es-ES" w:eastAsia="es-ES"/>
        </w:rPr>
        <w:t>P</w:t>
      </w:r>
      <w:r>
        <w:rPr>
          <w:b/>
          <w:spacing w:val="1"/>
          <w:sz w:val="25"/>
          <w:szCs w:val="25"/>
          <w:lang w:val="es-ES" w:eastAsia="es-ES"/>
        </w:rPr>
        <w:t>.V.S.</w:t>
      </w:r>
      <w:r>
        <w:rPr>
          <w:spacing w:val="1"/>
          <w:sz w:val="25"/>
          <w:szCs w:val="25"/>
          <w:lang w:val="es-ES" w:eastAsia="es-ES"/>
        </w:rPr>
        <w:t xml:space="preserve">, portadora de la cédula de identidad </w:t>
      </w:r>
      <w:proofErr w:type="gramStart"/>
      <w:r>
        <w:rPr>
          <w:spacing w:val="1"/>
          <w:sz w:val="25"/>
          <w:szCs w:val="25"/>
          <w:lang w:val="es-ES" w:eastAsia="es-ES"/>
        </w:rPr>
        <w:t>número …</w:t>
      </w:r>
      <w:proofErr w:type="gramEnd"/>
      <w:r>
        <w:rPr>
          <w:spacing w:val="1"/>
          <w:sz w:val="25"/>
          <w:szCs w:val="25"/>
          <w:lang w:val="es-ES" w:eastAsia="es-ES"/>
        </w:rPr>
        <w:t xml:space="preserve">, en cuanto al Oficio No. DAJ-2013-006152 de la Dirección de Asuntos Jurídicos del Consejo de Transporte Público y contra lo Actuado por la Junta Directiva de dicho Consejo en su Sesión del 10 de Enero del año 2014 </w:t>
      </w:r>
      <w:r>
        <w:rPr>
          <w:i/>
          <w:iCs/>
          <w:spacing w:val="1"/>
          <w:sz w:val="25"/>
          <w:szCs w:val="25"/>
          <w:lang w:val="es-ES" w:eastAsia="es-ES"/>
        </w:rPr>
        <w:t xml:space="preserve">(sic.) </w:t>
      </w:r>
      <w:r>
        <w:rPr>
          <w:spacing w:val="1"/>
          <w:sz w:val="25"/>
          <w:szCs w:val="25"/>
          <w:lang w:val="es-ES" w:eastAsia="es-ES"/>
        </w:rPr>
        <w:t>en cuanto a la Accionante aludida y en torno a la Concesión de Taxi Placa No. TSJ-5637.</w:t>
      </w:r>
    </w:p>
    <w:p w:rsidR="00224727" w:rsidRDefault="00224727" w:rsidP="00224727">
      <w:pPr>
        <w:numPr>
          <w:ilvl w:val="0"/>
          <w:numId w:val="2"/>
        </w:numPr>
        <w:kinsoku w:val="0"/>
        <w:overflowPunct w:val="0"/>
        <w:autoSpaceDE/>
        <w:autoSpaceDN/>
        <w:adjustRightInd/>
        <w:spacing w:before="309" w:line="305" w:lineRule="exact"/>
        <w:jc w:val="both"/>
        <w:textAlignment w:val="baseline"/>
        <w:rPr>
          <w:i/>
          <w:iCs/>
          <w:sz w:val="25"/>
          <w:szCs w:val="25"/>
          <w:lang w:val="es-ES" w:eastAsia="es-ES"/>
        </w:rPr>
      </w:pPr>
      <w:r>
        <w:rPr>
          <w:sz w:val="25"/>
          <w:szCs w:val="25"/>
          <w:lang w:val="es-ES" w:eastAsia="es-ES"/>
        </w:rPr>
        <w:t xml:space="preserve">Por carecer la presente resolución de ulterior recurso en sede administrativa, de conformidad con los artículos 16 y 22, inciso c), de la Ley 7969, </w:t>
      </w:r>
      <w:r>
        <w:rPr>
          <w:i/>
          <w:iCs/>
          <w:sz w:val="25"/>
          <w:szCs w:val="25"/>
          <w:lang w:val="es-ES" w:eastAsia="es-ES"/>
        </w:rPr>
        <w:t>se da por agotada la vía administrativa.</w:t>
      </w:r>
    </w:p>
    <w:p w:rsidR="00224727" w:rsidRDefault="00224727" w:rsidP="00224727">
      <w:pPr>
        <w:widowControl/>
        <w:rPr>
          <w:i/>
          <w:iCs/>
          <w:spacing w:val="13"/>
          <w:sz w:val="25"/>
          <w:szCs w:val="25"/>
          <w:lang w:val="es-ES" w:eastAsia="es-ES"/>
        </w:rPr>
      </w:pPr>
      <w:r>
        <w:rPr>
          <w:i/>
          <w:iCs/>
          <w:spacing w:val="13"/>
          <w:sz w:val="25"/>
          <w:szCs w:val="25"/>
          <w:lang w:val="es-ES" w:eastAsia="es-ES"/>
        </w:rPr>
        <w:tab/>
      </w:r>
    </w:p>
    <w:p w:rsidR="00224727" w:rsidRPr="00224727" w:rsidRDefault="00224727" w:rsidP="00224727">
      <w:pPr>
        <w:widowControl/>
        <w:rPr>
          <w:b/>
          <w:sz w:val="24"/>
          <w:szCs w:val="24"/>
        </w:rPr>
        <w:sectPr w:rsidR="00224727" w:rsidRPr="00224727">
          <w:pgSz w:w="12134" w:h="15840"/>
          <w:pgMar w:top="1400" w:right="1492" w:bottom="934" w:left="1642" w:header="720" w:footer="720" w:gutter="0"/>
          <w:cols w:space="720"/>
          <w:noEndnote/>
        </w:sectPr>
      </w:pPr>
      <w:r>
        <w:rPr>
          <w:i/>
          <w:iCs/>
          <w:spacing w:val="13"/>
          <w:sz w:val="25"/>
          <w:szCs w:val="25"/>
          <w:lang w:val="es-ES" w:eastAsia="es-ES"/>
        </w:rPr>
        <w:tab/>
      </w:r>
      <w:r w:rsidRPr="00224727">
        <w:rPr>
          <w:b/>
          <w:i/>
          <w:iCs/>
          <w:spacing w:val="13"/>
          <w:sz w:val="25"/>
          <w:szCs w:val="25"/>
          <w:lang w:val="es-ES" w:eastAsia="es-ES"/>
        </w:rPr>
        <w:t>NOTIFÍQUESE</w:t>
      </w:r>
    </w:p>
    <w:p w:rsidR="00000000" w:rsidRDefault="00F80F5E" w:rsidP="00224727">
      <w:pPr>
        <w:pStyle w:val="Style1"/>
        <w:kinsoku w:val="0"/>
        <w:overflowPunct w:val="0"/>
        <w:autoSpaceDE/>
        <w:autoSpaceDN/>
        <w:adjustRightInd/>
        <w:spacing w:before="100" w:beforeAutospacing="1"/>
        <w:ind w:left="74"/>
        <w:jc w:val="center"/>
        <w:textAlignment w:val="baseline"/>
        <w:rPr>
          <w:sz w:val="24"/>
          <w:szCs w:val="24"/>
        </w:rPr>
      </w:pPr>
    </w:p>
    <w:p w:rsidR="00224727" w:rsidRPr="00AE0D42" w:rsidRDefault="00224727" w:rsidP="00224727">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224727" w:rsidRDefault="00224727" w:rsidP="0022472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224727" w:rsidRDefault="00224727" w:rsidP="0022472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24727" w:rsidRDefault="00224727" w:rsidP="0022472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24727" w:rsidRDefault="00224727" w:rsidP="00224727">
      <w:pPr>
        <w:kinsoku w:val="0"/>
        <w:overflowPunct w:val="0"/>
        <w:autoSpaceDE/>
        <w:autoSpaceDN/>
        <w:adjustRightInd/>
        <w:ind w:right="144"/>
        <w:jc w:val="center"/>
        <w:textAlignment w:val="baseline"/>
        <w:rPr>
          <w:rStyle w:val="CharacterStyle1"/>
          <w:iCs/>
          <w:spacing w:val="5"/>
          <w:sz w:val="26"/>
          <w:szCs w:val="26"/>
        </w:rPr>
      </w:pPr>
      <w:proofErr w:type="gramStart"/>
      <w:r w:rsidRPr="00AE0D42">
        <w:rPr>
          <w:rStyle w:val="CharacterStyle1"/>
          <w:iCs/>
          <w:spacing w:val="5"/>
          <w:sz w:val="26"/>
          <w:szCs w:val="26"/>
        </w:rPr>
        <w:t>Lic. Mario Quesada Aguirre</w:t>
      </w:r>
      <w:r>
        <w:rPr>
          <w:rStyle w:val="CharacterStyle1"/>
          <w:iCs/>
          <w:spacing w:val="5"/>
          <w:sz w:val="26"/>
          <w:szCs w:val="26"/>
        </w:rPr>
        <w:t xml:space="preserve">                   </w:t>
      </w:r>
      <w:proofErr w:type="spellStart"/>
      <w:r>
        <w:rPr>
          <w:rStyle w:val="CharacterStyle1"/>
          <w:iCs/>
          <w:spacing w:val="5"/>
          <w:sz w:val="26"/>
          <w:szCs w:val="26"/>
        </w:rPr>
        <w:t>Licda</w:t>
      </w:r>
      <w:proofErr w:type="spellEnd"/>
      <w:r>
        <w:rPr>
          <w:rStyle w:val="CharacterStyle1"/>
          <w:iCs/>
          <w:spacing w:val="5"/>
          <w:sz w:val="26"/>
          <w:szCs w:val="26"/>
        </w:rPr>
        <w:t>.</w:t>
      </w:r>
      <w:proofErr w:type="gramEnd"/>
      <w:r>
        <w:rPr>
          <w:rStyle w:val="CharacterStyle1"/>
          <w:iCs/>
          <w:spacing w:val="5"/>
          <w:sz w:val="26"/>
          <w:szCs w:val="26"/>
        </w:rPr>
        <w:t xml:space="preserve"> Marta Luz </w:t>
      </w:r>
      <w:proofErr w:type="spellStart"/>
      <w:r>
        <w:rPr>
          <w:rStyle w:val="CharacterStyle1"/>
          <w:iCs/>
          <w:spacing w:val="5"/>
          <w:sz w:val="26"/>
          <w:szCs w:val="26"/>
        </w:rPr>
        <w:t>Pérez</w:t>
      </w:r>
      <w:proofErr w:type="spellEnd"/>
      <w:r>
        <w:rPr>
          <w:rStyle w:val="CharacterStyle1"/>
          <w:iCs/>
          <w:spacing w:val="5"/>
          <w:sz w:val="26"/>
          <w:szCs w:val="26"/>
        </w:rPr>
        <w:t xml:space="preserve"> </w:t>
      </w:r>
      <w:proofErr w:type="spellStart"/>
      <w:r>
        <w:rPr>
          <w:rStyle w:val="CharacterStyle1"/>
          <w:iCs/>
          <w:spacing w:val="5"/>
          <w:sz w:val="26"/>
          <w:szCs w:val="26"/>
        </w:rPr>
        <w:t>Peláez</w:t>
      </w:r>
      <w:proofErr w:type="spellEnd"/>
    </w:p>
    <w:p w:rsidR="00224727" w:rsidRDefault="00224727" w:rsidP="00224727">
      <w:pPr>
        <w:kinsoku w:val="0"/>
        <w:overflowPunct w:val="0"/>
        <w:autoSpaceDE/>
        <w:autoSpaceDN/>
        <w:adjustRightInd/>
        <w:ind w:right="144"/>
        <w:jc w:val="center"/>
        <w:textAlignment w:val="baseline"/>
        <w:rPr>
          <w:rStyle w:val="CharacterStyle1"/>
          <w:b/>
          <w:iCs/>
          <w:spacing w:val="5"/>
          <w:sz w:val="26"/>
          <w:szCs w:val="26"/>
        </w:rPr>
      </w:pP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UEZA</w:t>
      </w:r>
    </w:p>
    <w:p w:rsidR="00224727" w:rsidRDefault="00224727" w:rsidP="00224727">
      <w:pPr>
        <w:pStyle w:val="Style1"/>
        <w:kinsoku w:val="0"/>
        <w:overflowPunct w:val="0"/>
        <w:autoSpaceDE/>
        <w:autoSpaceDN/>
        <w:adjustRightInd/>
        <w:spacing w:before="100" w:beforeAutospacing="1"/>
        <w:ind w:left="74"/>
        <w:jc w:val="center"/>
        <w:textAlignment w:val="baseline"/>
        <w:rPr>
          <w:sz w:val="24"/>
          <w:szCs w:val="24"/>
        </w:rPr>
      </w:pPr>
    </w:p>
    <w:p w:rsidR="00224727" w:rsidRDefault="00224727" w:rsidP="00224727">
      <w:pPr>
        <w:pStyle w:val="Style1"/>
        <w:kinsoku w:val="0"/>
        <w:overflowPunct w:val="0"/>
        <w:autoSpaceDE/>
        <w:autoSpaceDN/>
        <w:adjustRightInd/>
        <w:spacing w:before="100" w:beforeAutospacing="1"/>
        <w:ind w:left="74"/>
        <w:jc w:val="center"/>
        <w:textAlignment w:val="baseline"/>
        <w:rPr>
          <w:sz w:val="24"/>
          <w:szCs w:val="24"/>
        </w:rPr>
      </w:pPr>
    </w:p>
    <w:sectPr w:rsidR="00224727" w:rsidSect="00224727">
      <w:type w:val="continuous"/>
      <w:pgSz w:w="12134" w:h="15840"/>
      <w:pgMar w:top="1440" w:right="1395" w:bottom="2552" w:left="1579" w:header="720" w:footer="68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F5E" w:rsidRDefault="00F80F5E" w:rsidP="00224727">
      <w:r>
        <w:separator/>
      </w:r>
    </w:p>
  </w:endnote>
  <w:endnote w:type="continuationSeparator" w:id="0">
    <w:p w:rsidR="00F80F5E" w:rsidRDefault="00F80F5E" w:rsidP="00224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F5E" w:rsidRDefault="00F80F5E" w:rsidP="00224727">
      <w:r>
        <w:separator/>
      </w:r>
    </w:p>
  </w:footnote>
  <w:footnote w:type="continuationSeparator" w:id="0">
    <w:p w:rsidR="00F80F5E" w:rsidRDefault="00F80F5E" w:rsidP="00224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AB3C"/>
    <w:multiLevelType w:val="singleLevel"/>
    <w:tmpl w:val="C2F85AEE"/>
    <w:lvl w:ilvl="0">
      <w:start w:val="1"/>
      <w:numFmt w:val="upperRoman"/>
      <w:lvlText w:val="%1.-"/>
      <w:lvlJc w:val="left"/>
      <w:pPr>
        <w:tabs>
          <w:tab w:val="num" w:pos="1584"/>
        </w:tabs>
        <w:ind w:left="864"/>
      </w:pPr>
      <w:rPr>
        <w:b/>
        <w:snapToGrid/>
        <w:spacing w:val="1"/>
        <w:sz w:val="25"/>
        <w:szCs w:val="25"/>
      </w:rPr>
    </w:lvl>
  </w:abstractNum>
  <w:num w:numId="1">
    <w:abstractNumId w:val="0"/>
  </w:num>
  <w:num w:numId="2">
    <w:abstractNumId w:val="0"/>
    <w:lvlOverride w:ilvl="0">
      <w:lvl w:ilvl="0">
        <w:numFmt w:val="upperRoman"/>
        <w:lvlText w:val="%1.-"/>
        <w:lvlJc w:val="left"/>
        <w:pPr>
          <w:tabs>
            <w:tab w:val="num" w:pos="1296"/>
          </w:tabs>
          <w:ind w:left="864"/>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00"/>
  <w:drawingGridVerticalSpacing w:val="120"/>
  <w:displayHorizontalDrawingGridEvery w:val="0"/>
  <w:displayVerticalDrawingGridEvery w:val="3"/>
  <w:characterSpacingControl w:val="doNotCompress"/>
  <w:savePreviewPicture/>
  <w:doNotValidateAgainstSchema/>
  <w:doNotDemarcateInvalidXml/>
  <w:footnotePr>
    <w:footnote w:id="-1"/>
    <w:footnote w:id="0"/>
  </w:footnotePr>
  <w:endnotePr>
    <w:endnote w:id="-1"/>
    <w:endnote w:id="0"/>
  </w:endnotePr>
  <w:compat>
    <w:applyBreakingRules/>
    <w:useFELayout/>
  </w:compat>
  <w:rsids>
    <w:rsidRoot w:val="00D90209"/>
    <w:rsid w:val="00224727"/>
    <w:rsid w:val="00AC3AF8"/>
    <w:rsid w:val="00D90209"/>
    <w:rsid w:val="00F80F5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24727"/>
    <w:rPr>
      <w:lang w:val="es-CR"/>
    </w:rPr>
  </w:style>
  <w:style w:type="character" w:customStyle="1" w:styleId="CharacterStyle1">
    <w:name w:val="Character Style 1"/>
    <w:uiPriority w:val="99"/>
    <w:rsid w:val="00224727"/>
    <w:rPr>
      <w:sz w:val="20"/>
      <w:szCs w:val="20"/>
    </w:rPr>
  </w:style>
  <w:style w:type="paragraph" w:styleId="Encabezado">
    <w:name w:val="header"/>
    <w:basedOn w:val="Normal"/>
    <w:link w:val="EncabezadoCar"/>
    <w:uiPriority w:val="99"/>
    <w:semiHidden/>
    <w:unhideWhenUsed/>
    <w:rsid w:val="00224727"/>
    <w:pPr>
      <w:tabs>
        <w:tab w:val="center" w:pos="4419"/>
        <w:tab w:val="right" w:pos="8838"/>
      </w:tabs>
    </w:pPr>
  </w:style>
  <w:style w:type="character" w:customStyle="1" w:styleId="EncabezadoCar">
    <w:name w:val="Encabezado Car"/>
    <w:basedOn w:val="Fuentedeprrafopredeter"/>
    <w:link w:val="Encabezado"/>
    <w:uiPriority w:val="99"/>
    <w:semiHidden/>
    <w:rsid w:val="00224727"/>
    <w:rPr>
      <w:rFonts w:ascii="Times New Roman" w:hAnsi="Times New Roman" w:cs="Times New Roman"/>
      <w:sz w:val="20"/>
      <w:szCs w:val="20"/>
      <w:lang w:val="en-US"/>
    </w:rPr>
  </w:style>
  <w:style w:type="paragraph" w:styleId="Piedepgina">
    <w:name w:val="footer"/>
    <w:basedOn w:val="Normal"/>
    <w:link w:val="PiedepginaCar"/>
    <w:uiPriority w:val="99"/>
    <w:semiHidden/>
    <w:unhideWhenUsed/>
    <w:rsid w:val="00224727"/>
    <w:pPr>
      <w:tabs>
        <w:tab w:val="center" w:pos="4419"/>
        <w:tab w:val="right" w:pos="8838"/>
      </w:tabs>
    </w:pPr>
  </w:style>
  <w:style w:type="character" w:customStyle="1" w:styleId="PiedepginaCar">
    <w:name w:val="Pie de página Car"/>
    <w:basedOn w:val="Fuentedeprrafopredeter"/>
    <w:link w:val="Piedepgina"/>
    <w:uiPriority w:val="99"/>
    <w:semiHidden/>
    <w:rsid w:val="00224727"/>
    <w:rPr>
      <w:rFonts w:ascii="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2016-03-15T17:40:00Z</dcterms:created>
  <dcterms:modified xsi:type="dcterms:W3CDTF">2016-03-15T17:40:00Z</dcterms:modified>
</cp:coreProperties>
</file>