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8B5E2F" w:rsidRDefault="00D040A2">
      <w:pPr>
        <w:kinsoku w:val="0"/>
        <w:overflowPunct w:val="0"/>
        <w:autoSpaceDE/>
        <w:autoSpaceDN/>
        <w:adjustRightInd/>
        <w:spacing w:line="288" w:lineRule="exact"/>
        <w:ind w:left="72"/>
        <w:jc w:val="center"/>
        <w:textAlignment w:val="baseline"/>
        <w:rPr>
          <w:b/>
          <w:spacing w:val="2"/>
          <w:sz w:val="26"/>
          <w:szCs w:val="26"/>
          <w:lang w:val="es-ES" w:eastAsia="es-ES"/>
        </w:rPr>
      </w:pPr>
      <w:r w:rsidRPr="008B5E2F">
        <w:rPr>
          <w:b/>
          <w:spacing w:val="2"/>
          <w:sz w:val="26"/>
          <w:szCs w:val="26"/>
          <w:lang w:val="es-ES" w:eastAsia="es-ES"/>
        </w:rPr>
        <w:t>Resolución No. TAT-2574-2015</w:t>
      </w:r>
    </w:p>
    <w:p w:rsidR="00000000" w:rsidRDefault="00D040A2">
      <w:pPr>
        <w:kinsoku w:val="0"/>
        <w:overflowPunct w:val="0"/>
        <w:autoSpaceDE/>
        <w:autoSpaceDN/>
        <w:adjustRightInd/>
        <w:spacing w:before="609" w:line="289" w:lineRule="exact"/>
        <w:ind w:left="72"/>
        <w:textAlignment w:val="baseline"/>
        <w:rPr>
          <w:spacing w:val="9"/>
          <w:sz w:val="26"/>
          <w:szCs w:val="26"/>
          <w:lang w:val="es-ES" w:eastAsia="es-ES"/>
        </w:rPr>
      </w:pPr>
      <w:r>
        <w:rPr>
          <w:spacing w:val="9"/>
          <w:sz w:val="26"/>
          <w:szCs w:val="26"/>
          <w:lang w:val="es-ES" w:eastAsia="es-ES"/>
        </w:rPr>
        <w:t>TRIBUNAL ADMINISTRATIVO DE TRANSPORTE.- San José, a las 11:20</w:t>
      </w:r>
    </w:p>
    <w:p w:rsidR="00000000" w:rsidRDefault="00D040A2">
      <w:pPr>
        <w:tabs>
          <w:tab w:val="right" w:leader="hyphen" w:pos="8856"/>
        </w:tabs>
        <w:kinsoku w:val="0"/>
        <w:overflowPunct w:val="0"/>
        <w:autoSpaceDE/>
        <w:autoSpaceDN/>
        <w:adjustRightInd/>
        <w:spacing w:before="65" w:line="289" w:lineRule="exact"/>
        <w:ind w:left="72"/>
        <w:textAlignment w:val="baseline"/>
        <w:rPr>
          <w:sz w:val="26"/>
          <w:szCs w:val="26"/>
          <w:lang w:val="es-ES" w:eastAsia="es-ES"/>
        </w:rPr>
      </w:pPr>
      <w:r>
        <w:rPr>
          <w:sz w:val="26"/>
          <w:szCs w:val="26"/>
          <w:lang w:val="es-ES" w:eastAsia="es-ES"/>
        </w:rPr>
        <w:t>horas del día Veintidó</w:t>
      </w:r>
      <w:r>
        <w:rPr>
          <w:sz w:val="26"/>
          <w:szCs w:val="26"/>
          <w:lang w:val="es-ES" w:eastAsia="es-ES"/>
        </w:rPr>
        <w:t>s del mes de Mayo del Dos Mil Quince.</w:t>
      </w:r>
      <w:r>
        <w:rPr>
          <w:sz w:val="26"/>
          <w:szCs w:val="26"/>
          <w:lang w:val="es-ES" w:eastAsia="es-ES"/>
        </w:rPr>
        <w:tab/>
      </w:r>
    </w:p>
    <w:p w:rsidR="00000000" w:rsidRPr="008B5E2F" w:rsidRDefault="00D040A2">
      <w:pPr>
        <w:kinsoku w:val="0"/>
        <w:overflowPunct w:val="0"/>
        <w:autoSpaceDE/>
        <w:autoSpaceDN/>
        <w:adjustRightInd/>
        <w:spacing w:before="408" w:line="353" w:lineRule="exact"/>
        <w:ind w:left="72" w:right="72"/>
        <w:jc w:val="both"/>
        <w:textAlignment w:val="baseline"/>
        <w:rPr>
          <w:b/>
          <w:sz w:val="24"/>
          <w:szCs w:val="24"/>
          <w:lang w:eastAsia="en-US"/>
        </w:rPr>
      </w:pPr>
      <w:r>
        <w:rPr>
          <w:sz w:val="26"/>
          <w:szCs w:val="26"/>
          <w:lang w:val="es-ES" w:eastAsia="es-ES"/>
        </w:rPr>
        <w:t xml:space="preserve">Se conoce por este medio de </w:t>
      </w:r>
      <w:r w:rsidRPr="008B5E2F">
        <w:rPr>
          <w:b/>
          <w:sz w:val="26"/>
          <w:szCs w:val="26"/>
          <w:lang w:val="es-ES" w:eastAsia="es-ES"/>
        </w:rPr>
        <w:t>RECURSO DE APELACIÓN</w:t>
      </w:r>
      <w:r>
        <w:rPr>
          <w:sz w:val="26"/>
          <w:szCs w:val="26"/>
          <w:lang w:val="es-ES" w:eastAsia="es-ES"/>
        </w:rPr>
        <w:t xml:space="preserve">, presentado de forma única por el señor </w:t>
      </w:r>
      <w:r w:rsidRPr="008B5E2F">
        <w:rPr>
          <w:b/>
          <w:i/>
          <w:iCs/>
          <w:sz w:val="26"/>
          <w:szCs w:val="26"/>
          <w:lang w:val="es-ES" w:eastAsia="es-ES"/>
        </w:rPr>
        <w:t>J</w:t>
      </w:r>
      <w:r w:rsidR="008B5E2F" w:rsidRPr="008B5E2F">
        <w:rPr>
          <w:b/>
          <w:i/>
          <w:iCs/>
          <w:sz w:val="26"/>
          <w:szCs w:val="26"/>
          <w:lang w:val="es-ES" w:eastAsia="es-ES"/>
        </w:rPr>
        <w:t>.E.L.D.</w:t>
      </w:r>
      <w:r>
        <w:rPr>
          <w:i/>
          <w:iCs/>
          <w:sz w:val="26"/>
          <w:szCs w:val="26"/>
          <w:lang w:val="es-ES" w:eastAsia="es-ES"/>
        </w:rPr>
        <w:t xml:space="preserve">, </w:t>
      </w:r>
      <w:r>
        <w:rPr>
          <w:sz w:val="26"/>
          <w:szCs w:val="26"/>
          <w:lang w:val="es-ES" w:eastAsia="es-ES"/>
        </w:rPr>
        <w:t xml:space="preserve">de calidades conocidas, portador de la cédula de identidad número </w:t>
      </w:r>
      <w:r w:rsidR="008B5E2F">
        <w:rPr>
          <w:sz w:val="26"/>
          <w:szCs w:val="26"/>
          <w:lang w:val="es-ES" w:eastAsia="es-ES"/>
        </w:rPr>
        <w:t>…</w:t>
      </w:r>
      <w:r>
        <w:rPr>
          <w:sz w:val="26"/>
          <w:szCs w:val="26"/>
          <w:lang w:val="es-ES" w:eastAsia="es-ES"/>
        </w:rPr>
        <w:t>, contra el Acuerdo No. 7.6 d</w:t>
      </w:r>
      <w:r>
        <w:rPr>
          <w:sz w:val="26"/>
          <w:szCs w:val="26"/>
          <w:lang w:val="es-ES" w:eastAsia="es-ES"/>
        </w:rPr>
        <w:t xml:space="preserve">e la Sesión Ordinaria No. 19-2015 de la Junta Directiva del Consejo de Transporte Público del 09 de Abril del 2015.- </w:t>
      </w:r>
      <w:r w:rsidRPr="008B5E2F">
        <w:rPr>
          <w:b/>
          <w:i/>
          <w:iCs/>
          <w:sz w:val="26"/>
          <w:szCs w:val="26"/>
          <w:lang w:val="es-ES" w:eastAsia="es-ES"/>
        </w:rPr>
        <w:t>EXPEDIENTE No. TAT-232-15.</w:t>
      </w:r>
      <w:r w:rsidRPr="008B5E2F">
        <w:rPr>
          <w:b/>
          <w:i/>
          <w:iCs/>
          <w:sz w:val="26"/>
          <w:szCs w:val="26"/>
          <w:lang w:val="es-ES" w:eastAsia="es-ES"/>
        </w:rPr>
        <w:noBreakHyphen/>
      </w:r>
    </w:p>
    <w:p w:rsidR="00000000" w:rsidRPr="008B5E2F" w:rsidRDefault="00D040A2">
      <w:pPr>
        <w:kinsoku w:val="0"/>
        <w:overflowPunct w:val="0"/>
        <w:autoSpaceDE/>
        <w:autoSpaceDN/>
        <w:adjustRightInd/>
        <w:spacing w:before="266" w:line="286" w:lineRule="exact"/>
        <w:ind w:left="72"/>
        <w:jc w:val="center"/>
        <w:textAlignment w:val="baseline"/>
        <w:rPr>
          <w:b/>
          <w:i/>
          <w:iCs/>
          <w:spacing w:val="3"/>
          <w:sz w:val="26"/>
          <w:szCs w:val="26"/>
          <w:lang w:val="es-ES" w:eastAsia="es-ES"/>
        </w:rPr>
      </w:pPr>
      <w:r w:rsidRPr="008B5E2F">
        <w:rPr>
          <w:b/>
          <w:i/>
          <w:iCs/>
          <w:spacing w:val="3"/>
          <w:sz w:val="26"/>
          <w:szCs w:val="26"/>
          <w:lang w:val="es-ES" w:eastAsia="es-ES"/>
        </w:rPr>
        <w:t>Resultando:</w:t>
      </w:r>
    </w:p>
    <w:p w:rsidR="00000000" w:rsidRDefault="00D040A2">
      <w:pPr>
        <w:numPr>
          <w:ilvl w:val="0"/>
          <w:numId w:val="1"/>
        </w:numPr>
        <w:kinsoku w:val="0"/>
        <w:overflowPunct w:val="0"/>
        <w:autoSpaceDE/>
        <w:autoSpaceDN/>
        <w:adjustRightInd/>
        <w:spacing w:before="170" w:line="353" w:lineRule="exact"/>
        <w:ind w:right="72"/>
        <w:jc w:val="both"/>
        <w:textAlignment w:val="baseline"/>
        <w:rPr>
          <w:sz w:val="26"/>
          <w:szCs w:val="26"/>
          <w:lang w:val="es-ES" w:eastAsia="es-ES"/>
        </w:rPr>
      </w:pPr>
      <w:r>
        <w:rPr>
          <w:sz w:val="26"/>
          <w:szCs w:val="26"/>
          <w:lang w:val="es-ES" w:eastAsia="es-ES"/>
        </w:rPr>
        <w:t>Luego se seguir los procedimientos de rigor y mediante su Acuerdo No. 7.6 de su Sesión Ordina</w:t>
      </w:r>
      <w:r>
        <w:rPr>
          <w:sz w:val="26"/>
          <w:szCs w:val="26"/>
          <w:lang w:val="es-ES" w:eastAsia="es-ES"/>
        </w:rPr>
        <w:t>ria No. 19-2015, la Junta Directiva del Consejo de Transporte Público dispuso Cancelar el Derecho de Concesión Placas TC-</w:t>
      </w:r>
      <w:r w:rsidR="008B5E2F">
        <w:rPr>
          <w:sz w:val="26"/>
          <w:szCs w:val="26"/>
          <w:lang w:val="es-ES" w:eastAsia="es-ES"/>
        </w:rPr>
        <w:t>XXX</w:t>
      </w:r>
      <w:r>
        <w:rPr>
          <w:sz w:val="26"/>
          <w:szCs w:val="26"/>
          <w:lang w:val="es-ES" w:eastAsia="es-ES"/>
        </w:rPr>
        <w:t xml:space="preserve"> a nombre del hoy Recurrente. Tal determinación en rigor de que dicho Concesionario otorgó un Poder Generalísimo sin límite de suma </w:t>
      </w:r>
      <w:r>
        <w:rPr>
          <w:sz w:val="26"/>
          <w:szCs w:val="26"/>
          <w:lang w:val="es-ES" w:eastAsia="es-ES"/>
        </w:rPr>
        <w:t>a favor del señor M</w:t>
      </w:r>
      <w:r w:rsidR="008B5E2F">
        <w:rPr>
          <w:sz w:val="26"/>
          <w:szCs w:val="26"/>
          <w:lang w:val="es-ES" w:eastAsia="es-ES"/>
        </w:rPr>
        <w:t>.S.C.</w:t>
      </w:r>
      <w:r>
        <w:rPr>
          <w:sz w:val="26"/>
          <w:szCs w:val="26"/>
          <w:lang w:val="es-ES" w:eastAsia="es-ES"/>
        </w:rPr>
        <w:t>, lo cual se determinó como un Traspaso No Autorizado y como un Incumplimiento en cuanto a la Titularidad, a la Explotación, a la Disposición y a la Administración de la Concesión dicha.</w:t>
      </w:r>
    </w:p>
    <w:p w:rsidR="00000000" w:rsidRDefault="00D040A2">
      <w:pPr>
        <w:numPr>
          <w:ilvl w:val="0"/>
          <w:numId w:val="1"/>
        </w:numPr>
        <w:kinsoku w:val="0"/>
        <w:overflowPunct w:val="0"/>
        <w:autoSpaceDE/>
        <w:autoSpaceDN/>
        <w:adjustRightInd/>
        <w:spacing w:before="179" w:line="353" w:lineRule="exact"/>
        <w:ind w:right="72"/>
        <w:jc w:val="both"/>
        <w:textAlignment w:val="baseline"/>
        <w:rPr>
          <w:sz w:val="26"/>
          <w:szCs w:val="26"/>
          <w:lang w:val="es-ES" w:eastAsia="es-ES"/>
        </w:rPr>
      </w:pPr>
      <w:r>
        <w:rPr>
          <w:sz w:val="26"/>
          <w:szCs w:val="26"/>
          <w:lang w:val="es-ES" w:eastAsia="es-ES"/>
        </w:rPr>
        <w:t>Visto lo dispuesto en su relación y en su contra por la Junta Directiva del Consejo de Transporte Público, según el Acuerdo antes referido; el señor L</w:t>
      </w:r>
      <w:r w:rsidR="008B5E2F">
        <w:rPr>
          <w:sz w:val="26"/>
          <w:szCs w:val="26"/>
          <w:lang w:val="es-ES" w:eastAsia="es-ES"/>
        </w:rPr>
        <w:t>.D.</w:t>
      </w:r>
      <w:r>
        <w:rPr>
          <w:sz w:val="26"/>
          <w:szCs w:val="26"/>
          <w:lang w:val="es-ES" w:eastAsia="es-ES"/>
        </w:rPr>
        <w:t>, mediante el concurso de su Apoder</w:t>
      </w:r>
      <w:r w:rsidR="0031799D">
        <w:rPr>
          <w:sz w:val="26"/>
          <w:szCs w:val="26"/>
          <w:lang w:val="es-ES" w:eastAsia="es-ES"/>
        </w:rPr>
        <w:t>ado Especial Administrativo, L</w:t>
      </w:r>
      <w:r>
        <w:rPr>
          <w:sz w:val="26"/>
          <w:szCs w:val="26"/>
          <w:lang w:val="es-ES" w:eastAsia="es-ES"/>
        </w:rPr>
        <w:t>.</w:t>
      </w:r>
      <w:bookmarkStart w:id="0" w:name="_GoBack"/>
      <w:bookmarkEnd w:id="0"/>
      <w:r>
        <w:rPr>
          <w:sz w:val="26"/>
          <w:szCs w:val="26"/>
          <w:lang w:val="es-ES" w:eastAsia="es-ES"/>
        </w:rPr>
        <w:t>R</w:t>
      </w:r>
      <w:r w:rsidR="008B5E2F">
        <w:rPr>
          <w:sz w:val="26"/>
          <w:szCs w:val="26"/>
          <w:lang w:val="es-ES" w:eastAsia="es-ES"/>
        </w:rPr>
        <w:t>.A.P.</w:t>
      </w:r>
      <w:r>
        <w:rPr>
          <w:sz w:val="26"/>
          <w:szCs w:val="26"/>
          <w:lang w:val="es-ES" w:eastAsia="es-ES"/>
        </w:rPr>
        <w:t>, y seg</w:t>
      </w:r>
      <w:r>
        <w:rPr>
          <w:sz w:val="26"/>
          <w:szCs w:val="26"/>
          <w:lang w:val="es-ES" w:eastAsia="es-ES"/>
        </w:rPr>
        <w:t>ún su Memorial de fecha 21 de Abril del 2015, interpone únicamente formal Recurso de Apelación contra dicho Acuerdo.</w:t>
      </w:r>
    </w:p>
    <w:p w:rsidR="00000000" w:rsidRDefault="00D040A2">
      <w:pPr>
        <w:numPr>
          <w:ilvl w:val="0"/>
          <w:numId w:val="1"/>
        </w:numPr>
        <w:kinsoku w:val="0"/>
        <w:overflowPunct w:val="0"/>
        <w:autoSpaceDE/>
        <w:autoSpaceDN/>
        <w:adjustRightInd/>
        <w:spacing w:before="183" w:line="353" w:lineRule="exact"/>
        <w:jc w:val="both"/>
        <w:textAlignment w:val="baseline"/>
        <w:rPr>
          <w:spacing w:val="-2"/>
          <w:sz w:val="26"/>
          <w:szCs w:val="26"/>
          <w:lang w:val="es-ES" w:eastAsia="es-ES"/>
        </w:rPr>
      </w:pPr>
      <w:r>
        <w:rPr>
          <w:spacing w:val="-2"/>
          <w:sz w:val="26"/>
          <w:szCs w:val="26"/>
          <w:lang w:val="es-ES" w:eastAsia="es-ES"/>
        </w:rPr>
        <w:t>Mediante su Oficio DAJ-2015001347 del 23 de Abril del 2015, la Dirección de Asuntos Jurídicos del Consejo de Transporte Público, remite ant</w:t>
      </w:r>
      <w:r>
        <w:rPr>
          <w:spacing w:val="-2"/>
          <w:sz w:val="26"/>
          <w:szCs w:val="26"/>
          <w:lang w:val="es-ES" w:eastAsia="es-ES"/>
        </w:rPr>
        <w:t>e este Tribunal, por ser de nuestra Competencia, el Conocimiento y la Resolución del Recurso de Apelación aludido en el anterior Resultando.</w:t>
      </w:r>
    </w:p>
    <w:p w:rsidR="00000000" w:rsidRDefault="00D040A2">
      <w:pPr>
        <w:widowControl/>
        <w:rPr>
          <w:sz w:val="24"/>
          <w:szCs w:val="24"/>
        </w:rPr>
        <w:sectPr w:rsidR="00000000">
          <w:pgSz w:w="12134" w:h="15840"/>
          <w:pgMar w:top="1417" w:right="1532" w:bottom="180" w:left="1602" w:header="720" w:footer="720" w:gutter="0"/>
          <w:cols w:space="720"/>
          <w:noEndnote/>
        </w:sectPr>
      </w:pPr>
    </w:p>
    <w:p w:rsidR="00000000" w:rsidRDefault="00D040A2">
      <w:pPr>
        <w:tabs>
          <w:tab w:val="left" w:pos="720"/>
        </w:tabs>
        <w:kinsoku w:val="0"/>
        <w:overflowPunct w:val="0"/>
        <w:autoSpaceDE/>
        <w:autoSpaceDN/>
        <w:adjustRightInd/>
        <w:spacing w:line="344" w:lineRule="exact"/>
        <w:ind w:left="72" w:right="72"/>
        <w:jc w:val="both"/>
        <w:textAlignment w:val="baseline"/>
        <w:rPr>
          <w:sz w:val="26"/>
          <w:szCs w:val="26"/>
          <w:lang w:val="es-ES" w:eastAsia="es-ES"/>
        </w:rPr>
      </w:pPr>
      <w:r>
        <w:rPr>
          <w:b/>
          <w:bCs/>
          <w:sz w:val="26"/>
          <w:szCs w:val="26"/>
          <w:lang w:val="es-ES" w:eastAsia="es-ES"/>
        </w:rPr>
        <w:lastRenderedPageBreak/>
        <w:t>4.-</w:t>
      </w:r>
      <w:r>
        <w:rPr>
          <w:b/>
          <w:bCs/>
          <w:sz w:val="26"/>
          <w:szCs w:val="26"/>
          <w:lang w:val="es-ES" w:eastAsia="es-ES"/>
        </w:rPr>
        <w:tab/>
      </w:r>
      <w:r>
        <w:rPr>
          <w:sz w:val="26"/>
          <w:szCs w:val="26"/>
          <w:lang w:val="es-ES" w:eastAsia="es-ES"/>
        </w:rPr>
        <w:t>Conforme a todo lo anterior y en rigor de los términos y prescripciones de Ley, procede a conocer este Tribunal.</w:t>
      </w:r>
    </w:p>
    <w:p w:rsidR="00000000" w:rsidRPr="008B5E2F" w:rsidRDefault="00D040A2">
      <w:pPr>
        <w:kinsoku w:val="0"/>
        <w:overflowPunct w:val="0"/>
        <w:autoSpaceDE/>
        <w:autoSpaceDN/>
        <w:adjustRightInd/>
        <w:spacing w:before="616" w:line="291" w:lineRule="exact"/>
        <w:ind w:left="72" w:right="72"/>
        <w:textAlignment w:val="baseline"/>
        <w:rPr>
          <w:b/>
          <w:i/>
          <w:iCs/>
          <w:spacing w:val="8"/>
          <w:sz w:val="26"/>
          <w:szCs w:val="26"/>
          <w:lang w:val="es-ES" w:eastAsia="es-ES"/>
        </w:rPr>
      </w:pPr>
      <w:r w:rsidRPr="008B5E2F">
        <w:rPr>
          <w:b/>
          <w:i/>
          <w:iCs/>
          <w:spacing w:val="8"/>
          <w:sz w:val="26"/>
          <w:szCs w:val="26"/>
          <w:lang w:val="es-ES" w:eastAsia="es-ES"/>
        </w:rPr>
        <w:t>REDACTA EL JUEZ QUESADA AGUIRRE,</w:t>
      </w:r>
    </w:p>
    <w:p w:rsidR="00000000" w:rsidRPr="008B5E2F" w:rsidRDefault="00D040A2">
      <w:pPr>
        <w:kinsoku w:val="0"/>
        <w:overflowPunct w:val="0"/>
        <w:autoSpaceDE/>
        <w:autoSpaceDN/>
        <w:adjustRightInd/>
        <w:spacing w:before="256" w:line="291" w:lineRule="exact"/>
        <w:ind w:left="72" w:right="72"/>
        <w:jc w:val="center"/>
        <w:textAlignment w:val="baseline"/>
        <w:rPr>
          <w:b/>
          <w:i/>
          <w:iCs/>
          <w:sz w:val="26"/>
          <w:szCs w:val="26"/>
          <w:lang w:val="es-ES" w:eastAsia="es-ES"/>
        </w:rPr>
      </w:pPr>
      <w:r w:rsidRPr="008B5E2F">
        <w:rPr>
          <w:b/>
          <w:i/>
          <w:iCs/>
          <w:sz w:val="26"/>
          <w:szCs w:val="26"/>
          <w:lang w:val="es-ES" w:eastAsia="es-ES"/>
        </w:rPr>
        <w:t>Considerando:</w:t>
      </w:r>
    </w:p>
    <w:p w:rsidR="00000000" w:rsidRDefault="00D040A2">
      <w:pPr>
        <w:tabs>
          <w:tab w:val="left" w:pos="720"/>
        </w:tabs>
        <w:kinsoku w:val="0"/>
        <w:overflowPunct w:val="0"/>
        <w:autoSpaceDE/>
        <w:autoSpaceDN/>
        <w:adjustRightInd/>
        <w:spacing w:before="404" w:line="346" w:lineRule="exact"/>
        <w:ind w:left="72" w:right="72"/>
        <w:jc w:val="both"/>
        <w:textAlignment w:val="baseline"/>
        <w:rPr>
          <w:sz w:val="24"/>
          <w:szCs w:val="24"/>
          <w:lang w:eastAsia="en-US"/>
        </w:rPr>
      </w:pPr>
      <w:r>
        <w:rPr>
          <w:b/>
          <w:bCs/>
          <w:sz w:val="26"/>
          <w:szCs w:val="26"/>
          <w:lang w:val="es-ES" w:eastAsia="es-ES"/>
        </w:rPr>
        <w:t>L-</w:t>
      </w:r>
      <w:r>
        <w:rPr>
          <w:b/>
          <w:bCs/>
          <w:sz w:val="26"/>
          <w:szCs w:val="26"/>
          <w:lang w:val="es-ES" w:eastAsia="es-ES"/>
        </w:rPr>
        <w:tab/>
        <w:t xml:space="preserve">SOBRE LA COMPETENCIA: </w:t>
      </w:r>
      <w:r>
        <w:rPr>
          <w:sz w:val="26"/>
          <w:szCs w:val="26"/>
          <w:lang w:val="es-ES" w:eastAsia="es-ES"/>
        </w:rPr>
        <w:t xml:space="preserve">El Tribunal Administrativo de Transporte es el Órgano Competente para conocer y resolver el presente </w:t>
      </w:r>
      <w:r>
        <w:rPr>
          <w:lang w:val="es-ES" w:eastAsia="es-ES"/>
        </w:rPr>
        <w:t xml:space="preserve">RECURSO DE APELACIÓN </w:t>
      </w:r>
      <w:r>
        <w:rPr>
          <w:sz w:val="26"/>
          <w:szCs w:val="26"/>
          <w:lang w:val="es-ES" w:eastAsia="es-ES"/>
        </w:rPr>
        <w:t>de conformidad con el Artí</w:t>
      </w:r>
      <w:r>
        <w:rPr>
          <w:sz w:val="26"/>
          <w:szCs w:val="26"/>
          <w:lang w:val="es-ES" w:eastAsia="es-ES"/>
        </w:rPr>
        <w:t xml:space="preserve">culo 22 de la Ley Reguladora del Servicio 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así como de la Incidencia de Nulidad correlativa, según los térm</w:t>
      </w:r>
      <w:r>
        <w:rPr>
          <w:sz w:val="26"/>
          <w:szCs w:val="26"/>
          <w:lang w:val="es-ES" w:eastAsia="es-ES"/>
        </w:rPr>
        <w:t>inos de la Ley General de la Administración Pública.</w:t>
      </w:r>
      <w:r>
        <w:rPr>
          <w:sz w:val="26"/>
          <w:szCs w:val="26"/>
          <w:lang w:val="es-ES" w:eastAsia="es-ES"/>
        </w:rPr>
        <w:noBreakHyphen/>
      </w:r>
    </w:p>
    <w:p w:rsidR="00000000" w:rsidRDefault="00D040A2">
      <w:pPr>
        <w:numPr>
          <w:ilvl w:val="0"/>
          <w:numId w:val="2"/>
        </w:numPr>
        <w:kinsoku w:val="0"/>
        <w:overflowPunct w:val="0"/>
        <w:autoSpaceDE/>
        <w:autoSpaceDN/>
        <w:adjustRightInd/>
        <w:spacing w:before="425" w:line="295" w:lineRule="exact"/>
        <w:ind w:right="72"/>
        <w:textAlignment w:val="baseline"/>
        <w:rPr>
          <w:b/>
          <w:bCs/>
          <w:sz w:val="26"/>
          <w:szCs w:val="26"/>
          <w:lang w:val="es-ES" w:eastAsia="es-ES"/>
        </w:rPr>
      </w:pPr>
      <w:r>
        <w:rPr>
          <w:b/>
          <w:bCs/>
          <w:sz w:val="26"/>
          <w:szCs w:val="26"/>
          <w:lang w:val="es-ES" w:eastAsia="es-ES"/>
        </w:rPr>
        <w:t>SOBRE LA ADMISIBILIDAD DEL RECURSO:</w:t>
      </w:r>
    </w:p>
    <w:p w:rsidR="00000000" w:rsidRDefault="00D040A2">
      <w:pPr>
        <w:kinsoku w:val="0"/>
        <w:overflowPunct w:val="0"/>
        <w:autoSpaceDE/>
        <w:autoSpaceDN/>
        <w:adjustRightInd/>
        <w:spacing w:before="350" w:line="346" w:lineRule="exact"/>
        <w:ind w:left="72" w:right="72"/>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el Recurrente ha sido Gestionante/Interesado y fue Notificado del Acto que Objeta, mismo que estima como afectante de sus Derechos como Concesionario del Servicio Público de Transporte Remunerado de Personas, en la modalidad de Taxis, con la P</w:t>
      </w:r>
      <w:r>
        <w:rPr>
          <w:sz w:val="26"/>
          <w:szCs w:val="26"/>
          <w:lang w:val="es-ES" w:eastAsia="es-ES"/>
        </w:rPr>
        <w:t>laca TC-</w:t>
      </w:r>
      <w:r w:rsidR="008B5E2F">
        <w:rPr>
          <w:sz w:val="26"/>
          <w:szCs w:val="26"/>
          <w:lang w:val="es-ES" w:eastAsia="es-ES"/>
        </w:rPr>
        <w:t>XXX</w:t>
      </w:r>
      <w:r>
        <w:rPr>
          <w:sz w:val="26"/>
          <w:szCs w:val="26"/>
          <w:lang w:val="es-ES" w:eastAsia="es-ES"/>
        </w:rPr>
        <w:t>.</w:t>
      </w:r>
    </w:p>
    <w:p w:rsidR="00000000" w:rsidRDefault="00D040A2">
      <w:pPr>
        <w:kinsoku w:val="0"/>
        <w:overflowPunct w:val="0"/>
        <w:autoSpaceDE/>
        <w:autoSpaceDN/>
        <w:adjustRightInd/>
        <w:spacing w:before="348" w:line="346" w:lineRule="exact"/>
        <w:ind w:left="72" w:right="72"/>
        <w:jc w:val="both"/>
        <w:textAlignment w:val="baseline"/>
        <w:rPr>
          <w:sz w:val="26"/>
          <w:szCs w:val="26"/>
          <w:lang w:val="es-ES" w:eastAsia="es-ES"/>
        </w:rPr>
      </w:pPr>
      <w:r>
        <w:rPr>
          <w:b/>
          <w:bCs/>
          <w:sz w:val="26"/>
          <w:szCs w:val="26"/>
          <w:u w:val="single"/>
          <w:lang w:val="es-ES" w:eastAsia="es-ES"/>
        </w:rPr>
        <w:t>En cuanto al Plazo:</w:t>
      </w:r>
      <w:r>
        <w:rPr>
          <w:sz w:val="26"/>
          <w:szCs w:val="26"/>
          <w:lang w:val="es-ES" w:eastAsia="es-ES"/>
        </w:rPr>
        <w:t xml:space="preserve"> Según consta a folio 019, el Acto Impugnado se Notificó al Recurrente el día 14 de Abril del 2015; y el Recurso respectivo se presentó el día 21 de Abril del 2015, dentro del Plazo Legal de CINCO DÍAS HÁBILES establecido en</w:t>
      </w:r>
      <w:r>
        <w:rPr>
          <w:sz w:val="26"/>
          <w:szCs w:val="26"/>
          <w:lang w:val="es-ES" w:eastAsia="es-ES"/>
        </w:rPr>
        <w:t xml:space="preserve"> el Artículo 11 de la Ley No. 7969. Es decir, en Tiempo y Forma, POR LO QUE PROCEDE SU ADMISIBILIDAD Y CURSO.</w:t>
      </w:r>
    </w:p>
    <w:p w:rsidR="00000000" w:rsidRDefault="00D040A2">
      <w:pPr>
        <w:numPr>
          <w:ilvl w:val="0"/>
          <w:numId w:val="2"/>
        </w:numPr>
        <w:kinsoku w:val="0"/>
        <w:overflowPunct w:val="0"/>
        <w:autoSpaceDE/>
        <w:autoSpaceDN/>
        <w:adjustRightInd/>
        <w:spacing w:before="421" w:line="295" w:lineRule="exact"/>
        <w:ind w:right="72"/>
        <w:textAlignment w:val="baseline"/>
        <w:rPr>
          <w:b/>
          <w:bCs/>
          <w:spacing w:val="-1"/>
          <w:sz w:val="26"/>
          <w:szCs w:val="26"/>
          <w:lang w:val="es-ES" w:eastAsia="es-ES"/>
        </w:rPr>
      </w:pPr>
      <w:r>
        <w:rPr>
          <w:b/>
          <w:bCs/>
          <w:spacing w:val="-1"/>
          <w:sz w:val="26"/>
          <w:szCs w:val="26"/>
          <w:lang w:val="es-ES" w:eastAsia="es-ES"/>
        </w:rPr>
        <w:t>HECHOS PROBADOS:</w:t>
      </w:r>
    </w:p>
    <w:p w:rsidR="00000000" w:rsidRDefault="00D040A2">
      <w:pPr>
        <w:kinsoku w:val="0"/>
        <w:overflowPunct w:val="0"/>
        <w:autoSpaceDE/>
        <w:autoSpaceDN/>
        <w:adjustRightInd/>
        <w:spacing w:before="188" w:line="346" w:lineRule="exact"/>
        <w:ind w:left="72" w:right="72"/>
        <w:jc w:val="both"/>
        <w:textAlignment w:val="baseline"/>
        <w:rPr>
          <w:sz w:val="26"/>
          <w:szCs w:val="26"/>
          <w:lang w:val="es-ES" w:eastAsia="es-ES"/>
        </w:rPr>
      </w:pPr>
      <w:r>
        <w:rPr>
          <w:sz w:val="26"/>
          <w:szCs w:val="26"/>
          <w:lang w:val="es-ES" w:eastAsia="es-ES"/>
        </w:rPr>
        <w:t>Como tales y en mérito de lo discutido mediante en cuanto al presente Caso, se tienen como Demostrados los Hechos consigna</w:t>
      </w:r>
      <w:r>
        <w:rPr>
          <w:sz w:val="26"/>
          <w:szCs w:val="26"/>
          <w:lang w:val="es-ES" w:eastAsia="es-ES"/>
        </w:rPr>
        <w:t>dos en lo Resultandos precedentes. Y particularmente los siguientes:</w:t>
      </w:r>
    </w:p>
    <w:p w:rsidR="00000000" w:rsidRDefault="00D040A2">
      <w:pPr>
        <w:tabs>
          <w:tab w:val="left" w:pos="720"/>
        </w:tabs>
        <w:kinsoku w:val="0"/>
        <w:overflowPunct w:val="0"/>
        <w:autoSpaceDE/>
        <w:autoSpaceDN/>
        <w:adjustRightInd/>
        <w:spacing w:before="207" w:line="348" w:lineRule="exact"/>
        <w:ind w:left="72" w:right="72"/>
        <w:jc w:val="both"/>
        <w:textAlignment w:val="baseline"/>
        <w:rPr>
          <w:i/>
          <w:iCs/>
          <w:spacing w:val="-1"/>
          <w:sz w:val="26"/>
          <w:szCs w:val="26"/>
          <w:lang w:val="es-ES" w:eastAsia="es-ES"/>
        </w:rPr>
      </w:pPr>
      <w:r w:rsidRPr="008B5E2F">
        <w:rPr>
          <w:b/>
          <w:i/>
          <w:iCs/>
          <w:spacing w:val="-1"/>
          <w:sz w:val="26"/>
          <w:szCs w:val="26"/>
          <w:lang w:val="es-ES" w:eastAsia="es-ES"/>
        </w:rPr>
        <w:t>a.-</w:t>
      </w:r>
      <w:r>
        <w:rPr>
          <w:i/>
          <w:iCs/>
          <w:spacing w:val="-1"/>
          <w:sz w:val="26"/>
          <w:szCs w:val="26"/>
          <w:lang w:val="es-ES" w:eastAsia="es-ES"/>
        </w:rPr>
        <w:tab/>
        <w:t>Que mediante su Acuerdo No. 7.6 de su Sesión Ordinaria No. 19-2015, la Junta Directiva del Consejo de Transporte Público dispuso Cancelar el Derecho de Concesión Placas TC-</w:t>
      </w:r>
      <w:r w:rsidR="008B5E2F">
        <w:rPr>
          <w:i/>
          <w:iCs/>
          <w:spacing w:val="-1"/>
          <w:sz w:val="26"/>
          <w:szCs w:val="26"/>
          <w:lang w:val="es-ES" w:eastAsia="es-ES"/>
        </w:rPr>
        <w:t>XXX</w:t>
      </w:r>
      <w:r>
        <w:rPr>
          <w:i/>
          <w:iCs/>
          <w:spacing w:val="-1"/>
          <w:sz w:val="26"/>
          <w:szCs w:val="26"/>
          <w:lang w:val="es-ES" w:eastAsia="es-ES"/>
        </w:rPr>
        <w:t xml:space="preserve"> a nombr</w:t>
      </w:r>
      <w:r>
        <w:rPr>
          <w:i/>
          <w:iCs/>
          <w:spacing w:val="-1"/>
          <w:sz w:val="26"/>
          <w:szCs w:val="26"/>
          <w:lang w:val="es-ES" w:eastAsia="es-ES"/>
        </w:rPr>
        <w:t>e del hoy Recurrente. Tal determinación en rigor</w:t>
      </w:r>
    </w:p>
    <w:p w:rsidR="00000000" w:rsidRDefault="00D040A2">
      <w:pPr>
        <w:widowControl/>
        <w:rPr>
          <w:sz w:val="24"/>
          <w:szCs w:val="24"/>
        </w:rPr>
        <w:sectPr w:rsidR="00000000">
          <w:pgSz w:w="12134" w:h="15840"/>
          <w:pgMar w:top="1400" w:right="1538" w:bottom="857" w:left="1596" w:header="720" w:footer="720" w:gutter="0"/>
          <w:cols w:space="720"/>
          <w:noEndnote/>
        </w:sectPr>
      </w:pPr>
    </w:p>
    <w:p w:rsidR="00000000" w:rsidRDefault="00D040A2">
      <w:pPr>
        <w:kinsoku w:val="0"/>
        <w:overflowPunct w:val="0"/>
        <w:autoSpaceDE/>
        <w:autoSpaceDN/>
        <w:adjustRightInd/>
        <w:spacing w:line="340" w:lineRule="exact"/>
        <w:ind w:left="72" w:right="72"/>
        <w:jc w:val="both"/>
        <w:textAlignment w:val="baseline"/>
        <w:rPr>
          <w:i/>
          <w:iCs/>
          <w:sz w:val="26"/>
          <w:szCs w:val="26"/>
          <w:lang w:val="es-ES" w:eastAsia="es-ES"/>
        </w:rPr>
      </w:pPr>
      <w:r>
        <w:rPr>
          <w:i/>
          <w:iCs/>
          <w:sz w:val="26"/>
          <w:szCs w:val="26"/>
          <w:lang w:val="es-ES" w:eastAsia="es-ES"/>
        </w:rPr>
        <w:lastRenderedPageBreak/>
        <w:t>de que dicho Concesionario otorgara un Poder Generalísimo sin límite de suma y sumamente amplio a favor del señor M</w:t>
      </w:r>
      <w:r w:rsidR="008B5E2F">
        <w:rPr>
          <w:i/>
          <w:iCs/>
          <w:sz w:val="26"/>
          <w:szCs w:val="26"/>
          <w:lang w:val="es-ES" w:eastAsia="es-ES"/>
        </w:rPr>
        <w:t>.S.C.</w:t>
      </w:r>
    </w:p>
    <w:p w:rsidR="00000000" w:rsidRDefault="00D040A2">
      <w:pPr>
        <w:numPr>
          <w:ilvl w:val="0"/>
          <w:numId w:val="3"/>
        </w:numPr>
        <w:kinsoku w:val="0"/>
        <w:overflowPunct w:val="0"/>
        <w:autoSpaceDE/>
        <w:autoSpaceDN/>
        <w:adjustRightInd/>
        <w:spacing w:before="203" w:line="348" w:lineRule="exact"/>
        <w:ind w:right="72"/>
        <w:jc w:val="both"/>
        <w:textAlignment w:val="baseline"/>
        <w:rPr>
          <w:i/>
          <w:iCs/>
          <w:sz w:val="26"/>
          <w:szCs w:val="26"/>
          <w:lang w:val="es-ES" w:eastAsia="es-ES"/>
        </w:rPr>
      </w:pPr>
      <w:r>
        <w:rPr>
          <w:i/>
          <w:iCs/>
          <w:sz w:val="26"/>
          <w:szCs w:val="26"/>
          <w:lang w:val="es-ES" w:eastAsia="es-ES"/>
        </w:rPr>
        <w:t>Que virtud de lo determinado en su relación y en su contra por la Junt</w:t>
      </w:r>
      <w:r>
        <w:rPr>
          <w:i/>
          <w:iCs/>
          <w:sz w:val="26"/>
          <w:szCs w:val="26"/>
          <w:lang w:val="es-ES" w:eastAsia="es-ES"/>
        </w:rPr>
        <w:t>a Directiva del Consejo de Transporte Público, según el Acuerdo antes referido, el Concesionario afectado mediante Memorial de fecha 21 de Abril del 2015, interpone única y formalmente un Recurso de Apelación contra el Acuerdo de Cancelación de su Concesió</w:t>
      </w:r>
      <w:r>
        <w:rPr>
          <w:i/>
          <w:iCs/>
          <w:sz w:val="26"/>
          <w:szCs w:val="26"/>
          <w:lang w:val="es-ES" w:eastAsia="es-ES"/>
        </w:rPr>
        <w:t>n dicha; y</w:t>
      </w:r>
    </w:p>
    <w:p w:rsidR="00000000" w:rsidRDefault="00D040A2">
      <w:pPr>
        <w:numPr>
          <w:ilvl w:val="0"/>
          <w:numId w:val="3"/>
        </w:numPr>
        <w:kinsoku w:val="0"/>
        <w:overflowPunct w:val="0"/>
        <w:autoSpaceDE/>
        <w:autoSpaceDN/>
        <w:adjustRightInd/>
        <w:spacing w:before="203" w:line="348" w:lineRule="exact"/>
        <w:ind w:right="72"/>
        <w:jc w:val="both"/>
        <w:textAlignment w:val="baseline"/>
        <w:rPr>
          <w:i/>
          <w:iCs/>
          <w:sz w:val="26"/>
          <w:szCs w:val="26"/>
          <w:lang w:val="es-ES" w:eastAsia="es-ES"/>
        </w:rPr>
      </w:pPr>
      <w:r>
        <w:rPr>
          <w:i/>
          <w:iCs/>
          <w:sz w:val="26"/>
          <w:szCs w:val="26"/>
          <w:lang w:val="es-ES" w:eastAsia="es-ES"/>
        </w:rPr>
        <w:t>Que por haberse presentado solamente un Recurso de Apelación contra el Acuerdo antes dicho, mediante su Oficio DAJ-2015001347 del 23 de Abril del 2015, la Dirección de Asuntos Jurídicos del Consejo de Transporte Público, remite el caso ante este</w:t>
      </w:r>
      <w:r>
        <w:rPr>
          <w:i/>
          <w:iCs/>
          <w:sz w:val="26"/>
          <w:szCs w:val="26"/>
          <w:lang w:val="es-ES" w:eastAsia="es-ES"/>
        </w:rPr>
        <w:t xml:space="preserve"> Tribunal, por ser de nuestra Competencia el conocimiento y resolución del Recurso de Apelación aludido.</w:t>
      </w:r>
    </w:p>
    <w:p w:rsidR="00000000" w:rsidRDefault="00D040A2">
      <w:pPr>
        <w:numPr>
          <w:ilvl w:val="0"/>
          <w:numId w:val="4"/>
        </w:numPr>
        <w:kinsoku w:val="0"/>
        <w:overflowPunct w:val="0"/>
        <w:autoSpaceDE/>
        <w:autoSpaceDN/>
        <w:adjustRightInd/>
        <w:spacing w:before="533" w:line="302" w:lineRule="exact"/>
        <w:ind w:right="72"/>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D040A2">
      <w:pPr>
        <w:kinsoku w:val="0"/>
        <w:overflowPunct w:val="0"/>
        <w:autoSpaceDE/>
        <w:autoSpaceDN/>
        <w:adjustRightInd/>
        <w:spacing w:before="39" w:line="297" w:lineRule="exact"/>
        <w:ind w:left="72" w:right="72"/>
        <w:textAlignment w:val="baseline"/>
        <w:rPr>
          <w:sz w:val="26"/>
          <w:szCs w:val="26"/>
          <w:lang w:val="es-ES" w:eastAsia="es-ES"/>
        </w:rPr>
      </w:pPr>
      <w:r>
        <w:rPr>
          <w:sz w:val="26"/>
          <w:szCs w:val="26"/>
          <w:lang w:val="es-ES" w:eastAsia="es-ES"/>
        </w:rPr>
        <w:t>No se consigna y/o demuestra ninguno de relevancia a los presentes efectos.</w:t>
      </w:r>
    </w:p>
    <w:p w:rsidR="00000000" w:rsidRDefault="00D040A2">
      <w:pPr>
        <w:numPr>
          <w:ilvl w:val="0"/>
          <w:numId w:val="5"/>
        </w:numPr>
        <w:kinsoku w:val="0"/>
        <w:overflowPunct w:val="0"/>
        <w:autoSpaceDE/>
        <w:autoSpaceDN/>
        <w:adjustRightInd/>
        <w:spacing w:before="591" w:line="302" w:lineRule="exact"/>
        <w:ind w:right="72"/>
        <w:textAlignment w:val="baseline"/>
        <w:rPr>
          <w:b/>
          <w:bCs/>
          <w:spacing w:val="-2"/>
          <w:sz w:val="26"/>
          <w:szCs w:val="26"/>
          <w:lang w:val="es-ES" w:eastAsia="es-ES"/>
        </w:rPr>
      </w:pPr>
      <w:r>
        <w:rPr>
          <w:b/>
          <w:bCs/>
          <w:spacing w:val="-2"/>
          <w:sz w:val="26"/>
          <w:szCs w:val="26"/>
          <w:lang w:val="es-ES" w:eastAsia="es-ES"/>
        </w:rPr>
        <w:t>SOBRE EL FONDO:</w:t>
      </w:r>
    </w:p>
    <w:p w:rsidR="00000000" w:rsidRDefault="00D040A2">
      <w:pPr>
        <w:kinsoku w:val="0"/>
        <w:overflowPunct w:val="0"/>
        <w:autoSpaceDE/>
        <w:autoSpaceDN/>
        <w:adjustRightInd/>
        <w:spacing w:before="274" w:line="373" w:lineRule="exact"/>
        <w:ind w:left="72" w:right="72"/>
        <w:jc w:val="both"/>
        <w:textAlignment w:val="baseline"/>
        <w:rPr>
          <w:b/>
          <w:bCs/>
          <w:i/>
          <w:iCs/>
          <w:spacing w:val="8"/>
          <w:sz w:val="26"/>
          <w:szCs w:val="26"/>
          <w:lang w:val="es-ES" w:eastAsia="es-ES"/>
        </w:rPr>
      </w:pPr>
      <w:r>
        <w:rPr>
          <w:b/>
          <w:bCs/>
          <w:spacing w:val="8"/>
          <w:sz w:val="26"/>
          <w:szCs w:val="26"/>
          <w:lang w:val="es-ES" w:eastAsia="es-ES"/>
        </w:rPr>
        <w:t xml:space="preserve">1.- Sobre la Caducidad de las Concesiones de Taxi ante el Traspaso Inautorizado de las mismas Operado mediante el Otorgamiento de Poderes Generalísimos, Generales y Especiales </w:t>
      </w:r>
      <w:r>
        <w:rPr>
          <w:b/>
          <w:bCs/>
          <w:i/>
          <w:iCs/>
          <w:spacing w:val="8"/>
          <w:sz w:val="26"/>
          <w:szCs w:val="26"/>
          <w:lang w:val="es-ES" w:eastAsia="es-ES"/>
        </w:rPr>
        <w:t>(estos últimos con alcances muy amplios):</w:t>
      </w:r>
    </w:p>
    <w:p w:rsidR="00000000" w:rsidRPr="008B5E2F" w:rsidRDefault="00D040A2">
      <w:pPr>
        <w:kinsoku w:val="0"/>
        <w:overflowPunct w:val="0"/>
        <w:autoSpaceDE/>
        <w:autoSpaceDN/>
        <w:adjustRightInd/>
        <w:spacing w:before="361" w:line="347" w:lineRule="exact"/>
        <w:ind w:left="72" w:right="72"/>
        <w:jc w:val="both"/>
        <w:textAlignment w:val="baseline"/>
        <w:rPr>
          <w:sz w:val="26"/>
          <w:szCs w:val="26"/>
          <w:lang w:val="es-ES" w:eastAsia="es-ES"/>
        </w:rPr>
      </w:pPr>
      <w:r w:rsidRPr="008B5E2F">
        <w:rPr>
          <w:sz w:val="26"/>
          <w:szCs w:val="26"/>
          <w:lang w:val="es-ES" w:eastAsia="es-ES"/>
        </w:rPr>
        <w:t>En el pasado reciente este Tribunal so</w:t>
      </w:r>
      <w:r w:rsidRPr="008B5E2F">
        <w:rPr>
          <w:sz w:val="26"/>
          <w:szCs w:val="26"/>
          <w:lang w:val="es-ES" w:eastAsia="es-ES"/>
        </w:rPr>
        <w:t xml:space="preserve">stuvo la tesis y postura contraria a la del Consejo de Transporte Público, siendo de nuestro criterio que en cuanto a la generalidad de los Procedimientos de Caducidad de Concesiones de Taxi que se llevaron en el ámbito del Consejo de Transporte Público y </w:t>
      </w:r>
      <w:r w:rsidRPr="008B5E2F">
        <w:rPr>
          <w:sz w:val="26"/>
          <w:szCs w:val="26"/>
          <w:lang w:val="es-ES" w:eastAsia="es-ES"/>
        </w:rPr>
        <w:t xml:space="preserve">en los cuales se determinó </w:t>
      </w:r>
      <w:r w:rsidRPr="008B5E2F">
        <w:rPr>
          <w:i/>
          <w:iCs/>
          <w:sz w:val="26"/>
          <w:szCs w:val="26"/>
          <w:lang w:val="es-ES" w:eastAsia="es-ES"/>
        </w:rPr>
        <w:t xml:space="preserve">—en lo final- </w:t>
      </w:r>
      <w:r w:rsidRPr="008B5E2F">
        <w:rPr>
          <w:sz w:val="26"/>
          <w:szCs w:val="26"/>
          <w:lang w:val="es-ES" w:eastAsia="es-ES"/>
        </w:rPr>
        <w:t xml:space="preserve">la Caducidad de las mismas, al estimarse que con el Otorgamiento de de Poderes Generalísimos, Generales y Especiales </w:t>
      </w:r>
      <w:r w:rsidRPr="008B5E2F">
        <w:rPr>
          <w:i/>
          <w:iCs/>
          <w:sz w:val="26"/>
          <w:szCs w:val="26"/>
          <w:lang w:val="es-ES" w:eastAsia="es-ES"/>
        </w:rPr>
        <w:t xml:space="preserve">(estos últimos con alcances muy </w:t>
      </w:r>
      <w:r w:rsidRPr="008B5E2F">
        <w:rPr>
          <w:bCs/>
          <w:i/>
          <w:iCs/>
          <w:sz w:val="26"/>
          <w:szCs w:val="26"/>
          <w:lang w:val="es-ES" w:eastAsia="es-ES"/>
        </w:rPr>
        <w:t xml:space="preserve">amplios) </w:t>
      </w:r>
      <w:r w:rsidRPr="008B5E2F">
        <w:rPr>
          <w:sz w:val="26"/>
          <w:szCs w:val="26"/>
          <w:lang w:val="es-ES" w:eastAsia="es-ES"/>
        </w:rPr>
        <w:t xml:space="preserve">se habría dispuesto </w:t>
      </w:r>
      <w:r w:rsidRPr="008B5E2F">
        <w:rPr>
          <w:bCs/>
          <w:i/>
          <w:iCs/>
          <w:sz w:val="26"/>
          <w:szCs w:val="26"/>
          <w:lang w:val="es-ES" w:eastAsia="es-ES"/>
        </w:rPr>
        <w:t xml:space="preserve">—consecuentemente- </w:t>
      </w:r>
      <w:r w:rsidRPr="008B5E2F">
        <w:rPr>
          <w:sz w:val="26"/>
          <w:szCs w:val="26"/>
          <w:lang w:val="es-ES" w:eastAsia="es-ES"/>
        </w:rPr>
        <w:t>un Traspaso Inauto</w:t>
      </w:r>
      <w:r w:rsidRPr="008B5E2F">
        <w:rPr>
          <w:sz w:val="26"/>
          <w:szCs w:val="26"/>
          <w:lang w:val="es-ES" w:eastAsia="es-ES"/>
        </w:rPr>
        <w:t xml:space="preserve">rizado y Sancionado del Derecho de Concesión, en Infracción a los Deberes y Obligaciones Legales y Contractuales de los Concesionarios y del Servicio Público; ello se habría generado </w:t>
      </w:r>
      <w:r w:rsidRPr="008B5E2F">
        <w:rPr>
          <w:bCs/>
          <w:i/>
          <w:iCs/>
          <w:sz w:val="26"/>
          <w:szCs w:val="26"/>
          <w:lang w:val="es-ES" w:eastAsia="es-ES"/>
        </w:rPr>
        <w:t xml:space="preserve">—con </w:t>
      </w:r>
      <w:r w:rsidRPr="008B5E2F">
        <w:rPr>
          <w:i/>
          <w:iCs/>
          <w:sz w:val="26"/>
          <w:szCs w:val="26"/>
          <w:lang w:val="es-ES" w:eastAsia="es-ES"/>
        </w:rPr>
        <w:t xml:space="preserve">la consecuente viciación- </w:t>
      </w:r>
      <w:r w:rsidRPr="008B5E2F">
        <w:rPr>
          <w:sz w:val="26"/>
          <w:szCs w:val="26"/>
          <w:lang w:val="es-ES" w:eastAsia="es-ES"/>
        </w:rPr>
        <w:t xml:space="preserve">sin haberse dado una demostración real </w:t>
      </w:r>
      <w:r w:rsidRPr="008B5E2F">
        <w:rPr>
          <w:bCs/>
          <w:i/>
          <w:iCs/>
          <w:sz w:val="26"/>
          <w:szCs w:val="26"/>
          <w:lang w:val="es-ES" w:eastAsia="es-ES"/>
        </w:rPr>
        <w:t>(Pr</w:t>
      </w:r>
      <w:r w:rsidRPr="008B5E2F">
        <w:rPr>
          <w:bCs/>
          <w:i/>
          <w:iCs/>
          <w:sz w:val="26"/>
          <w:szCs w:val="26"/>
          <w:lang w:val="es-ES" w:eastAsia="es-ES"/>
        </w:rPr>
        <w:t xml:space="preserve">incipio de </w:t>
      </w:r>
      <w:r w:rsidRPr="008B5E2F">
        <w:rPr>
          <w:i/>
          <w:iCs/>
          <w:sz w:val="26"/>
          <w:szCs w:val="26"/>
          <w:lang w:val="es-ES" w:eastAsia="es-ES"/>
        </w:rPr>
        <w:t xml:space="preserve">Verdad Real) </w:t>
      </w:r>
      <w:r w:rsidRPr="008B5E2F">
        <w:rPr>
          <w:sz w:val="26"/>
          <w:szCs w:val="26"/>
          <w:lang w:val="es-ES" w:eastAsia="es-ES"/>
        </w:rPr>
        <w:t xml:space="preserve">sobre el Traspasos en cuestión </w:t>
      </w:r>
      <w:r w:rsidRPr="008B5E2F">
        <w:rPr>
          <w:i/>
          <w:iCs/>
          <w:sz w:val="26"/>
          <w:szCs w:val="26"/>
          <w:lang w:val="es-ES" w:eastAsia="es-ES"/>
        </w:rPr>
        <w:t xml:space="preserve">(sobre sí los mismos se dieron </w:t>
      </w:r>
      <w:r w:rsidRPr="008B5E2F">
        <w:rPr>
          <w:bCs/>
          <w:i/>
          <w:iCs/>
          <w:sz w:val="26"/>
          <w:szCs w:val="26"/>
          <w:lang w:val="es-ES" w:eastAsia="es-ES"/>
        </w:rPr>
        <w:t xml:space="preserve">de forma </w:t>
      </w:r>
      <w:r w:rsidRPr="008B5E2F">
        <w:rPr>
          <w:i/>
          <w:iCs/>
          <w:sz w:val="26"/>
          <w:szCs w:val="26"/>
          <w:lang w:val="es-ES" w:eastAsia="es-ES"/>
        </w:rPr>
        <w:t xml:space="preserve">efectiva). </w:t>
      </w:r>
      <w:r w:rsidRPr="008B5E2F">
        <w:rPr>
          <w:sz w:val="26"/>
          <w:szCs w:val="26"/>
          <w:lang w:val="es-ES" w:eastAsia="es-ES"/>
        </w:rPr>
        <w:t>Y bajo esa tesis factico-jurídica válida,</w:t>
      </w:r>
    </w:p>
    <w:p w:rsidR="00000000" w:rsidRDefault="00D040A2">
      <w:pPr>
        <w:widowControl/>
        <w:rPr>
          <w:sz w:val="24"/>
          <w:szCs w:val="24"/>
        </w:rPr>
        <w:sectPr w:rsidR="00000000">
          <w:pgSz w:w="12134" w:h="15840"/>
          <w:pgMar w:top="1400" w:right="1579" w:bottom="914" w:left="1555" w:header="720" w:footer="720" w:gutter="0"/>
          <w:cols w:space="720"/>
          <w:noEndnote/>
        </w:sectPr>
      </w:pPr>
    </w:p>
    <w:p w:rsidR="00000000" w:rsidRDefault="00D040A2">
      <w:pPr>
        <w:kinsoku w:val="0"/>
        <w:overflowPunct w:val="0"/>
        <w:autoSpaceDE/>
        <w:autoSpaceDN/>
        <w:adjustRightInd/>
        <w:spacing w:line="342" w:lineRule="exact"/>
        <w:ind w:left="72" w:right="72"/>
        <w:jc w:val="both"/>
        <w:textAlignment w:val="baseline"/>
        <w:rPr>
          <w:sz w:val="26"/>
          <w:szCs w:val="26"/>
          <w:lang w:val="es-ES" w:eastAsia="es-ES"/>
        </w:rPr>
      </w:pPr>
      <w:r>
        <w:rPr>
          <w:sz w:val="26"/>
          <w:szCs w:val="26"/>
          <w:lang w:val="es-ES" w:eastAsia="es-ES"/>
        </w:rPr>
        <w:lastRenderedPageBreak/>
        <w:t xml:space="preserve">dispuso la Anulación de diversos Actos del Consejo de Transporte Público, en los cuales se Decretaron Caducidades de Concesiones de Taxi bajo las premisas </w:t>
      </w:r>
      <w:r>
        <w:rPr>
          <w:i/>
          <w:iCs/>
          <w:sz w:val="26"/>
          <w:szCs w:val="26"/>
          <w:lang w:val="es-ES" w:eastAsia="es-ES"/>
        </w:rPr>
        <w:t xml:space="preserve">supra </w:t>
      </w:r>
      <w:r>
        <w:rPr>
          <w:sz w:val="26"/>
          <w:szCs w:val="26"/>
          <w:lang w:val="es-ES" w:eastAsia="es-ES"/>
        </w:rPr>
        <w:t xml:space="preserve">señaladas. Siendo pertinente señalar que para este Tribunal dicha tesis aun hoy, </w:t>
      </w:r>
      <w:r>
        <w:rPr>
          <w:i/>
          <w:iCs/>
          <w:sz w:val="26"/>
          <w:szCs w:val="26"/>
          <w:lang w:val="es-ES" w:eastAsia="es-ES"/>
        </w:rPr>
        <w:t xml:space="preserve">en sentido laxo, </w:t>
      </w:r>
      <w:r>
        <w:rPr>
          <w:sz w:val="26"/>
          <w:szCs w:val="26"/>
          <w:lang w:val="es-ES" w:eastAsia="es-ES"/>
        </w:rPr>
        <w:t>sería procedente.</w:t>
      </w:r>
    </w:p>
    <w:p w:rsidR="00000000" w:rsidRDefault="00D040A2">
      <w:pPr>
        <w:kinsoku w:val="0"/>
        <w:overflowPunct w:val="0"/>
        <w:autoSpaceDE/>
        <w:autoSpaceDN/>
        <w:adjustRightInd/>
        <w:spacing w:before="466" w:line="343" w:lineRule="exact"/>
        <w:ind w:left="72" w:right="72"/>
        <w:jc w:val="both"/>
        <w:textAlignment w:val="baseline"/>
        <w:rPr>
          <w:sz w:val="26"/>
          <w:szCs w:val="26"/>
          <w:lang w:val="es-ES" w:eastAsia="es-ES"/>
        </w:rPr>
      </w:pPr>
      <w:r>
        <w:rPr>
          <w:sz w:val="26"/>
          <w:szCs w:val="26"/>
          <w:lang w:val="es-ES" w:eastAsia="es-ES"/>
        </w:rPr>
        <w:t xml:space="preserve">Ahora bien, no obstante lo anterior </w:t>
      </w:r>
      <w:r>
        <w:rPr>
          <w:sz w:val="26"/>
          <w:szCs w:val="26"/>
          <w:u w:val="single"/>
          <w:lang w:val="es-ES" w:eastAsia="es-ES"/>
        </w:rPr>
        <w:t>y en su perjuicio,</w:t>
      </w:r>
      <w:r>
        <w:rPr>
          <w:sz w:val="26"/>
          <w:szCs w:val="26"/>
          <w:lang w:val="es-ES" w:eastAsia="es-ES"/>
        </w:rPr>
        <w:t xml:space="preserve"> para varios Casos Precedentes a los últimos definidos por este Tribunal y en casos que estimaron pertinente llevar el asunto de forma directa ante los Estrados Judici</w:t>
      </w:r>
      <w:r>
        <w:rPr>
          <w:sz w:val="26"/>
          <w:szCs w:val="26"/>
          <w:lang w:val="es-ES" w:eastAsia="es-ES"/>
        </w:rPr>
        <w:t xml:space="preserve">ales; particularmente ante la Jurisdicción Contencioso Administrativa, dicha Jurisdicción </w:t>
      </w:r>
      <w:r>
        <w:rPr>
          <w:i/>
          <w:iCs/>
          <w:sz w:val="26"/>
          <w:szCs w:val="26"/>
          <w:lang w:val="es-ES" w:eastAsia="es-ES"/>
        </w:rPr>
        <w:t xml:space="preserve">y, </w:t>
      </w:r>
      <w:r>
        <w:rPr>
          <w:sz w:val="26"/>
          <w:szCs w:val="26"/>
          <w:lang w:val="es-ES" w:eastAsia="es-ES"/>
        </w:rPr>
        <w:t>particularmente, la Sala Primera de la Corte Suprema de Justicia, como encargada y competente de revisión de las materias definida en dicha Jurisdicció</w:t>
      </w:r>
      <w:r>
        <w:rPr>
          <w:sz w:val="26"/>
          <w:szCs w:val="26"/>
          <w:lang w:val="es-ES" w:eastAsia="es-ES"/>
        </w:rPr>
        <w:t xml:space="preserve">n, vino a establecer </w:t>
      </w:r>
      <w:r>
        <w:rPr>
          <w:i/>
          <w:iCs/>
          <w:sz w:val="26"/>
          <w:szCs w:val="26"/>
          <w:lang w:val="es-ES" w:eastAsia="es-ES"/>
        </w:rPr>
        <w:t xml:space="preserve">-como regla general jurisprudencial- </w:t>
      </w:r>
      <w:r>
        <w:rPr>
          <w:sz w:val="26"/>
          <w:szCs w:val="26"/>
          <w:lang w:val="es-ES" w:eastAsia="es-ES"/>
        </w:rPr>
        <w:t xml:space="preserve">que dado que los Poderes Generalísimos, Generales y Especiales </w:t>
      </w:r>
      <w:r>
        <w:rPr>
          <w:i/>
          <w:iCs/>
          <w:sz w:val="26"/>
          <w:szCs w:val="26"/>
          <w:lang w:val="es-ES" w:eastAsia="es-ES"/>
        </w:rPr>
        <w:t xml:space="preserve">(estos últimos con alcances muy amplios), </w:t>
      </w:r>
      <w:r>
        <w:rPr>
          <w:sz w:val="26"/>
          <w:szCs w:val="26"/>
          <w:lang w:val="es-ES" w:eastAsia="es-ES"/>
        </w:rPr>
        <w:t>por sus contenidos propios y, particularmente, por las amplias atribuciones y alcances que le</w:t>
      </w:r>
      <w:r>
        <w:rPr>
          <w:sz w:val="26"/>
          <w:szCs w:val="26"/>
          <w:lang w:val="es-ES" w:eastAsia="es-ES"/>
        </w:rPr>
        <w:t>s dan los numerales 1254 a 1256 del Código Civil y concordantes de ese mismo Cuerpo Normativo y del Código de Comercio, en cuenta importancia Transferencias de la Tenencia Efectiva y Real, de la Titularidad y de la Administración y/o Explotación del Servic</w:t>
      </w:r>
      <w:r>
        <w:rPr>
          <w:sz w:val="26"/>
          <w:szCs w:val="26"/>
          <w:lang w:val="es-ES" w:eastAsia="es-ES"/>
        </w:rPr>
        <w:t xml:space="preserve">io o de la Concesión </w:t>
      </w:r>
      <w:r>
        <w:rPr>
          <w:i/>
          <w:iCs/>
          <w:sz w:val="26"/>
          <w:szCs w:val="26"/>
          <w:lang w:val="es-ES" w:eastAsia="es-ES"/>
        </w:rPr>
        <w:t xml:space="preserve">y/o </w:t>
      </w:r>
      <w:r>
        <w:rPr>
          <w:sz w:val="26"/>
          <w:szCs w:val="26"/>
          <w:lang w:val="es-ES" w:eastAsia="es-ES"/>
        </w:rPr>
        <w:t xml:space="preserve">de Atributos correlativos, es </w:t>
      </w:r>
      <w:r w:rsidRPr="008B5E2F">
        <w:rPr>
          <w:b/>
          <w:sz w:val="26"/>
          <w:szCs w:val="26"/>
          <w:lang w:val="es-ES" w:eastAsia="es-ES"/>
        </w:rPr>
        <w:t>INCOMPATIBLE CON EL CARÁCTER PERSONALÍSIMO QUE ES INHERENTE A LAS CONCESIONES DE TAXI, CONSTITUYÉNDOSE ASÍ UNA SITUACIÓN DE FALTA GRAVE CONTRA EL SERVICIO Y CONTRA LOS DEBERES Y OBLIGACIONES DEL CONCES</w:t>
      </w:r>
      <w:r w:rsidRPr="008B5E2F">
        <w:rPr>
          <w:b/>
          <w:sz w:val="26"/>
          <w:szCs w:val="26"/>
          <w:lang w:val="es-ES" w:eastAsia="es-ES"/>
        </w:rPr>
        <w:t>IONARIO, LA CUAL DETERMINA LA CADUCIDAD DEL DERECHO DE CONCESIÓN DEL QUE SE TRATE</w:t>
      </w:r>
      <w:r>
        <w:rPr>
          <w:sz w:val="26"/>
          <w:szCs w:val="26"/>
          <w:lang w:val="es-ES" w:eastAsia="es-ES"/>
        </w:rPr>
        <w:t xml:space="preserve">, según lo Dispuesto por el Numeral 40, Inciso c), de la Ley No. 7969, en concordancia con los respectivos Contratos de Concesión suscritos por las Partes. Expresando la Sala </w:t>
      </w:r>
      <w:r>
        <w:rPr>
          <w:sz w:val="26"/>
          <w:szCs w:val="26"/>
          <w:lang w:val="es-ES" w:eastAsia="es-ES"/>
        </w:rPr>
        <w:t>Primera de la Corte Suprema de Justicia en lo de interés:</w:t>
      </w:r>
    </w:p>
    <w:p w:rsidR="00000000" w:rsidRDefault="00D040A2">
      <w:pPr>
        <w:kinsoku w:val="0"/>
        <w:overflowPunct w:val="0"/>
        <w:autoSpaceDE/>
        <w:autoSpaceDN/>
        <w:adjustRightInd/>
        <w:spacing w:before="543" w:line="343" w:lineRule="exact"/>
        <w:ind w:left="576" w:right="720"/>
        <w:jc w:val="both"/>
        <w:textAlignment w:val="baseline"/>
        <w:rPr>
          <w:i/>
          <w:iCs/>
          <w:sz w:val="26"/>
          <w:szCs w:val="26"/>
          <w:lang w:val="es-ES" w:eastAsia="es-ES"/>
        </w:rPr>
      </w:pPr>
      <w:r>
        <w:rPr>
          <w:sz w:val="26"/>
          <w:szCs w:val="26"/>
          <w:lang w:val="es-ES" w:eastAsia="es-ES"/>
        </w:rPr>
        <w:t xml:space="preserve">" </w:t>
      </w:r>
      <w:r w:rsidRPr="008B5E2F">
        <w:rPr>
          <w:b/>
          <w:sz w:val="26"/>
          <w:szCs w:val="26"/>
          <w:lang w:val="es-ES" w:eastAsia="es-ES"/>
        </w:rPr>
        <w:t>V</w:t>
      </w:r>
      <w:r>
        <w:rPr>
          <w:sz w:val="26"/>
          <w:szCs w:val="26"/>
          <w:lang w:val="es-ES" w:eastAsia="es-ES"/>
        </w:rPr>
        <w:t>.- Como tercer reparo hace alusión al quebranto de las normas 129, 158, 166, 220 y 223 de la LGAP; 1251, 1253 del Código Civil, al acusar a su representada de haber transmitido la concesión, solo</w:t>
      </w:r>
      <w:r>
        <w:rPr>
          <w:sz w:val="26"/>
          <w:szCs w:val="26"/>
          <w:lang w:val="es-ES" w:eastAsia="es-ES"/>
        </w:rPr>
        <w:t xml:space="preserve"> por haber otorgado un poder generalísimo, lo cual, afirma, permite la legislación civil y administrativa. Resalta que la concesión solo podía transmitirse mediante un poder especialísimo. Esta Sala considera importante aclarar que el contrato de mandato e</w:t>
      </w:r>
      <w:r>
        <w:rPr>
          <w:sz w:val="26"/>
          <w:szCs w:val="26"/>
          <w:lang w:val="es-ES" w:eastAsia="es-ES"/>
        </w:rPr>
        <w:t xml:space="preserve">s un instituto permitido por la legislación nacional; lo cual admitió expresamente el Tribunal cuando señaló: </w:t>
      </w:r>
      <w:r>
        <w:rPr>
          <w:i/>
          <w:iCs/>
          <w:sz w:val="26"/>
          <w:szCs w:val="26"/>
          <w:lang w:val="es-ES" w:eastAsia="es-ES"/>
        </w:rPr>
        <w:t>"Este cuerpo colegiado coincide con el apoderado especial judicial de la accionante en el sentido que nuestro ordenamiento jurídico no</w:t>
      </w:r>
    </w:p>
    <w:p w:rsidR="00000000" w:rsidRDefault="00D040A2">
      <w:pPr>
        <w:widowControl/>
        <w:rPr>
          <w:sz w:val="24"/>
          <w:szCs w:val="24"/>
        </w:rPr>
        <w:sectPr w:rsidR="00000000">
          <w:pgSz w:w="12134" w:h="15840"/>
          <w:pgMar w:top="1400" w:right="1607" w:bottom="1015" w:left="1527" w:header="720" w:footer="720" w:gutter="0"/>
          <w:cols w:space="720"/>
          <w:noEndnote/>
        </w:sectPr>
      </w:pPr>
    </w:p>
    <w:p w:rsidR="00000000" w:rsidRDefault="00D040A2">
      <w:pPr>
        <w:kinsoku w:val="0"/>
        <w:overflowPunct w:val="0"/>
        <w:autoSpaceDE/>
        <w:autoSpaceDN/>
        <w:adjustRightInd/>
        <w:spacing w:line="346" w:lineRule="exact"/>
        <w:ind w:left="72" w:right="1224"/>
        <w:jc w:val="both"/>
        <w:textAlignment w:val="baseline"/>
        <w:rPr>
          <w:b/>
          <w:bCs/>
          <w:spacing w:val="2"/>
          <w:sz w:val="26"/>
          <w:szCs w:val="26"/>
          <w:lang w:val="es-ES" w:eastAsia="es-ES"/>
        </w:rPr>
      </w:pPr>
      <w:r>
        <w:rPr>
          <w:i/>
          <w:iCs/>
          <w:spacing w:val="2"/>
          <w:sz w:val="26"/>
          <w:szCs w:val="26"/>
          <w:lang w:val="es-ES" w:eastAsia="es-ES"/>
        </w:rPr>
        <w:lastRenderedPageBreak/>
        <w:t>proh</w:t>
      </w:r>
      <w:r w:rsidR="008B5E2F">
        <w:rPr>
          <w:i/>
          <w:iCs/>
          <w:spacing w:val="2"/>
          <w:sz w:val="26"/>
          <w:szCs w:val="26"/>
          <w:lang w:val="es-ES" w:eastAsia="es-ES"/>
        </w:rPr>
        <w:t>í</w:t>
      </w:r>
      <w:r>
        <w:rPr>
          <w:i/>
          <w:iCs/>
          <w:spacing w:val="2"/>
          <w:sz w:val="26"/>
          <w:szCs w:val="26"/>
          <w:lang w:val="es-ES" w:eastAsia="es-ES"/>
        </w:rPr>
        <w:t xml:space="preserve">be, en general, el otorgamiento de poderes generalísimos." </w:t>
      </w:r>
      <w:r>
        <w:rPr>
          <w:spacing w:val="2"/>
          <w:sz w:val="26"/>
          <w:szCs w:val="26"/>
          <w:lang w:val="es-ES" w:eastAsia="es-ES"/>
        </w:rPr>
        <w:t xml:space="preserve">(folio 153). </w:t>
      </w:r>
      <w:r>
        <w:rPr>
          <w:b/>
          <w:bCs/>
          <w:spacing w:val="2"/>
          <w:sz w:val="26"/>
          <w:szCs w:val="26"/>
          <w:lang w:val="es-ES" w:eastAsia="es-ES"/>
        </w:rPr>
        <w:t>Ahora bien, el inconveniente que se da con el poder generalísimo sin límite de suma otorgado por la señora J a G, surge porque a través de él confiere amplias f</w:t>
      </w:r>
      <w:r>
        <w:rPr>
          <w:b/>
          <w:bCs/>
          <w:spacing w:val="2"/>
          <w:sz w:val="26"/>
          <w:szCs w:val="26"/>
          <w:lang w:val="es-ES" w:eastAsia="es-ES"/>
        </w:rPr>
        <w:t>acultades a la mandataria (artículos 1253-1254 del Código Civil) para todo lo relacionado con la concesión de la placa 1...1, sin tomar en cuenta el carácter personalísimo de aquella, es decir, dejó de lado que sus condiciones personales fueron determinant</w:t>
      </w:r>
      <w:r>
        <w:rPr>
          <w:b/>
          <w:bCs/>
          <w:spacing w:val="2"/>
          <w:sz w:val="26"/>
          <w:szCs w:val="26"/>
          <w:lang w:val="es-ES" w:eastAsia="es-ES"/>
        </w:rPr>
        <w:t xml:space="preserve">es para su elección como concesionaria, por lo que estaba imposibilitada de traspasar a otro la posibilidad de disponer ampliamente de la concesión como lo hizo. </w:t>
      </w:r>
      <w:r>
        <w:rPr>
          <w:spacing w:val="2"/>
          <w:sz w:val="26"/>
          <w:szCs w:val="26"/>
          <w:lang w:val="es-ES" w:eastAsia="es-ES"/>
        </w:rPr>
        <w:t>Si la actora deseaba realizar alguna modificación debió solicitar aut</w:t>
      </w:r>
      <w:r w:rsidR="008B5E2F">
        <w:rPr>
          <w:spacing w:val="2"/>
          <w:sz w:val="26"/>
          <w:szCs w:val="26"/>
          <w:lang w:val="es-ES" w:eastAsia="es-ES"/>
        </w:rPr>
        <w:t>o</w:t>
      </w:r>
      <w:r>
        <w:rPr>
          <w:spacing w:val="2"/>
          <w:sz w:val="26"/>
          <w:szCs w:val="26"/>
          <w:lang w:val="es-ES" w:eastAsia="es-ES"/>
        </w:rPr>
        <w:t xml:space="preserve">rización previa al CTP, </w:t>
      </w:r>
      <w:r>
        <w:rPr>
          <w:spacing w:val="2"/>
          <w:sz w:val="26"/>
          <w:szCs w:val="26"/>
          <w:lang w:val="es-ES" w:eastAsia="es-ES"/>
        </w:rPr>
        <w:t>lo cual no hizo y actuó sin acatar las reglas aplicables en esos casos. Además, el Tribunal apreció otras circunstancias para reafirmar la transmisión sin autorización de la concesión, las cuales no desvirtúa el recurrente, como lo son que la actora incump</w:t>
      </w:r>
      <w:r>
        <w:rPr>
          <w:spacing w:val="2"/>
          <w:sz w:val="26"/>
          <w:szCs w:val="26"/>
          <w:lang w:val="es-ES" w:eastAsia="es-ES"/>
        </w:rPr>
        <w:t>lió con el requisito de la conducción personal del vehículo, sin tener una exención para ello; que quien lo conducía era el esposo de la persona a quien le otorgó el poder de comentario y que cuando solicitó el traspaso lo hizo a favor del chofer. Ante tal</w:t>
      </w:r>
      <w:r>
        <w:rPr>
          <w:spacing w:val="2"/>
          <w:sz w:val="26"/>
          <w:szCs w:val="26"/>
          <w:lang w:val="es-ES" w:eastAsia="es-ES"/>
        </w:rPr>
        <w:t xml:space="preserve">es circunstancias y al disponer la Ley No. 7969 que: </w:t>
      </w:r>
      <w:r>
        <w:rPr>
          <w:i/>
          <w:iCs/>
          <w:spacing w:val="2"/>
          <w:sz w:val="26"/>
          <w:szCs w:val="26"/>
          <w:lang w:val="es-ES" w:eastAsia="es-ES"/>
        </w:rPr>
        <w:t xml:space="preserve">"El Consejo podrá cancelar la concesión administrativamente, de conformidad con las siguientes causales: [...] </w:t>
      </w:r>
      <w:r>
        <w:rPr>
          <w:spacing w:val="2"/>
          <w:sz w:val="26"/>
          <w:szCs w:val="26"/>
          <w:lang w:val="es-ES" w:eastAsia="es-ES"/>
        </w:rPr>
        <w:t xml:space="preserve">c) </w:t>
      </w:r>
      <w:r>
        <w:rPr>
          <w:i/>
          <w:iCs/>
          <w:spacing w:val="2"/>
          <w:sz w:val="26"/>
          <w:szCs w:val="26"/>
          <w:lang w:val="es-ES" w:eastAsia="es-ES"/>
        </w:rPr>
        <w:t xml:space="preserve">Ceder la concesión a favor de un tercero, sin autorización del Consejo..." </w:t>
      </w:r>
      <w:r>
        <w:rPr>
          <w:spacing w:val="2"/>
          <w:sz w:val="26"/>
          <w:szCs w:val="26"/>
          <w:lang w:val="es-ES" w:eastAsia="es-ES"/>
        </w:rPr>
        <w:t>Es evidente qu</w:t>
      </w:r>
      <w:r>
        <w:rPr>
          <w:spacing w:val="2"/>
          <w:sz w:val="26"/>
          <w:szCs w:val="26"/>
          <w:lang w:val="es-ES" w:eastAsia="es-ES"/>
        </w:rPr>
        <w:t>e la Administración no incurrió en vicio alguno al imponer la consecuencia apuntada en la normativa de comentario. Acerca del argumento que no se dio la cesión acusada, porque debió hacerse mediante un poder especialísimo, ello no es de recibo, ambos tipos</w:t>
      </w:r>
      <w:r>
        <w:rPr>
          <w:spacing w:val="2"/>
          <w:sz w:val="26"/>
          <w:szCs w:val="26"/>
          <w:lang w:val="es-ES" w:eastAsia="es-ES"/>
        </w:rPr>
        <w:t xml:space="preserve"> de mandato resultan incompatibles con la concesión administrativa objeto de análisis, ya que su cesión debe ser autorizada previamente por el CTP, condición que aquí no se cumplió. Al no apreciarse </w:t>
      </w:r>
      <w:r>
        <w:rPr>
          <w:b/>
          <w:bCs/>
          <w:spacing w:val="2"/>
          <w:sz w:val="26"/>
          <w:szCs w:val="26"/>
          <w:lang w:val="es-ES" w:eastAsia="es-ES"/>
        </w:rPr>
        <w:t xml:space="preserve">el </w:t>
      </w:r>
      <w:r>
        <w:rPr>
          <w:spacing w:val="2"/>
          <w:sz w:val="26"/>
          <w:szCs w:val="26"/>
          <w:lang w:val="es-ES" w:eastAsia="es-ES"/>
        </w:rPr>
        <w:t xml:space="preserve">vicio reclamado, el cargo deberá rechazarse...... </w:t>
      </w:r>
      <w:r>
        <w:rPr>
          <w:b/>
          <w:bCs/>
          <w:spacing w:val="2"/>
          <w:sz w:val="26"/>
          <w:szCs w:val="26"/>
          <w:lang w:val="es-ES" w:eastAsia="es-ES"/>
        </w:rPr>
        <w:t>(Sen</w:t>
      </w:r>
      <w:r>
        <w:rPr>
          <w:b/>
          <w:bCs/>
          <w:spacing w:val="2"/>
          <w:sz w:val="26"/>
          <w:szCs w:val="26"/>
          <w:lang w:val="es-ES" w:eastAsia="es-ES"/>
        </w:rPr>
        <w:t>tencia No. 2012-01525 de la Sala Primera de la Corte Suprema de Justicia, del 20 de Noviembre del 2012)</w:t>
      </w:r>
    </w:p>
    <w:p w:rsidR="00000000" w:rsidRDefault="00D040A2">
      <w:pPr>
        <w:kinsoku w:val="0"/>
        <w:overflowPunct w:val="0"/>
        <w:autoSpaceDE/>
        <w:autoSpaceDN/>
        <w:adjustRightInd/>
        <w:spacing w:before="1193" w:after="66" w:line="348" w:lineRule="exact"/>
        <w:ind w:left="72" w:right="1224"/>
        <w:jc w:val="both"/>
        <w:textAlignment w:val="baseline"/>
        <w:rPr>
          <w:sz w:val="26"/>
          <w:szCs w:val="26"/>
          <w:lang w:val="es-ES" w:eastAsia="es-ES"/>
        </w:rPr>
      </w:pPr>
      <w:r>
        <w:rPr>
          <w:b/>
          <w:bCs/>
          <w:sz w:val="26"/>
          <w:szCs w:val="26"/>
          <w:lang w:val="es-ES" w:eastAsia="es-ES"/>
        </w:rPr>
        <w:t xml:space="preserve">"V. </w:t>
      </w:r>
      <w:r>
        <w:rPr>
          <w:sz w:val="26"/>
          <w:szCs w:val="26"/>
          <w:lang w:val="es-ES" w:eastAsia="es-ES"/>
        </w:rPr>
        <w:t>Por estar íntimamente ligados, el primer alegato y el tercero serán analizados en conjunto. Señala el casacionista, que el Tribunal se</w:t>
      </w:r>
    </w:p>
    <w:p w:rsidR="00000000" w:rsidRDefault="00D040A2" w:rsidP="008B5E2F">
      <w:pPr>
        <w:tabs>
          <w:tab w:val="right" w:pos="8928"/>
        </w:tabs>
        <w:kinsoku w:val="0"/>
        <w:overflowPunct w:val="0"/>
        <w:autoSpaceDE/>
        <w:autoSpaceDN/>
        <w:adjustRightInd/>
        <w:spacing w:line="913" w:lineRule="exact"/>
        <w:textAlignment w:val="baseline"/>
        <w:rPr>
          <w:w w:val="150"/>
          <w:sz w:val="62"/>
          <w:szCs w:val="62"/>
          <w:lang w:val="es-ES" w:eastAsia="es-ES"/>
        </w:rPr>
      </w:pPr>
      <w:r>
        <w:rPr>
          <w:i/>
          <w:iCs/>
          <w:sz w:val="19"/>
          <w:szCs w:val="19"/>
          <w:lang w:val="es-ES" w:eastAsia="es-ES"/>
        </w:rPr>
        <w:tab/>
      </w:r>
    </w:p>
    <w:p w:rsidR="00000000" w:rsidRDefault="00D040A2">
      <w:pPr>
        <w:widowControl/>
        <w:rPr>
          <w:sz w:val="24"/>
          <w:szCs w:val="24"/>
        </w:rPr>
        <w:sectPr w:rsidR="00000000">
          <w:pgSz w:w="12134" w:h="15840"/>
          <w:pgMar w:top="1420" w:right="1000" w:bottom="110" w:left="2134" w:header="720" w:footer="720" w:gutter="0"/>
          <w:cols w:space="720"/>
          <w:noEndnote/>
        </w:sectPr>
      </w:pPr>
    </w:p>
    <w:p w:rsidR="00000000" w:rsidRDefault="00D040A2">
      <w:pPr>
        <w:kinsoku w:val="0"/>
        <w:overflowPunct w:val="0"/>
        <w:autoSpaceDE/>
        <w:autoSpaceDN/>
        <w:adjustRightInd/>
        <w:spacing w:line="347" w:lineRule="exact"/>
        <w:jc w:val="both"/>
        <w:textAlignment w:val="baseline"/>
        <w:rPr>
          <w:i/>
          <w:iCs/>
          <w:spacing w:val="1"/>
          <w:sz w:val="26"/>
          <w:szCs w:val="26"/>
          <w:lang w:val="es-ES" w:eastAsia="es-ES"/>
        </w:rPr>
      </w:pPr>
      <w:r>
        <w:rPr>
          <w:spacing w:val="1"/>
          <w:sz w:val="26"/>
          <w:szCs w:val="26"/>
          <w:lang w:val="es-ES" w:eastAsia="es-ES"/>
        </w:rPr>
        <w:lastRenderedPageBreak/>
        <w:t>equivoca al admitir la tesis de la Administración sobre las implicaciones que representa el poder generalís</w:t>
      </w:r>
      <w:r>
        <w:rPr>
          <w:spacing w:val="1"/>
          <w:sz w:val="26"/>
          <w:szCs w:val="26"/>
          <w:lang w:val="es-ES" w:eastAsia="es-ES"/>
        </w:rPr>
        <w:t>imo sin límite de suma otorgado a doña J.; pues lo percibió como una cesión al derecho de concesión y que esto además conlleva un vicio en el acto por falta de motivo y por ende del contenido. En primer lugar, ha de señalarse que dentro del acuerdo firmado</w:t>
      </w:r>
      <w:r>
        <w:rPr>
          <w:spacing w:val="1"/>
          <w:sz w:val="26"/>
          <w:szCs w:val="26"/>
          <w:lang w:val="es-ES" w:eastAsia="es-ES"/>
        </w:rPr>
        <w:t xml:space="preserve"> por la Administración y don L., entre otras obligaciones se estableció: </w:t>
      </w:r>
      <w:r>
        <w:rPr>
          <w:b/>
          <w:bCs/>
          <w:i/>
          <w:iCs/>
          <w:spacing w:val="1"/>
          <w:sz w:val="26"/>
          <w:szCs w:val="26"/>
          <w:lang w:val="es-ES" w:eastAsia="es-ES"/>
        </w:rPr>
        <w:t xml:space="preserve">"ARTÍCULO V: DE LAS OBLIGACIONES DEL CONCESIONARIO (A)/ </w:t>
      </w:r>
      <w:r>
        <w:rPr>
          <w:i/>
          <w:iCs/>
          <w:spacing w:val="1"/>
          <w:sz w:val="26"/>
          <w:szCs w:val="26"/>
          <w:lang w:val="es-ES" w:eastAsia="es-ES"/>
        </w:rPr>
        <w:t xml:space="preserve">Sin perjuicio de las obligaciones contenidas en la normativa aplicable </w:t>
      </w:r>
      <w:r>
        <w:rPr>
          <w:b/>
          <w:bCs/>
          <w:i/>
          <w:iCs/>
          <w:spacing w:val="1"/>
          <w:sz w:val="26"/>
          <w:szCs w:val="26"/>
          <w:lang w:val="es-ES" w:eastAsia="es-ES"/>
        </w:rPr>
        <w:t xml:space="preserve">EL CONCESIONARIO (A)deberá </w:t>
      </w:r>
      <w:r>
        <w:rPr>
          <w:i/>
          <w:iCs/>
          <w:spacing w:val="1"/>
          <w:sz w:val="26"/>
          <w:szCs w:val="26"/>
          <w:lang w:val="es-ES" w:eastAsia="es-ES"/>
        </w:rPr>
        <w:t>cumplir durante la vigencia de la concesión con las siguientes obligaciones: a) Prestar el servicio bajo los principios del servicio público, para asegurar su continuidad, eficiencia y adaptación a todo cambio en el régimen legal o en la necesidad social q</w:t>
      </w:r>
      <w:r>
        <w:rPr>
          <w:i/>
          <w:iCs/>
          <w:spacing w:val="1"/>
          <w:sz w:val="26"/>
          <w:szCs w:val="26"/>
          <w:lang w:val="es-ES" w:eastAsia="es-ES"/>
        </w:rPr>
        <w:t xml:space="preserve">ue satisfacen, seguridad y uniformidad en igualdad de condiciones. [...] g) A conducir personalmente, al menos una jornada de ocho horas diarias, el vehículo amparado a esta </w:t>
      </w:r>
      <w:r>
        <w:rPr>
          <w:spacing w:val="1"/>
          <w:sz w:val="26"/>
          <w:szCs w:val="26"/>
          <w:lang w:val="es-ES" w:eastAsia="es-ES"/>
        </w:rPr>
        <w:t xml:space="preserve">concesión". Asimismo, en el artículo XI se dispuso: </w:t>
      </w:r>
      <w:r>
        <w:rPr>
          <w:i/>
          <w:iCs/>
          <w:spacing w:val="1"/>
          <w:sz w:val="26"/>
          <w:szCs w:val="26"/>
          <w:lang w:val="es-ES" w:eastAsia="es-ES"/>
        </w:rPr>
        <w:t>"La concesión podrá ser caduca</w:t>
      </w:r>
      <w:r>
        <w:rPr>
          <w:i/>
          <w:iCs/>
          <w:spacing w:val="1"/>
          <w:sz w:val="26"/>
          <w:szCs w:val="26"/>
          <w:lang w:val="es-ES" w:eastAsia="es-ES"/>
        </w:rPr>
        <w:t>da por parte del concedente, previo procedimiento administrativo: a) Por incumplimientos comprobados de las obligaciones y condiciones establecidas en la normativa vigente, los términos y compromisos asumidos contractualmente y el acuerdo de adjudicación d</w:t>
      </w:r>
      <w:r>
        <w:rPr>
          <w:i/>
          <w:iCs/>
          <w:spacing w:val="1"/>
          <w:sz w:val="26"/>
          <w:szCs w:val="26"/>
          <w:lang w:val="es-ES" w:eastAsia="es-ES"/>
        </w:rPr>
        <w:t>e la concesión [...] d) Ceder, transferir de algún modo o alquilar la concesión sin contar con la autorización del consejo (sic) de Transporte Pública[...]j) La no prestación personal del servicio (mínimo 8 horas) sin tener para ello la autorización del Co</w:t>
      </w:r>
      <w:r>
        <w:rPr>
          <w:i/>
          <w:iCs/>
          <w:spacing w:val="1"/>
          <w:sz w:val="26"/>
          <w:szCs w:val="26"/>
          <w:lang w:val="es-ES" w:eastAsia="es-ES"/>
        </w:rPr>
        <w:t xml:space="preserve">nsejo de Transporte Público.". </w:t>
      </w:r>
      <w:r>
        <w:rPr>
          <w:spacing w:val="1"/>
          <w:sz w:val="26"/>
          <w:szCs w:val="26"/>
          <w:lang w:val="es-ES" w:eastAsia="es-ES"/>
        </w:rPr>
        <w:t>Ahora bien, relativo al tema del mandato, resulta importante aclarar que este contrato se encuentra regulado por el ordenamiento jurídico en el Código Civil, a partir del artículo 1251 y hasta el 1294. En el caso bajo estudio</w:t>
      </w:r>
      <w:r>
        <w:rPr>
          <w:spacing w:val="1"/>
          <w:sz w:val="26"/>
          <w:szCs w:val="26"/>
          <w:lang w:val="es-ES" w:eastAsia="es-ES"/>
        </w:rPr>
        <w:t>, lo que se conyino, es que la mandataria pudiera vender, hipotecar y de cualquier otro modo enajenar o gravar toda clase de bienes, gestionar judicialmente, celebrar toda clase de contratos y ejecutar todos los demás actos jurídicos que podría hacer el po</w:t>
      </w:r>
      <w:r>
        <w:rPr>
          <w:spacing w:val="1"/>
          <w:sz w:val="26"/>
          <w:szCs w:val="26"/>
          <w:lang w:val="es-ES" w:eastAsia="es-ES"/>
        </w:rPr>
        <w:t xml:space="preserve">derdante, excepto los que conforme a la ley deben se ejecutados por el mismo dueño en persona y los actos para los cuales la ley exige expresamente poder especialísimo; lo anterior al amparo del artículo 1253 ídem. Además, el canon 1254 ibídem, impone: </w:t>
      </w:r>
      <w:r>
        <w:rPr>
          <w:i/>
          <w:iCs/>
          <w:spacing w:val="1"/>
          <w:sz w:val="26"/>
          <w:szCs w:val="26"/>
          <w:lang w:val="es-ES" w:eastAsia="es-ES"/>
        </w:rPr>
        <w:t>"Si</w:t>
      </w:r>
      <w:r>
        <w:rPr>
          <w:i/>
          <w:iCs/>
          <w:spacing w:val="1"/>
          <w:sz w:val="26"/>
          <w:szCs w:val="26"/>
          <w:lang w:val="es-ES" w:eastAsia="es-ES"/>
        </w:rPr>
        <w:t xml:space="preserve"> el poder generalísimo fuere solo para alguno o algunos negocios, el mandatario tendrá respecto del negocio o negocios a que su</w:t>
      </w:r>
    </w:p>
    <w:p w:rsidR="00000000" w:rsidRDefault="00D040A2">
      <w:pPr>
        <w:widowControl/>
        <w:rPr>
          <w:sz w:val="24"/>
          <w:szCs w:val="24"/>
        </w:rPr>
        <w:sectPr w:rsidR="00000000">
          <w:pgSz w:w="12134" w:h="15840"/>
          <w:pgMar w:top="1400" w:right="2224" w:bottom="1049" w:left="2170" w:header="720" w:footer="720" w:gutter="0"/>
          <w:cols w:space="720"/>
          <w:noEndnote/>
        </w:sectPr>
      </w:pPr>
    </w:p>
    <w:p w:rsidR="00000000" w:rsidRDefault="00D040A2">
      <w:pPr>
        <w:kinsoku w:val="0"/>
        <w:overflowPunct w:val="0"/>
        <w:autoSpaceDE/>
        <w:autoSpaceDN/>
        <w:adjustRightInd/>
        <w:spacing w:line="347" w:lineRule="exact"/>
        <w:jc w:val="both"/>
        <w:textAlignment w:val="baseline"/>
        <w:rPr>
          <w:sz w:val="26"/>
          <w:szCs w:val="26"/>
          <w:lang w:val="es-ES" w:eastAsia="es-ES"/>
        </w:rPr>
      </w:pPr>
      <w:r>
        <w:rPr>
          <w:i/>
          <w:iCs/>
          <w:sz w:val="26"/>
          <w:szCs w:val="26"/>
          <w:lang w:val="es-ES" w:eastAsia="es-ES"/>
        </w:rPr>
        <w:lastRenderedPageBreak/>
        <w:t xml:space="preserve">poder se refiere y de los bienes que ellos comprendan, las mismas facultades que según el artículo anterior, tiene el apoderado generalísimo para todos los negocios de una persona." . </w:t>
      </w:r>
      <w:r>
        <w:rPr>
          <w:sz w:val="26"/>
          <w:szCs w:val="26"/>
          <w:lang w:val="es-ES" w:eastAsia="es-ES"/>
        </w:rPr>
        <w:t>En el poder otorgado por el act</w:t>
      </w:r>
      <w:r>
        <w:rPr>
          <w:sz w:val="26"/>
          <w:szCs w:val="26"/>
          <w:lang w:val="es-ES" w:eastAsia="es-ES"/>
        </w:rPr>
        <w:t xml:space="preserve">or a la señora J., claramente se estipula: </w:t>
      </w:r>
      <w:r>
        <w:rPr>
          <w:i/>
          <w:iCs/>
          <w:sz w:val="26"/>
          <w:szCs w:val="26"/>
          <w:lang w:val="es-ES" w:eastAsia="es-ES"/>
        </w:rPr>
        <w:t>"confiriéndole al efecto las facultades que determina el artículo mil doscientos cincuenta y cuatro del código civil, y además las de sustituir este poder en todo o en parte, revocar sustituciones y hacer otras de</w:t>
      </w:r>
      <w:r>
        <w:rPr>
          <w:i/>
          <w:iCs/>
          <w:sz w:val="26"/>
          <w:szCs w:val="26"/>
          <w:lang w:val="es-ES" w:eastAsia="es-ES"/>
        </w:rPr>
        <w:t xml:space="preserve"> nuevo. Este poder se otorga específicamente  con todo lo relacionado con la concesión que opera con la placa </w:t>
      </w:r>
      <w:r>
        <w:rPr>
          <w:sz w:val="26"/>
          <w:szCs w:val="26"/>
          <w:lang w:val="es-ES" w:eastAsia="es-ES"/>
        </w:rPr>
        <w:t xml:space="preserve">[...]". En virtud de lo anterior, el problema en este caso se presenta porque dicho poder generalísimo sin límite de suma, es otorgado por don L. </w:t>
      </w:r>
      <w:r>
        <w:rPr>
          <w:sz w:val="26"/>
          <w:szCs w:val="26"/>
          <w:lang w:val="es-ES" w:eastAsia="es-ES"/>
        </w:rPr>
        <w:t>y confiere amplias facultades a la mandataria, relativo a todo aquello que tenga que ver con la administración del taxi placas [...]; pero lo hace sin advertir que la concesión se le otorgó, condicionada a cumplir con ciertas exigencias; además de ello, de</w:t>
      </w:r>
      <w:r>
        <w:rPr>
          <w:sz w:val="26"/>
          <w:szCs w:val="26"/>
          <w:lang w:val="es-ES" w:eastAsia="es-ES"/>
        </w:rPr>
        <w:t xml:space="preserve"> que tiene un carácter personalísimo, pues el derecho es concedido, tornando en cuenta las características especiales y propias que él reviste. Coincide esta Sala con lo dispuesto por el Tribunal cuando razona: </w:t>
      </w:r>
      <w:r>
        <w:rPr>
          <w:i/>
          <w:iCs/>
          <w:sz w:val="26"/>
          <w:szCs w:val="26"/>
          <w:lang w:val="es-ES" w:eastAsia="es-ES"/>
        </w:rPr>
        <w:t>"es evidente que el otorgamiento de este tipo</w:t>
      </w:r>
      <w:r>
        <w:rPr>
          <w:i/>
          <w:iCs/>
          <w:sz w:val="26"/>
          <w:szCs w:val="26"/>
          <w:lang w:val="es-ES" w:eastAsia="es-ES"/>
        </w:rPr>
        <w:t xml:space="preserve"> de mandatos resulta incompatible con el carácter personalísimo que es inherente a la concesión del servicio público de transporte remunerado de personas en la modalidad de taxi. Por demás, con la amplitud de potestades que el poder generalísimo otorga, se</w:t>
      </w:r>
      <w:r>
        <w:rPr>
          <w:i/>
          <w:iCs/>
          <w:sz w:val="26"/>
          <w:szCs w:val="26"/>
          <w:lang w:val="es-ES" w:eastAsia="es-ES"/>
        </w:rPr>
        <w:t xml:space="preserve"> cede la administración de un derecho de contenido personal, como lo es la concesión en este tipo de servicio [...] resultaba improcedente el otorgamiento de un poder generalísimo en los términos en que lo concedió la </w:t>
      </w:r>
      <w:r>
        <w:rPr>
          <w:sz w:val="26"/>
          <w:szCs w:val="26"/>
          <w:lang w:val="es-ES" w:eastAsia="es-ES"/>
        </w:rPr>
        <w:t xml:space="preserve">(sic) </w:t>
      </w:r>
      <w:r>
        <w:rPr>
          <w:i/>
          <w:iCs/>
          <w:sz w:val="26"/>
          <w:szCs w:val="26"/>
          <w:lang w:val="es-ES" w:eastAsia="es-ES"/>
        </w:rPr>
        <w:t>accionante, toda vez que la admi</w:t>
      </w:r>
      <w:r>
        <w:rPr>
          <w:i/>
          <w:iCs/>
          <w:sz w:val="26"/>
          <w:szCs w:val="26"/>
          <w:lang w:val="es-ES" w:eastAsia="es-ES"/>
        </w:rPr>
        <w:t xml:space="preserve">nistración y explotación de la concesión de la placa de taxi [...] debía ejercerla en forma personal el demandante, tal y como lo exige la legislación vigente y el propio contrato de concesión." . </w:t>
      </w:r>
      <w:r>
        <w:rPr>
          <w:sz w:val="26"/>
          <w:szCs w:val="26"/>
          <w:lang w:val="es-ES" w:eastAsia="es-ES"/>
        </w:rPr>
        <w:t>De lo anterior, se colige que efectivamente el actor estaba</w:t>
      </w:r>
      <w:r>
        <w:rPr>
          <w:sz w:val="26"/>
          <w:szCs w:val="26"/>
          <w:lang w:val="es-ES" w:eastAsia="es-ES"/>
        </w:rPr>
        <w:t xml:space="preserve"> imposibilitado de traspasar a otra persona el derecho de disponer ampliamente sobre la concesión a él otorgada, tal y como lo hizo. Según se desprende de las estipulaciones contractuales, debió haber solicitado al CTP la autorización correspondiente para </w:t>
      </w:r>
      <w:r>
        <w:rPr>
          <w:sz w:val="26"/>
          <w:szCs w:val="26"/>
          <w:lang w:val="es-ES" w:eastAsia="es-ES"/>
        </w:rPr>
        <w:t>realizar el traspaso, lo que corno se dijo, no llevó a cabo. Nótese que cuando llevó a cabo dicha solicitud, fue justamente cuando la Administración inició un procedimiento para averiguar cuál era la situación real de la placa concedida. Aunado a lo anteri</w:t>
      </w:r>
      <w:r>
        <w:rPr>
          <w:sz w:val="26"/>
          <w:szCs w:val="26"/>
          <w:lang w:val="es-ES" w:eastAsia="es-ES"/>
        </w:rPr>
        <w:t>or, quedó evidenciado en el proceso, lo cual, el casacionista no ha</w:t>
      </w:r>
    </w:p>
    <w:p w:rsidR="00000000" w:rsidRDefault="00D040A2">
      <w:pPr>
        <w:widowControl/>
        <w:rPr>
          <w:sz w:val="24"/>
          <w:szCs w:val="24"/>
        </w:rPr>
        <w:sectPr w:rsidR="00000000">
          <w:pgSz w:w="12134" w:h="15840"/>
          <w:pgMar w:top="1400" w:right="2208" w:bottom="890" w:left="2146" w:header="720" w:footer="720" w:gutter="0"/>
          <w:cols w:space="720"/>
          <w:noEndnote/>
        </w:sectPr>
      </w:pPr>
    </w:p>
    <w:p w:rsidR="00000000" w:rsidRDefault="00D040A2">
      <w:pPr>
        <w:kinsoku w:val="0"/>
        <w:overflowPunct w:val="0"/>
        <w:autoSpaceDE/>
        <w:autoSpaceDN/>
        <w:adjustRightInd/>
        <w:spacing w:before="29" w:line="345" w:lineRule="exact"/>
        <w:ind w:left="576" w:right="576"/>
        <w:jc w:val="both"/>
        <w:textAlignment w:val="baseline"/>
        <w:rPr>
          <w:i/>
          <w:iCs/>
          <w:sz w:val="26"/>
          <w:szCs w:val="26"/>
          <w:lang w:val="es-ES" w:eastAsia="es-ES"/>
        </w:rPr>
      </w:pPr>
      <w:r>
        <w:rPr>
          <w:sz w:val="26"/>
          <w:szCs w:val="26"/>
          <w:lang w:val="es-ES" w:eastAsia="es-ES"/>
        </w:rPr>
        <w:lastRenderedPageBreak/>
        <w:t>podido desvirtuar, que é</w:t>
      </w:r>
      <w:r>
        <w:rPr>
          <w:sz w:val="26"/>
          <w:szCs w:val="26"/>
          <w:lang w:val="es-ES" w:eastAsia="es-ES"/>
        </w:rPr>
        <w:t>l no estaba cumpliendo con el requisito de manejar el taxi durante ocho horas diarias, aún y cuando alegase problemas de salud. Tampoco acreditó en sede administrativa ni en la judicial, certificaciones médicas que respaldaran su decir. Todo lo anterior, e</w:t>
      </w:r>
      <w:r>
        <w:rPr>
          <w:sz w:val="26"/>
          <w:szCs w:val="26"/>
          <w:lang w:val="es-ES" w:eastAsia="es-ES"/>
        </w:rPr>
        <w:t>videncia el incumplimiento por parte de don L. a los acuerdos asumidos con la Administración; lo que en efecto da paso a la cancelación de su derecho. Esto es, justamente, el motivo del acto emitido por la Junta Directiva del CTP en su artículo 3.2.7 de la</w:t>
      </w:r>
      <w:r>
        <w:rPr>
          <w:sz w:val="26"/>
          <w:szCs w:val="26"/>
          <w:lang w:val="es-ES" w:eastAsia="es-ES"/>
        </w:rPr>
        <w:t xml:space="preserve"> sesión ordinaria 13-2009 del 24 de febrero de 2009, del cual aquí se pretende su nulidad y que según lo expuesto, no es posible determinar la existencia de ningún vicio. Todo lo anterior, encuentra amparo en el artículo 40 de la Ley número 7969, el cual e</w:t>
      </w:r>
      <w:r>
        <w:rPr>
          <w:sz w:val="26"/>
          <w:szCs w:val="26"/>
          <w:lang w:val="es-ES" w:eastAsia="es-ES"/>
        </w:rPr>
        <w:t xml:space="preserve">stablece: </w:t>
      </w:r>
      <w:r>
        <w:rPr>
          <w:i/>
          <w:iCs/>
          <w:sz w:val="26"/>
          <w:szCs w:val="26"/>
          <w:lang w:val="es-ES" w:eastAsia="es-ES"/>
        </w:rPr>
        <w:t>"El Consejo podrá cancelar la concesión administrativamente, de conformidad con las siguientes</w:t>
      </w:r>
    </w:p>
    <w:p w:rsidR="00000000" w:rsidRDefault="00D040A2">
      <w:pPr>
        <w:tabs>
          <w:tab w:val="left" w:pos="2736"/>
        </w:tabs>
        <w:kinsoku w:val="0"/>
        <w:overflowPunct w:val="0"/>
        <w:autoSpaceDE/>
        <w:autoSpaceDN/>
        <w:adjustRightInd/>
        <w:spacing w:before="41" w:line="345" w:lineRule="exact"/>
        <w:ind w:left="576" w:right="576"/>
        <w:jc w:val="both"/>
        <w:textAlignment w:val="baseline"/>
        <w:rPr>
          <w:b/>
          <w:bCs/>
          <w:sz w:val="26"/>
          <w:szCs w:val="26"/>
          <w:lang w:val="es-ES" w:eastAsia="es-ES"/>
        </w:rPr>
      </w:pPr>
      <w:r>
        <w:rPr>
          <w:i/>
          <w:iCs/>
          <w:sz w:val="26"/>
          <w:szCs w:val="26"/>
          <w:lang w:val="es-ES" w:eastAsia="es-ES"/>
        </w:rPr>
        <w:t>causales: [...]</w:t>
      </w:r>
      <w:r>
        <w:rPr>
          <w:i/>
          <w:iCs/>
          <w:sz w:val="26"/>
          <w:szCs w:val="26"/>
          <w:lang w:val="es-ES" w:eastAsia="es-ES"/>
        </w:rPr>
        <w:tab/>
        <w:t xml:space="preserve">Ceder la concesión a favor de un tercero, sin autorización del Consejo...". </w:t>
      </w:r>
      <w:r>
        <w:rPr>
          <w:sz w:val="26"/>
          <w:szCs w:val="26"/>
          <w:lang w:val="es-ES" w:eastAsia="es-ES"/>
        </w:rPr>
        <w:t>Con ello, se reafirma aún más las tesis que en esta resoluc</w:t>
      </w:r>
      <w:r>
        <w:rPr>
          <w:sz w:val="26"/>
          <w:szCs w:val="26"/>
          <w:lang w:val="es-ES" w:eastAsia="es-ES"/>
        </w:rPr>
        <w:t xml:space="preserve">ión se viene exponiendo, sobre la falta en la que incurrió el señor L. y con ello la legitimidad del contenido del acto por el que la Administración cancela la concesión al actor. También es necesario mencionar, que del recurso pareciera entenderse que el </w:t>
      </w:r>
      <w:r>
        <w:rPr>
          <w:sz w:val="26"/>
          <w:szCs w:val="26"/>
          <w:lang w:val="es-ES" w:eastAsia="es-ES"/>
        </w:rPr>
        <w:t>recurrente alega una violación probatoria, pues aduce el Tribunal no tuvo por acreditada su condición de salud. En este sentido, ha de indicarse que el reproche no es claro ni preciso, ni menciona violación normativa de fondo al respecto (artículo 139 inci</w:t>
      </w:r>
      <w:r>
        <w:rPr>
          <w:sz w:val="26"/>
          <w:szCs w:val="26"/>
          <w:lang w:val="es-ES" w:eastAsia="es-ES"/>
        </w:rPr>
        <w:t>so 4 del Código Procesal Contencioso Administrativo), todo lo cual dice de su informalidad, razón por la cual no es de recibo. Por último, ha de aclararse que dada la particularidad de este tipo de casos, un poder especialísimo tampoco sería compatible con</w:t>
      </w:r>
      <w:r>
        <w:rPr>
          <w:sz w:val="26"/>
          <w:szCs w:val="26"/>
          <w:lang w:val="es-ES" w:eastAsia="es-ES"/>
        </w:rPr>
        <w:t xml:space="preserve"> la figura de la concesión administrativa objeto de análisis, pues es indispensable la autorización del CTP en este tipo de concesiones, lo cual no se dio. Al respecto, véase la sentencia de esta Cámara a la cual se hace referencia en el considerando anter</w:t>
      </w:r>
      <w:r>
        <w:rPr>
          <w:sz w:val="26"/>
          <w:szCs w:val="26"/>
          <w:lang w:val="es-ES" w:eastAsia="es-ES"/>
        </w:rPr>
        <w:t xml:space="preserve">ior. Según lo expuesto, los reparos han de rechazarse." </w:t>
      </w:r>
      <w:r>
        <w:rPr>
          <w:b/>
          <w:bCs/>
          <w:sz w:val="26"/>
          <w:szCs w:val="26"/>
          <w:lang w:val="es-ES" w:eastAsia="es-ES"/>
        </w:rPr>
        <w:t>(Sentencia No. 2012-00270 de la Sala Primera de la Corte Suprema de Justicia, del 01 de Marzo del 2012)</w:t>
      </w:r>
    </w:p>
    <w:p w:rsidR="00000000" w:rsidRDefault="00D040A2">
      <w:pPr>
        <w:kinsoku w:val="0"/>
        <w:overflowPunct w:val="0"/>
        <w:autoSpaceDE/>
        <w:autoSpaceDN/>
        <w:adjustRightInd/>
        <w:spacing w:before="291" w:line="370" w:lineRule="exact"/>
        <w:jc w:val="both"/>
        <w:textAlignment w:val="baseline"/>
        <w:rPr>
          <w:b/>
          <w:bCs/>
          <w:sz w:val="26"/>
          <w:szCs w:val="26"/>
          <w:lang w:val="es-ES" w:eastAsia="es-ES"/>
        </w:rPr>
      </w:pPr>
      <w:r>
        <w:rPr>
          <w:b/>
          <w:bCs/>
          <w:sz w:val="26"/>
          <w:szCs w:val="26"/>
          <w:lang w:val="es-ES" w:eastAsia="es-ES"/>
        </w:rPr>
        <w:t xml:space="preserve">(En confirmación de lo anterior, ver </w:t>
      </w:r>
      <w:r>
        <w:rPr>
          <w:b/>
          <w:bCs/>
          <w:i/>
          <w:iCs/>
          <w:sz w:val="26"/>
          <w:szCs w:val="26"/>
          <w:lang w:val="es-ES" w:eastAsia="es-ES"/>
        </w:rPr>
        <w:t xml:space="preserve">—además- </w:t>
      </w:r>
      <w:r>
        <w:rPr>
          <w:b/>
          <w:bCs/>
          <w:sz w:val="26"/>
          <w:szCs w:val="26"/>
          <w:lang w:val="es-ES" w:eastAsia="es-ES"/>
        </w:rPr>
        <w:t>las Resoluciones Nos. 2012</w:t>
      </w:r>
      <w:r>
        <w:rPr>
          <w:b/>
          <w:bCs/>
          <w:sz w:val="26"/>
          <w:szCs w:val="26"/>
          <w:lang w:val="es-ES" w:eastAsia="es-ES"/>
        </w:rPr>
        <w:softHyphen/>
        <w:t>000190 del 16 de Febre</w:t>
      </w:r>
      <w:r>
        <w:rPr>
          <w:b/>
          <w:bCs/>
          <w:sz w:val="26"/>
          <w:szCs w:val="26"/>
          <w:lang w:val="es-ES" w:eastAsia="es-ES"/>
        </w:rPr>
        <w:t xml:space="preserve">ro del 2012 </w:t>
      </w:r>
      <w:r>
        <w:rPr>
          <w:sz w:val="26"/>
          <w:szCs w:val="26"/>
          <w:lang w:val="es-ES" w:eastAsia="es-ES"/>
        </w:rPr>
        <w:t xml:space="preserve">y </w:t>
      </w:r>
      <w:r>
        <w:rPr>
          <w:b/>
          <w:bCs/>
          <w:sz w:val="26"/>
          <w:szCs w:val="26"/>
          <w:lang w:val="es-ES" w:eastAsia="es-ES"/>
        </w:rPr>
        <w:t>2012-001525 del 20 de Noviembre del 2012, ambas de la Sala Primera de la Corte Suprema de Justicia)</w:t>
      </w:r>
    </w:p>
    <w:p w:rsidR="00000000" w:rsidRDefault="00D040A2">
      <w:pPr>
        <w:widowControl/>
        <w:rPr>
          <w:sz w:val="24"/>
          <w:szCs w:val="24"/>
        </w:rPr>
        <w:sectPr w:rsidR="00000000">
          <w:pgSz w:w="12134" w:h="15840"/>
          <w:pgMar w:top="1380" w:right="1680" w:bottom="934" w:left="1594" w:header="720" w:footer="720" w:gutter="0"/>
          <w:cols w:space="720"/>
          <w:noEndnote/>
        </w:sectPr>
      </w:pPr>
    </w:p>
    <w:p w:rsidR="00000000" w:rsidRDefault="00D040A2">
      <w:pPr>
        <w:kinsoku w:val="0"/>
        <w:overflowPunct w:val="0"/>
        <w:autoSpaceDE/>
        <w:autoSpaceDN/>
        <w:adjustRightInd/>
        <w:spacing w:line="346" w:lineRule="exact"/>
        <w:jc w:val="both"/>
        <w:textAlignment w:val="baseline"/>
        <w:rPr>
          <w:spacing w:val="1"/>
          <w:sz w:val="26"/>
          <w:szCs w:val="26"/>
          <w:lang w:val="es-ES" w:eastAsia="es-ES"/>
        </w:rPr>
      </w:pPr>
      <w:r>
        <w:rPr>
          <w:spacing w:val="1"/>
          <w:sz w:val="26"/>
          <w:szCs w:val="26"/>
          <w:lang w:val="es-ES" w:eastAsia="es-ES"/>
        </w:rPr>
        <w:lastRenderedPageBreak/>
        <w:t>Y en mé</w:t>
      </w:r>
      <w:r>
        <w:rPr>
          <w:spacing w:val="1"/>
          <w:sz w:val="26"/>
          <w:szCs w:val="26"/>
          <w:lang w:val="es-ES" w:eastAsia="es-ES"/>
        </w:rPr>
        <w:t>rito de lo anterior, dado que en la especie se siguió en el ámbito del Consejo de Transporte Público el Procedimiento Ordinario conducente y se determinó la existencia del Poder Generalísimo sin Límite de Suma otorgado por el Concesionario, en Imperio de l</w:t>
      </w:r>
      <w:r>
        <w:rPr>
          <w:spacing w:val="1"/>
          <w:sz w:val="26"/>
          <w:szCs w:val="26"/>
          <w:lang w:val="es-ES" w:eastAsia="es-ES"/>
        </w:rPr>
        <w:t>o determinado por la Jurisprudencia reiterada y aplicable de la Sala Primera de la Corte Suprema de Justicia y de los Tribunales de lo Contencioso Administrativo, Opera plenamente la Determinación de Caducidad que realizara el Consejo de Transporte Público</w:t>
      </w:r>
      <w:r>
        <w:rPr>
          <w:spacing w:val="1"/>
          <w:sz w:val="26"/>
          <w:szCs w:val="26"/>
          <w:lang w:val="es-ES" w:eastAsia="es-ES"/>
        </w:rPr>
        <w:t xml:space="preserve"> mediante su Acuerdo objeto de impugnación. No resultando procedente la Acción Recursiva presentada por el Interesado.</w:t>
      </w:r>
    </w:p>
    <w:p w:rsidR="00000000" w:rsidRDefault="00D040A2">
      <w:pPr>
        <w:kinsoku w:val="0"/>
        <w:overflowPunct w:val="0"/>
        <w:autoSpaceDE/>
        <w:autoSpaceDN/>
        <w:adjustRightInd/>
        <w:spacing w:before="526" w:line="368" w:lineRule="exact"/>
        <w:jc w:val="both"/>
        <w:textAlignment w:val="baseline"/>
        <w:rPr>
          <w:b/>
          <w:bCs/>
          <w:sz w:val="26"/>
          <w:szCs w:val="26"/>
          <w:lang w:val="es-ES" w:eastAsia="es-ES"/>
        </w:rPr>
      </w:pPr>
      <w:r>
        <w:rPr>
          <w:b/>
          <w:bCs/>
          <w:sz w:val="26"/>
          <w:szCs w:val="26"/>
          <w:lang w:val="es-ES" w:eastAsia="es-ES"/>
        </w:rPr>
        <w:t xml:space="preserve">2.- Sobre la Temporalidad del Procedimiento de marras </w:t>
      </w:r>
      <w:r>
        <w:rPr>
          <w:sz w:val="26"/>
          <w:szCs w:val="26"/>
          <w:lang w:val="es-ES" w:eastAsia="es-ES"/>
        </w:rPr>
        <w:t xml:space="preserve">y </w:t>
      </w:r>
      <w:r>
        <w:rPr>
          <w:b/>
          <w:bCs/>
          <w:sz w:val="26"/>
          <w:szCs w:val="26"/>
          <w:lang w:val="es-ES" w:eastAsia="es-ES"/>
        </w:rPr>
        <w:t>sobre su Posible Caducidad:</w:t>
      </w:r>
    </w:p>
    <w:p w:rsidR="00000000" w:rsidRDefault="00D040A2">
      <w:pPr>
        <w:kinsoku w:val="0"/>
        <w:overflowPunct w:val="0"/>
        <w:autoSpaceDE/>
        <w:autoSpaceDN/>
        <w:adjustRightInd/>
        <w:spacing w:before="349" w:line="347" w:lineRule="exact"/>
        <w:jc w:val="both"/>
        <w:textAlignment w:val="baseline"/>
        <w:rPr>
          <w:i/>
          <w:iCs/>
          <w:sz w:val="26"/>
          <w:szCs w:val="26"/>
          <w:lang w:val="es-ES" w:eastAsia="es-ES"/>
        </w:rPr>
      </w:pPr>
      <w:r>
        <w:rPr>
          <w:sz w:val="26"/>
          <w:szCs w:val="26"/>
          <w:lang w:val="es-ES" w:eastAsia="es-ES"/>
        </w:rPr>
        <w:t xml:space="preserve">En cuanto al Caso Concreto, se tiene que en torno al </w:t>
      </w:r>
      <w:r>
        <w:rPr>
          <w:sz w:val="26"/>
          <w:szCs w:val="26"/>
          <w:lang w:val="es-ES" w:eastAsia="es-ES"/>
        </w:rPr>
        <w:t xml:space="preserve">mismo el Procedimiento Ordinario se Inicia con la Resolución No. DAJ-20150095 de la Dirección de Asuntos Jurídicos del Consejo de Transporte Público </w:t>
      </w:r>
      <w:r>
        <w:rPr>
          <w:i/>
          <w:iCs/>
          <w:sz w:val="26"/>
          <w:szCs w:val="26"/>
          <w:lang w:val="es-ES" w:eastAsia="es-ES"/>
        </w:rPr>
        <w:t xml:space="preserve">(como Órgano Director), </w:t>
      </w:r>
      <w:r>
        <w:rPr>
          <w:sz w:val="26"/>
          <w:szCs w:val="26"/>
          <w:lang w:val="es-ES" w:eastAsia="es-ES"/>
        </w:rPr>
        <w:t xml:space="preserve">de fecha 12 de Enero del 2015 </w:t>
      </w:r>
      <w:r>
        <w:rPr>
          <w:i/>
          <w:iCs/>
          <w:sz w:val="26"/>
          <w:szCs w:val="26"/>
          <w:lang w:val="es-ES" w:eastAsia="es-ES"/>
        </w:rPr>
        <w:t>(así ordenado según Acuerdo No. 7.5.49 de la Junta Di</w:t>
      </w:r>
      <w:r>
        <w:rPr>
          <w:i/>
          <w:iCs/>
          <w:sz w:val="26"/>
          <w:szCs w:val="26"/>
          <w:lang w:val="es-ES" w:eastAsia="es-ES"/>
        </w:rPr>
        <w:t xml:space="preserve">rectiva del CTP, de Sesión Ordinaria No. 56-2014 del 02 de Octubre del 2014). </w:t>
      </w:r>
      <w:r>
        <w:rPr>
          <w:sz w:val="26"/>
          <w:szCs w:val="26"/>
          <w:lang w:val="es-ES" w:eastAsia="es-ES"/>
        </w:rPr>
        <w:t xml:space="preserve">Instruyéndose él mismo y emitiendo dicho Órgano Director en fecha 19 de Febrero del 2015 su Informe de Recomendación Final </w:t>
      </w:r>
      <w:r>
        <w:rPr>
          <w:i/>
          <w:iCs/>
          <w:sz w:val="26"/>
          <w:szCs w:val="26"/>
          <w:lang w:val="es-ES" w:eastAsia="es-ES"/>
        </w:rPr>
        <w:t xml:space="preserve">(Oficio DAJ-2015001058). </w:t>
      </w:r>
      <w:r>
        <w:rPr>
          <w:sz w:val="26"/>
          <w:szCs w:val="26"/>
          <w:lang w:val="es-ES" w:eastAsia="es-ES"/>
        </w:rPr>
        <w:t>Y siendo prohijada dicha Recom</w:t>
      </w:r>
      <w:r>
        <w:rPr>
          <w:sz w:val="26"/>
          <w:szCs w:val="26"/>
          <w:lang w:val="es-ES" w:eastAsia="es-ES"/>
        </w:rPr>
        <w:t>endación mediante el Acuerdo No. 7.6 de la Sesión Ordinaria No. 19-2015 de la Junta Directiva del Consejo de Transporte Público, de fecha 09 de Abril del presente año. Es decir, desde el Acto Inicial del Procedimiento hasta el Acuerdo Final se dio un tiemp</w:t>
      </w:r>
      <w:r>
        <w:rPr>
          <w:sz w:val="26"/>
          <w:szCs w:val="26"/>
          <w:lang w:val="es-ES" w:eastAsia="es-ES"/>
        </w:rPr>
        <w:t>o de cerca de DOS Y MEDIO MESES; el cual se estima como Razonable y Proporcional al Caso, NO APLICANDO LA NULIDAD DEL PROCEDIMIENTO NI DE LO ACTUADO POR DURACIÓN EXCESIVA. Así como tampoco se dio una Paralización Inmotivada del Procedimiento por más de SEI</w:t>
      </w:r>
      <w:r>
        <w:rPr>
          <w:sz w:val="26"/>
          <w:szCs w:val="26"/>
          <w:lang w:val="es-ES" w:eastAsia="es-ES"/>
        </w:rPr>
        <w:t xml:space="preserve">S MESES, a efecto de que Operada </w:t>
      </w:r>
      <w:r>
        <w:rPr>
          <w:i/>
          <w:iCs/>
          <w:sz w:val="26"/>
          <w:szCs w:val="26"/>
          <w:lang w:val="es-ES" w:eastAsia="es-ES"/>
        </w:rPr>
        <w:t xml:space="preserve">—así mismo- </w:t>
      </w:r>
      <w:r>
        <w:rPr>
          <w:sz w:val="26"/>
          <w:szCs w:val="26"/>
          <w:lang w:val="es-ES" w:eastAsia="es-ES"/>
        </w:rPr>
        <w:t xml:space="preserve">su CADUCIDAD </w:t>
      </w:r>
      <w:r>
        <w:rPr>
          <w:i/>
          <w:iCs/>
          <w:sz w:val="26"/>
          <w:szCs w:val="26"/>
          <w:lang w:val="es-ES" w:eastAsia="es-ES"/>
        </w:rPr>
        <w:t>(artículo 340 de la LGAP).</w:t>
      </w:r>
    </w:p>
    <w:p w:rsidR="00000000" w:rsidRDefault="00D040A2">
      <w:pPr>
        <w:kinsoku w:val="0"/>
        <w:overflowPunct w:val="0"/>
        <w:autoSpaceDE/>
        <w:autoSpaceDN/>
        <w:adjustRightInd/>
        <w:spacing w:before="342" w:line="374" w:lineRule="exact"/>
        <w:jc w:val="both"/>
        <w:textAlignment w:val="baseline"/>
        <w:rPr>
          <w:sz w:val="26"/>
          <w:szCs w:val="26"/>
          <w:lang w:val="es-ES" w:eastAsia="es-ES"/>
        </w:rPr>
      </w:pPr>
      <w:r>
        <w:rPr>
          <w:sz w:val="26"/>
          <w:szCs w:val="26"/>
          <w:lang w:val="es-ES" w:eastAsia="es-ES"/>
        </w:rPr>
        <w:t>Motivando todo lo anterior al RECHAZO de la Acción de Impugnación que nos ha ocupado y que se define por este medio.</w:t>
      </w:r>
    </w:p>
    <w:p w:rsidR="00000000" w:rsidRDefault="00D040A2">
      <w:pPr>
        <w:widowControl/>
        <w:rPr>
          <w:sz w:val="24"/>
          <w:szCs w:val="24"/>
        </w:rPr>
        <w:sectPr w:rsidR="00000000">
          <w:pgSz w:w="12134" w:h="15840"/>
          <w:pgMar w:top="1380" w:right="1660" w:bottom="881" w:left="1574" w:header="720" w:footer="720" w:gutter="0"/>
          <w:cols w:space="720"/>
          <w:noEndnote/>
        </w:sectPr>
      </w:pPr>
    </w:p>
    <w:p w:rsidR="00000000" w:rsidRPr="008B5E2F" w:rsidRDefault="00D040A2">
      <w:pPr>
        <w:kinsoku w:val="0"/>
        <w:overflowPunct w:val="0"/>
        <w:autoSpaceDE/>
        <w:autoSpaceDN/>
        <w:adjustRightInd/>
        <w:spacing w:before="1" w:line="297" w:lineRule="exact"/>
        <w:jc w:val="center"/>
        <w:textAlignment w:val="baseline"/>
        <w:rPr>
          <w:b/>
          <w:i/>
          <w:iCs/>
          <w:spacing w:val="6"/>
          <w:sz w:val="25"/>
          <w:szCs w:val="25"/>
          <w:lang w:val="es-ES" w:eastAsia="es-ES"/>
        </w:rPr>
      </w:pPr>
      <w:r w:rsidRPr="008B5E2F">
        <w:rPr>
          <w:b/>
          <w:i/>
          <w:iCs/>
          <w:spacing w:val="6"/>
          <w:sz w:val="25"/>
          <w:szCs w:val="25"/>
          <w:lang w:val="es-ES" w:eastAsia="es-ES"/>
        </w:rPr>
        <w:lastRenderedPageBreak/>
        <w:t>Por Tanto</w:t>
      </w:r>
    </w:p>
    <w:p w:rsidR="00000000" w:rsidRDefault="00D040A2">
      <w:pPr>
        <w:kinsoku w:val="0"/>
        <w:overflowPunct w:val="0"/>
        <w:autoSpaceDE/>
        <w:autoSpaceDN/>
        <w:adjustRightInd/>
        <w:spacing w:before="331" w:line="350" w:lineRule="exact"/>
        <w:ind w:right="576"/>
        <w:jc w:val="both"/>
        <w:textAlignment w:val="baseline"/>
        <w:rPr>
          <w:spacing w:val="6"/>
          <w:sz w:val="25"/>
          <w:szCs w:val="25"/>
          <w:lang w:val="es-ES" w:eastAsia="es-ES"/>
        </w:rPr>
      </w:pPr>
      <w:r>
        <w:rPr>
          <w:spacing w:val="6"/>
          <w:sz w:val="25"/>
          <w:szCs w:val="25"/>
          <w:lang w:val="es-ES" w:eastAsia="es-ES"/>
        </w:rPr>
        <w:t xml:space="preserve">Conforme a lo expuesto </w:t>
      </w:r>
      <w:r>
        <w:rPr>
          <w:i/>
          <w:iCs/>
          <w:spacing w:val="6"/>
          <w:sz w:val="25"/>
          <w:szCs w:val="25"/>
          <w:lang w:val="es-ES" w:eastAsia="es-ES"/>
        </w:rPr>
        <w:t xml:space="preserve">supra, </w:t>
      </w:r>
      <w:r>
        <w:rPr>
          <w:spacing w:val="6"/>
          <w:sz w:val="25"/>
          <w:szCs w:val="25"/>
          <w:lang w:val="es-ES" w:eastAsia="es-ES"/>
        </w:rPr>
        <w:t xml:space="preserve">se Declara </w:t>
      </w:r>
      <w:r w:rsidRPr="008B5E2F">
        <w:rPr>
          <w:b/>
          <w:spacing w:val="6"/>
          <w:sz w:val="25"/>
          <w:szCs w:val="25"/>
          <w:u w:val="single"/>
          <w:lang w:val="es-ES" w:eastAsia="es-ES"/>
        </w:rPr>
        <w:t>SIN LUGAR</w:t>
      </w:r>
      <w:r>
        <w:rPr>
          <w:spacing w:val="6"/>
          <w:sz w:val="25"/>
          <w:szCs w:val="25"/>
          <w:lang w:val="es-ES" w:eastAsia="es-ES"/>
        </w:rPr>
        <w:t xml:space="preserve"> el </w:t>
      </w:r>
      <w:r w:rsidRPr="008B5E2F">
        <w:rPr>
          <w:b/>
          <w:spacing w:val="6"/>
          <w:sz w:val="25"/>
          <w:szCs w:val="25"/>
          <w:lang w:val="es-ES" w:eastAsia="es-ES"/>
        </w:rPr>
        <w:t>RECURSO DE APELACIÓN</w:t>
      </w:r>
      <w:r>
        <w:rPr>
          <w:spacing w:val="6"/>
          <w:sz w:val="25"/>
          <w:szCs w:val="25"/>
          <w:lang w:val="es-ES" w:eastAsia="es-ES"/>
        </w:rPr>
        <w:t xml:space="preserve">, presentado de forma única por el señor </w:t>
      </w:r>
      <w:r w:rsidRPr="008B5E2F">
        <w:rPr>
          <w:b/>
          <w:i/>
          <w:iCs/>
          <w:spacing w:val="6"/>
          <w:sz w:val="25"/>
          <w:szCs w:val="25"/>
          <w:lang w:val="es-ES" w:eastAsia="es-ES"/>
        </w:rPr>
        <w:t>J</w:t>
      </w:r>
      <w:r w:rsidR="008B5E2F" w:rsidRPr="008B5E2F">
        <w:rPr>
          <w:b/>
          <w:i/>
          <w:iCs/>
          <w:spacing w:val="6"/>
          <w:sz w:val="25"/>
          <w:szCs w:val="25"/>
          <w:lang w:val="es-ES" w:eastAsia="es-ES"/>
        </w:rPr>
        <w:t>.E.L.D.</w:t>
      </w:r>
      <w:r>
        <w:rPr>
          <w:i/>
          <w:iCs/>
          <w:spacing w:val="6"/>
          <w:sz w:val="25"/>
          <w:szCs w:val="25"/>
          <w:lang w:val="es-ES" w:eastAsia="es-ES"/>
        </w:rPr>
        <w:t xml:space="preserve">, </w:t>
      </w:r>
      <w:r>
        <w:rPr>
          <w:spacing w:val="6"/>
          <w:sz w:val="25"/>
          <w:szCs w:val="25"/>
          <w:lang w:val="es-ES" w:eastAsia="es-ES"/>
        </w:rPr>
        <w:t xml:space="preserve">de calidades conocidas, portador de la cédula de identidad número </w:t>
      </w:r>
      <w:r w:rsidR="008B5E2F">
        <w:rPr>
          <w:spacing w:val="6"/>
          <w:sz w:val="25"/>
          <w:szCs w:val="25"/>
          <w:lang w:val="es-ES" w:eastAsia="es-ES"/>
        </w:rPr>
        <w:t>…</w:t>
      </w:r>
      <w:r>
        <w:rPr>
          <w:spacing w:val="6"/>
          <w:sz w:val="25"/>
          <w:szCs w:val="25"/>
          <w:lang w:val="es-ES" w:eastAsia="es-ES"/>
        </w:rPr>
        <w:t>, contra el Acuerdo No. 7.6 de la Sesión Ordinaria No. 19-2015 de</w:t>
      </w:r>
      <w:r>
        <w:rPr>
          <w:spacing w:val="6"/>
          <w:sz w:val="25"/>
          <w:szCs w:val="25"/>
          <w:lang w:val="es-ES" w:eastAsia="es-ES"/>
        </w:rPr>
        <w:t xml:space="preserve"> la Junta Directiva del Consejo de Transporte Público del 09 de Abril del 2015.</w:t>
      </w:r>
    </w:p>
    <w:p w:rsidR="00000000" w:rsidRDefault="00D040A2">
      <w:pPr>
        <w:numPr>
          <w:ilvl w:val="0"/>
          <w:numId w:val="6"/>
        </w:numPr>
        <w:kinsoku w:val="0"/>
        <w:overflowPunct w:val="0"/>
        <w:autoSpaceDE/>
        <w:autoSpaceDN/>
        <w:adjustRightInd/>
        <w:spacing w:before="432" w:line="344" w:lineRule="exact"/>
        <w:ind w:right="576"/>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w:t>
      </w:r>
      <w:r>
        <w:rPr>
          <w:sz w:val="25"/>
          <w:szCs w:val="25"/>
          <w:lang w:val="es-ES" w:eastAsia="es-ES"/>
        </w:rPr>
        <w:t>a Administrativa, toda vez que contra este acto resolutorio no procede recurso alguno.</w:t>
      </w:r>
    </w:p>
    <w:p w:rsidR="008B5E2F" w:rsidRPr="008B5E2F" w:rsidRDefault="00D040A2" w:rsidP="008B5E2F">
      <w:pPr>
        <w:numPr>
          <w:ilvl w:val="0"/>
          <w:numId w:val="6"/>
        </w:numPr>
        <w:kinsoku w:val="0"/>
        <w:overflowPunct w:val="0"/>
        <w:autoSpaceDE/>
        <w:autoSpaceDN/>
        <w:adjustRightInd/>
        <w:spacing w:after="44" w:line="842" w:lineRule="exact"/>
        <w:textAlignment w:val="baseline"/>
        <w:rPr>
          <w:sz w:val="24"/>
          <w:szCs w:val="24"/>
        </w:rPr>
      </w:pPr>
      <w:r>
        <w:rPr>
          <w:sz w:val="25"/>
          <w:szCs w:val="25"/>
          <w:lang w:val="es-ES" w:eastAsia="es-ES"/>
        </w:rPr>
        <w:t>Rige a partir de su Notificación.</w:t>
      </w:r>
      <w:r>
        <w:rPr>
          <w:sz w:val="25"/>
          <w:szCs w:val="25"/>
          <w:lang w:val="es-ES" w:eastAsia="es-ES"/>
        </w:rPr>
        <w:br/>
      </w:r>
      <w:r w:rsidRPr="008B5E2F">
        <w:rPr>
          <w:b/>
          <w:sz w:val="25"/>
          <w:szCs w:val="25"/>
          <w:lang w:val="es-ES" w:eastAsia="es-ES"/>
        </w:rPr>
        <w:t>NOTIFIQUESE.</w:t>
      </w:r>
    </w:p>
    <w:p w:rsidR="008B5E2F" w:rsidRPr="006321DC" w:rsidRDefault="008B5E2F" w:rsidP="008B5E2F">
      <w:pPr>
        <w:kinsoku w:val="0"/>
        <w:overflowPunct w:val="0"/>
        <w:autoSpaceDE/>
        <w:autoSpaceDN/>
        <w:adjustRightInd/>
        <w:spacing w:before="100" w:beforeAutospacing="1" w:after="100" w:afterAutospacing="1" w:line="320" w:lineRule="exact"/>
        <w:ind w:left="851"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8B5E2F" w:rsidRPr="00233E71" w:rsidRDefault="008B5E2F" w:rsidP="008B5E2F">
      <w:pPr>
        <w:pStyle w:val="Style1"/>
        <w:kinsoku w:val="0"/>
        <w:overflowPunct w:val="0"/>
        <w:autoSpaceDE/>
        <w:autoSpaceDN/>
        <w:adjustRightInd/>
        <w:spacing w:before="100" w:beforeAutospacing="1" w:after="100" w:afterAutospacing="1" w:line="288" w:lineRule="exact"/>
        <w:ind w:left="851"/>
        <w:jc w:val="center"/>
        <w:textAlignment w:val="baseline"/>
        <w:rPr>
          <w:rStyle w:val="CharacterStyle1"/>
          <w:b/>
          <w:i/>
          <w:iCs/>
          <w:spacing w:val="5"/>
          <w:sz w:val="26"/>
          <w:szCs w:val="26"/>
        </w:rPr>
      </w:pPr>
      <w:r>
        <w:rPr>
          <w:rStyle w:val="CharacterStyle1"/>
          <w:b/>
          <w:i/>
          <w:iCs/>
          <w:spacing w:val="5"/>
          <w:sz w:val="26"/>
          <w:szCs w:val="26"/>
        </w:rPr>
        <w:t>PRESIDENTE</w:t>
      </w:r>
    </w:p>
    <w:p w:rsidR="008B5E2F" w:rsidRDefault="008B5E2F" w:rsidP="008B5E2F">
      <w:pPr>
        <w:tabs>
          <w:tab w:val="left" w:pos="720"/>
        </w:tabs>
        <w:kinsoku w:val="0"/>
        <w:overflowPunct w:val="0"/>
        <w:autoSpaceDE/>
        <w:autoSpaceDN/>
        <w:adjustRightInd/>
        <w:spacing w:before="100" w:beforeAutospacing="1" w:after="100" w:afterAutospacing="1" w:line="523" w:lineRule="exact"/>
        <w:ind w:left="851"/>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sidRPr="006321DC">
        <w:rPr>
          <w:rStyle w:val="CharacterStyle1"/>
          <w:i/>
          <w:iCs/>
          <w:spacing w:val="5"/>
          <w:sz w:val="26"/>
          <w:szCs w:val="26"/>
        </w:rPr>
        <w:tab/>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UEZ</w:t>
      </w:r>
      <w:r>
        <w:rPr>
          <w:rStyle w:val="CharacterStyle1"/>
          <w:b/>
          <w:i/>
          <w:iCs/>
          <w:spacing w:val="5"/>
          <w:sz w:val="26"/>
          <w:szCs w:val="26"/>
        </w:rPr>
        <w:t>A</w:t>
      </w:r>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D040A2" w:rsidRDefault="008B5E2F" w:rsidP="008B5E2F">
      <w:pPr>
        <w:kinsoku w:val="0"/>
        <w:overflowPunct w:val="0"/>
        <w:autoSpaceDE/>
        <w:autoSpaceDN/>
        <w:adjustRightInd/>
        <w:spacing w:after="44" w:line="842" w:lineRule="exact"/>
        <w:textAlignment w:val="baseline"/>
        <w:rPr>
          <w:sz w:val="24"/>
          <w:szCs w:val="24"/>
        </w:rPr>
      </w:pPr>
      <w:r>
        <w:rPr>
          <w:sz w:val="24"/>
          <w:szCs w:val="24"/>
        </w:rPr>
        <w:t xml:space="preserve"> </w:t>
      </w:r>
    </w:p>
    <w:sectPr w:rsidR="00D040A2">
      <w:pgSz w:w="12134" w:h="15840"/>
      <w:pgMar w:top="1417" w:right="1046" w:bottom="220" w:left="16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8324"/>
    <w:multiLevelType w:val="singleLevel"/>
    <w:tmpl w:val="E0C44D88"/>
    <w:lvl w:ilvl="0">
      <w:start w:val="2"/>
      <w:numFmt w:val="upperRoman"/>
      <w:lvlText w:val="%1.-"/>
      <w:lvlJc w:val="left"/>
      <w:pPr>
        <w:tabs>
          <w:tab w:val="num" w:pos="720"/>
        </w:tabs>
      </w:pPr>
      <w:rPr>
        <w:b/>
        <w:snapToGrid/>
        <w:sz w:val="25"/>
        <w:szCs w:val="25"/>
      </w:rPr>
    </w:lvl>
  </w:abstractNum>
  <w:abstractNum w:abstractNumId="1" w15:restartNumberingAfterBreak="0">
    <w:nsid w:val="027FB01C"/>
    <w:multiLevelType w:val="singleLevel"/>
    <w:tmpl w:val="E1F293BC"/>
    <w:lvl w:ilvl="0">
      <w:start w:val="2"/>
      <w:numFmt w:val="lowerLetter"/>
      <w:lvlText w:val="%1.-"/>
      <w:lvlJc w:val="left"/>
      <w:pPr>
        <w:tabs>
          <w:tab w:val="num" w:pos="792"/>
        </w:tabs>
        <w:ind w:left="72"/>
      </w:pPr>
      <w:rPr>
        <w:b/>
        <w:i/>
        <w:iCs/>
        <w:snapToGrid/>
        <w:sz w:val="26"/>
        <w:szCs w:val="26"/>
      </w:rPr>
    </w:lvl>
  </w:abstractNum>
  <w:abstractNum w:abstractNumId="2" w15:restartNumberingAfterBreak="0">
    <w:nsid w:val="033C9F46"/>
    <w:multiLevelType w:val="singleLevel"/>
    <w:tmpl w:val="0470BFB7"/>
    <w:lvl w:ilvl="0">
      <w:start w:val="4"/>
      <w:numFmt w:val="upperRoman"/>
      <w:lvlText w:val="%1.-"/>
      <w:lvlJc w:val="left"/>
      <w:pPr>
        <w:tabs>
          <w:tab w:val="num" w:pos="792"/>
        </w:tabs>
        <w:ind w:left="72"/>
      </w:pPr>
      <w:rPr>
        <w:b/>
        <w:bCs/>
        <w:snapToGrid/>
        <w:spacing w:val="-1"/>
        <w:sz w:val="26"/>
        <w:szCs w:val="26"/>
      </w:rPr>
    </w:lvl>
  </w:abstractNum>
  <w:abstractNum w:abstractNumId="3" w15:restartNumberingAfterBreak="0">
    <w:nsid w:val="06367437"/>
    <w:multiLevelType w:val="singleLevel"/>
    <w:tmpl w:val="5F74E71C"/>
    <w:lvl w:ilvl="0">
      <w:start w:val="2"/>
      <w:numFmt w:val="upperRoman"/>
      <w:lvlText w:val="%1.-"/>
      <w:lvlJc w:val="left"/>
      <w:pPr>
        <w:tabs>
          <w:tab w:val="num" w:pos="792"/>
        </w:tabs>
        <w:ind w:left="72"/>
      </w:pPr>
      <w:rPr>
        <w:b/>
        <w:bCs/>
        <w:snapToGrid/>
        <w:sz w:val="26"/>
        <w:szCs w:val="26"/>
      </w:rPr>
    </w:lvl>
  </w:abstractNum>
  <w:abstractNum w:abstractNumId="4" w15:restartNumberingAfterBreak="0">
    <w:nsid w:val="078C8D87"/>
    <w:multiLevelType w:val="singleLevel"/>
    <w:tmpl w:val="0E32D212"/>
    <w:lvl w:ilvl="0">
      <w:start w:val="1"/>
      <w:numFmt w:val="decimal"/>
      <w:lvlText w:val="%1.-"/>
      <w:lvlJc w:val="left"/>
      <w:pPr>
        <w:tabs>
          <w:tab w:val="num" w:pos="792"/>
        </w:tabs>
        <w:ind w:left="72"/>
      </w:pPr>
      <w:rPr>
        <w:b/>
        <w:snapToGrid/>
        <w:sz w:val="26"/>
        <w:szCs w:val="26"/>
      </w:rPr>
    </w:lvl>
  </w:abstractNum>
  <w:num w:numId="1">
    <w:abstractNumId w:val="4"/>
  </w:num>
  <w:num w:numId="2">
    <w:abstractNumId w:val="3"/>
  </w:num>
  <w:num w:numId="3">
    <w:abstractNumId w:val="1"/>
  </w:num>
  <w:num w:numId="4">
    <w:abstractNumId w:val="2"/>
  </w:num>
  <w:num w:numId="5">
    <w:abstractNumId w:val="2"/>
    <w:lvlOverride w:ilvl="0">
      <w:lvl w:ilvl="0">
        <w:numFmt w:val="upperRoman"/>
        <w:lvlText w:val="%1.-"/>
        <w:lvlJc w:val="left"/>
        <w:pPr>
          <w:tabs>
            <w:tab w:val="num" w:pos="792"/>
          </w:tabs>
          <w:ind w:left="72"/>
        </w:pPr>
        <w:rPr>
          <w:b/>
          <w:bCs/>
          <w:snapToGrid/>
          <w:spacing w:val="-2"/>
          <w:sz w:val="26"/>
          <w:szCs w:val="26"/>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2F"/>
    <w:rsid w:val="0031799D"/>
    <w:rsid w:val="008B5E2F"/>
    <w:rsid w:val="00D0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454E1"/>
  <w14:defaultImageDpi w14:val="0"/>
  <w15:docId w15:val="{84447881-B531-4581-B8AE-4279C010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B5E2F"/>
    <w:rPr>
      <w:lang w:val="es-CR"/>
    </w:rPr>
  </w:style>
  <w:style w:type="character" w:customStyle="1" w:styleId="CharacterStyle1">
    <w:name w:val="Character Style 1"/>
    <w:uiPriority w:val="99"/>
    <w:rsid w:val="008B5E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3190</Words>
  <Characters>17549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2016-05-02T21:15:00Z</dcterms:created>
  <dcterms:modified xsi:type="dcterms:W3CDTF">2016-05-02T21:15:00Z</dcterms:modified>
</cp:coreProperties>
</file>