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F1BC6">
      <w:pPr>
        <w:kinsoku w:val="0"/>
        <w:overflowPunct w:val="0"/>
        <w:autoSpaceDE/>
        <w:autoSpaceDN/>
        <w:adjustRightInd/>
        <w:spacing w:line="286" w:lineRule="exact"/>
        <w:ind w:left="72"/>
        <w:jc w:val="center"/>
        <w:textAlignment w:val="baseline"/>
        <w:rPr>
          <w:b/>
          <w:bCs/>
          <w:spacing w:val="8"/>
          <w:sz w:val="26"/>
          <w:szCs w:val="26"/>
          <w:lang w:val="es-ES" w:eastAsia="es-ES"/>
        </w:rPr>
      </w:pPr>
      <w:r>
        <w:rPr>
          <w:b/>
          <w:bCs/>
          <w:spacing w:val="8"/>
          <w:sz w:val="26"/>
          <w:szCs w:val="26"/>
          <w:lang w:val="es-ES" w:eastAsia="es-ES"/>
        </w:rPr>
        <w:t>Resolución No. TAT-2575-2015</w:t>
      </w:r>
    </w:p>
    <w:p w:rsidR="00000000" w:rsidRDefault="002F1BC6">
      <w:pPr>
        <w:kinsoku w:val="0"/>
        <w:overflowPunct w:val="0"/>
        <w:autoSpaceDE/>
        <w:autoSpaceDN/>
        <w:adjustRightInd/>
        <w:spacing w:before="627" w:line="308" w:lineRule="exact"/>
        <w:ind w:left="72"/>
        <w:textAlignment w:val="baseline"/>
        <w:rPr>
          <w:spacing w:val="-2"/>
          <w:sz w:val="26"/>
          <w:szCs w:val="26"/>
          <w:lang w:val="es-ES" w:eastAsia="es-ES"/>
        </w:rPr>
      </w:pPr>
      <w:r>
        <w:rPr>
          <w:b/>
          <w:bCs/>
          <w:spacing w:val="-2"/>
          <w:sz w:val="26"/>
          <w:szCs w:val="26"/>
          <w:lang w:val="es-ES" w:eastAsia="es-ES"/>
        </w:rPr>
        <w:t xml:space="preserve">TRIBUNAL ADMINISTRATIVO DE TRANSPORTE. </w:t>
      </w:r>
      <w:r>
        <w:rPr>
          <w:spacing w:val="-2"/>
          <w:sz w:val="26"/>
          <w:szCs w:val="26"/>
          <w:lang w:val="es-ES" w:eastAsia="es-ES"/>
        </w:rPr>
        <w:t xml:space="preserve">San José, a las </w:t>
      </w:r>
      <w:r>
        <w:rPr>
          <w:spacing w:val="-2"/>
          <w:sz w:val="26"/>
          <w:szCs w:val="26"/>
          <w:lang w:val="es-ES" w:eastAsia="es-ES"/>
        </w:rPr>
        <w:t>11.25 horas</w:t>
      </w:r>
    </w:p>
    <w:p w:rsidR="00000000" w:rsidRDefault="002F1BC6">
      <w:pPr>
        <w:tabs>
          <w:tab w:val="right" w:leader="hyphen" w:pos="8856"/>
        </w:tabs>
        <w:kinsoku w:val="0"/>
        <w:overflowPunct w:val="0"/>
        <w:autoSpaceDE/>
        <w:autoSpaceDN/>
        <w:adjustRightInd/>
        <w:spacing w:line="302" w:lineRule="exact"/>
        <w:ind w:left="72"/>
        <w:textAlignment w:val="baseline"/>
        <w:rPr>
          <w:sz w:val="26"/>
          <w:szCs w:val="26"/>
          <w:lang w:val="es-ES" w:eastAsia="es-ES"/>
        </w:rPr>
      </w:pPr>
      <w:r>
        <w:rPr>
          <w:sz w:val="26"/>
          <w:szCs w:val="26"/>
          <w:lang w:val="es-ES" w:eastAsia="es-ES"/>
        </w:rPr>
        <w:t>del Veintidós de Mayo del Dos Mil Quince.</w:t>
      </w:r>
      <w:r>
        <w:rPr>
          <w:sz w:val="26"/>
          <w:szCs w:val="26"/>
          <w:lang w:val="es-ES" w:eastAsia="es-ES"/>
        </w:rPr>
        <w:tab/>
      </w:r>
    </w:p>
    <w:p w:rsidR="00000000" w:rsidRDefault="002F1BC6">
      <w:pPr>
        <w:kinsoku w:val="0"/>
        <w:overflowPunct w:val="0"/>
        <w:autoSpaceDE/>
        <w:autoSpaceDN/>
        <w:adjustRightInd/>
        <w:spacing w:before="621" w:line="308" w:lineRule="exact"/>
        <w:ind w:left="72"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w:t>
      </w:r>
      <w:r>
        <w:rPr>
          <w:sz w:val="26"/>
          <w:szCs w:val="26"/>
          <w:lang w:val="es-ES" w:eastAsia="es-ES"/>
        </w:rPr>
        <w:t xml:space="preserve">e </w:t>
      </w:r>
      <w:r>
        <w:rPr>
          <w:b/>
          <w:bCs/>
          <w:sz w:val="26"/>
          <w:szCs w:val="26"/>
          <w:lang w:val="es-ES" w:eastAsia="es-ES"/>
        </w:rPr>
        <w:t xml:space="preserve">INCIDENTE DE NULIDAD CONCOMITANTE </w:t>
      </w:r>
      <w:r>
        <w:rPr>
          <w:sz w:val="26"/>
          <w:szCs w:val="26"/>
          <w:lang w:val="es-ES" w:eastAsia="es-ES"/>
        </w:rPr>
        <w:t xml:space="preserve">presentados por la señora </w:t>
      </w:r>
      <w:r>
        <w:rPr>
          <w:b/>
          <w:bCs/>
          <w:sz w:val="26"/>
          <w:szCs w:val="26"/>
          <w:lang w:val="es-ES" w:eastAsia="es-ES"/>
        </w:rPr>
        <w:t>D</w:t>
      </w:r>
      <w:r w:rsidR="00525B86">
        <w:rPr>
          <w:b/>
          <w:bCs/>
          <w:sz w:val="26"/>
          <w:szCs w:val="26"/>
          <w:lang w:val="es-ES" w:eastAsia="es-ES"/>
        </w:rPr>
        <w:t>.S.M.</w:t>
      </w:r>
      <w:r>
        <w:rPr>
          <w:b/>
          <w:bCs/>
          <w:sz w:val="26"/>
          <w:szCs w:val="26"/>
          <w:lang w:val="es-ES" w:eastAsia="es-ES"/>
        </w:rPr>
        <w:t xml:space="preserve">, </w:t>
      </w:r>
      <w:r>
        <w:rPr>
          <w:sz w:val="26"/>
          <w:szCs w:val="26"/>
          <w:lang w:val="es-ES" w:eastAsia="es-ES"/>
        </w:rPr>
        <w:t>de calidades conocidas y portadora de la cé</w:t>
      </w:r>
      <w:r>
        <w:rPr>
          <w:sz w:val="26"/>
          <w:szCs w:val="26"/>
          <w:lang w:val="es-ES" w:eastAsia="es-ES"/>
        </w:rPr>
        <w:t xml:space="preserve">dula de identidad número </w:t>
      </w:r>
      <w:r w:rsidR="00525B86">
        <w:rPr>
          <w:sz w:val="26"/>
          <w:szCs w:val="26"/>
          <w:lang w:val="es-ES" w:eastAsia="es-ES"/>
        </w:rPr>
        <w:t>…</w:t>
      </w:r>
      <w:r>
        <w:rPr>
          <w:sz w:val="26"/>
          <w:szCs w:val="26"/>
          <w:lang w:val="es-ES" w:eastAsia="es-ES"/>
        </w:rPr>
        <w:t xml:space="preserve">, contra el Artículo 7.18 de la Sesión Ordinaria No. 59-2014 de fecha 15 de Octubre del año 2014, de la Junta Directiva del Consejo de Transporte Público.- </w:t>
      </w:r>
      <w:r>
        <w:rPr>
          <w:b/>
          <w:bCs/>
          <w:i/>
          <w:iCs/>
          <w:sz w:val="26"/>
          <w:szCs w:val="26"/>
          <w:lang w:val="es-ES" w:eastAsia="es-ES"/>
        </w:rPr>
        <w:t>EXPEDIENTE No. TAT-235-15.</w:t>
      </w:r>
      <w:r>
        <w:rPr>
          <w:b/>
          <w:bCs/>
          <w:i/>
          <w:iCs/>
          <w:sz w:val="26"/>
          <w:szCs w:val="26"/>
          <w:lang w:val="es-ES" w:eastAsia="es-ES"/>
        </w:rPr>
        <w:noBreakHyphen/>
      </w:r>
    </w:p>
    <w:p w:rsidR="00000000" w:rsidRDefault="002F1BC6">
      <w:pPr>
        <w:kinsoku w:val="0"/>
        <w:overflowPunct w:val="0"/>
        <w:autoSpaceDE/>
        <w:autoSpaceDN/>
        <w:adjustRightInd/>
        <w:spacing w:before="618" w:line="300" w:lineRule="exact"/>
        <w:ind w:left="72"/>
        <w:jc w:val="center"/>
        <w:textAlignment w:val="baseline"/>
        <w:rPr>
          <w:b/>
          <w:bCs/>
          <w:i/>
          <w:iCs/>
          <w:spacing w:val="7"/>
          <w:sz w:val="26"/>
          <w:szCs w:val="26"/>
          <w:lang w:val="es-ES" w:eastAsia="es-ES"/>
        </w:rPr>
      </w:pPr>
      <w:r>
        <w:rPr>
          <w:b/>
          <w:bCs/>
          <w:i/>
          <w:iCs/>
          <w:spacing w:val="7"/>
          <w:sz w:val="26"/>
          <w:szCs w:val="26"/>
          <w:lang w:val="es-ES" w:eastAsia="es-ES"/>
        </w:rPr>
        <w:t>Resultando:</w:t>
      </w:r>
    </w:p>
    <w:p w:rsidR="00000000" w:rsidRDefault="002F1BC6">
      <w:pPr>
        <w:numPr>
          <w:ilvl w:val="0"/>
          <w:numId w:val="1"/>
        </w:numPr>
        <w:kinsoku w:val="0"/>
        <w:overflowPunct w:val="0"/>
        <w:autoSpaceDE/>
        <w:autoSpaceDN/>
        <w:adjustRightInd/>
        <w:spacing w:before="300" w:line="308" w:lineRule="exact"/>
        <w:ind w:right="144"/>
        <w:jc w:val="both"/>
        <w:textAlignment w:val="baseline"/>
        <w:rPr>
          <w:spacing w:val="4"/>
          <w:sz w:val="26"/>
          <w:szCs w:val="26"/>
          <w:lang w:val="es-ES" w:eastAsia="es-ES"/>
        </w:rPr>
      </w:pPr>
      <w:r>
        <w:rPr>
          <w:spacing w:val="4"/>
          <w:sz w:val="26"/>
          <w:szCs w:val="26"/>
          <w:lang w:val="es-ES" w:eastAsia="es-ES"/>
        </w:rPr>
        <w:t>Mediante su Acuerdo No. 7.18 de la Sesión Ordinaria No. 59-2014 de fecha 15 de Octubre del año 2014, la Junta Directiva del Consejo de Transporte Público, dispuso Denegar una Solicitud de traspaso de Concesión de Taxi (Mortis Causa) realizada por la Señora</w:t>
      </w:r>
      <w:r>
        <w:rPr>
          <w:spacing w:val="4"/>
          <w:sz w:val="26"/>
          <w:szCs w:val="26"/>
          <w:lang w:val="es-ES" w:eastAsia="es-ES"/>
        </w:rPr>
        <w:t xml:space="preserve"> S</w:t>
      </w:r>
      <w:r w:rsidR="00525B86">
        <w:rPr>
          <w:spacing w:val="4"/>
          <w:sz w:val="26"/>
          <w:szCs w:val="26"/>
          <w:lang w:val="es-ES" w:eastAsia="es-ES"/>
        </w:rPr>
        <w:t>.M.</w:t>
      </w:r>
      <w:r>
        <w:rPr>
          <w:spacing w:val="4"/>
          <w:sz w:val="26"/>
          <w:szCs w:val="26"/>
          <w:lang w:val="es-ES" w:eastAsia="es-ES"/>
        </w:rPr>
        <w:t>, a la vez, Ordenar la Cancelación de la Concesión de Taxi Placas TP-</w:t>
      </w:r>
      <w:r w:rsidR="00525B86">
        <w:rPr>
          <w:spacing w:val="4"/>
          <w:sz w:val="26"/>
          <w:szCs w:val="26"/>
          <w:lang w:val="es-ES" w:eastAsia="es-ES"/>
        </w:rPr>
        <w:t>XXX</w:t>
      </w:r>
      <w:r>
        <w:rPr>
          <w:spacing w:val="4"/>
          <w:sz w:val="26"/>
          <w:szCs w:val="26"/>
          <w:lang w:val="es-ES" w:eastAsia="es-ES"/>
        </w:rPr>
        <w:t>, según las determinaciones del numeral 42 Bis. de la Ley No. 7969.</w:t>
      </w:r>
    </w:p>
    <w:p w:rsidR="00000000" w:rsidRDefault="002F1BC6">
      <w:pPr>
        <w:numPr>
          <w:ilvl w:val="0"/>
          <w:numId w:val="1"/>
        </w:numPr>
        <w:kinsoku w:val="0"/>
        <w:overflowPunct w:val="0"/>
        <w:autoSpaceDE/>
        <w:autoSpaceDN/>
        <w:adjustRightInd/>
        <w:spacing w:before="317" w:line="308" w:lineRule="exact"/>
        <w:ind w:right="144"/>
        <w:jc w:val="both"/>
        <w:textAlignment w:val="baseline"/>
        <w:rPr>
          <w:spacing w:val="5"/>
          <w:sz w:val="26"/>
          <w:szCs w:val="26"/>
          <w:lang w:val="es-ES" w:eastAsia="es-ES"/>
        </w:rPr>
      </w:pPr>
      <w:r>
        <w:rPr>
          <w:spacing w:val="5"/>
          <w:sz w:val="26"/>
          <w:szCs w:val="26"/>
          <w:lang w:val="es-ES" w:eastAsia="es-ES"/>
        </w:rPr>
        <w:t>Enterada del Acto antes citado, la Señora S</w:t>
      </w:r>
      <w:r w:rsidR="00525B86">
        <w:rPr>
          <w:spacing w:val="5"/>
          <w:sz w:val="26"/>
          <w:szCs w:val="26"/>
          <w:lang w:val="es-ES" w:eastAsia="es-ES"/>
        </w:rPr>
        <w:t>.M.</w:t>
      </w:r>
      <w:r>
        <w:rPr>
          <w:spacing w:val="5"/>
          <w:sz w:val="26"/>
          <w:szCs w:val="26"/>
          <w:lang w:val="es-ES" w:eastAsia="es-ES"/>
        </w:rPr>
        <w:t xml:space="preserve"> procede a interponer formales Recursos de Revoca</w:t>
      </w:r>
      <w:r>
        <w:rPr>
          <w:spacing w:val="5"/>
          <w:sz w:val="26"/>
          <w:szCs w:val="26"/>
          <w:lang w:val="es-ES" w:eastAsia="es-ES"/>
        </w:rPr>
        <w:t>toria con Apelación en subsidio y Nulidad concomitante en contra del referido Acuerdo, según su Memorial de fecha 18 de Noviembre del 2014, presentado ante la Ventanilla Única del Consejo de Transporte Público en esa misma fecha, al Expediente No. 289898.</w:t>
      </w:r>
    </w:p>
    <w:p w:rsidR="00000000" w:rsidRDefault="002F1BC6">
      <w:pPr>
        <w:numPr>
          <w:ilvl w:val="0"/>
          <w:numId w:val="1"/>
        </w:numPr>
        <w:kinsoku w:val="0"/>
        <w:overflowPunct w:val="0"/>
        <w:autoSpaceDE/>
        <w:autoSpaceDN/>
        <w:adjustRightInd/>
        <w:spacing w:before="313" w:line="308" w:lineRule="exact"/>
        <w:ind w:right="144"/>
        <w:jc w:val="both"/>
        <w:textAlignment w:val="baseline"/>
        <w:rPr>
          <w:spacing w:val="4"/>
          <w:sz w:val="26"/>
          <w:szCs w:val="26"/>
          <w:lang w:val="es-ES" w:eastAsia="es-ES"/>
        </w:rPr>
      </w:pPr>
      <w:r>
        <w:rPr>
          <w:spacing w:val="4"/>
          <w:sz w:val="26"/>
          <w:szCs w:val="26"/>
          <w:lang w:val="es-ES" w:eastAsia="es-ES"/>
        </w:rPr>
        <w:t>En Primera Instancia y en mérito de la valoración que le realiza su Dirección Jurídica, según oficio No. DAJ 2015-001131, la Junta Directiva del referido Consejo, mediante su Acuerdo No. 7.3.1 de su Sesión Ordinaria No. 20</w:t>
      </w:r>
      <w:r>
        <w:rPr>
          <w:spacing w:val="4"/>
          <w:sz w:val="26"/>
          <w:szCs w:val="26"/>
          <w:lang w:val="es-ES" w:eastAsia="es-ES"/>
        </w:rPr>
        <w:softHyphen/>
        <w:t>2015 del 15 de Abril del 2015, di</w:t>
      </w:r>
      <w:r>
        <w:rPr>
          <w:spacing w:val="4"/>
          <w:sz w:val="26"/>
          <w:szCs w:val="26"/>
          <w:lang w:val="es-ES" w:eastAsia="es-ES"/>
        </w:rPr>
        <w:t>spone Rechazar el Recurso de Revocatoria y la</w:t>
      </w:r>
    </w:p>
    <w:p w:rsidR="00000000" w:rsidRDefault="002F1BC6">
      <w:pPr>
        <w:widowControl/>
        <w:rPr>
          <w:sz w:val="24"/>
          <w:szCs w:val="24"/>
        </w:rPr>
        <w:sectPr w:rsidR="00000000">
          <w:pgSz w:w="12134" w:h="15840"/>
          <w:pgMar w:top="1400" w:right="1444" w:bottom="790" w:left="1650" w:header="720" w:footer="720" w:gutter="0"/>
          <w:cols w:space="720"/>
          <w:noEndnote/>
        </w:sectPr>
      </w:pPr>
    </w:p>
    <w:p w:rsidR="00000000" w:rsidRDefault="002F1BC6">
      <w:pPr>
        <w:kinsoku w:val="0"/>
        <w:overflowPunct w:val="0"/>
        <w:autoSpaceDE/>
        <w:autoSpaceDN/>
        <w:adjustRightInd/>
        <w:spacing w:line="311" w:lineRule="exact"/>
        <w:ind w:right="576"/>
        <w:jc w:val="both"/>
        <w:textAlignment w:val="baseline"/>
        <w:rPr>
          <w:sz w:val="26"/>
          <w:szCs w:val="26"/>
          <w:lang w:val="es-ES" w:eastAsia="es-ES"/>
        </w:rPr>
      </w:pPr>
      <w:r>
        <w:rPr>
          <w:sz w:val="26"/>
          <w:szCs w:val="26"/>
          <w:lang w:val="es-ES" w:eastAsia="es-ES"/>
        </w:rPr>
        <w:lastRenderedPageBreak/>
        <w:t>Acción de Nulidad interpuestos por la Interesada y elevar la Apelación subsidiaria ante este Tribunal.</w:t>
      </w:r>
    </w:p>
    <w:p w:rsidR="00000000" w:rsidRDefault="002F1BC6">
      <w:pPr>
        <w:tabs>
          <w:tab w:val="left" w:pos="720"/>
        </w:tabs>
        <w:kinsoku w:val="0"/>
        <w:overflowPunct w:val="0"/>
        <w:autoSpaceDE/>
        <w:autoSpaceDN/>
        <w:adjustRightInd/>
        <w:spacing w:before="292" w:line="312" w:lineRule="exact"/>
        <w:ind w:right="576"/>
        <w:jc w:val="both"/>
        <w:textAlignment w:val="baseline"/>
        <w:rPr>
          <w:sz w:val="26"/>
          <w:szCs w:val="26"/>
          <w:lang w:val="es-ES" w:eastAsia="es-ES"/>
        </w:rPr>
      </w:pPr>
      <w:r>
        <w:rPr>
          <w:b/>
          <w:bCs/>
          <w:sz w:val="26"/>
          <w:szCs w:val="26"/>
          <w:lang w:val="es-ES" w:eastAsia="es-ES"/>
        </w:rPr>
        <w:t>4.-</w:t>
      </w:r>
      <w:r>
        <w:rPr>
          <w:b/>
          <w:bCs/>
          <w:sz w:val="26"/>
          <w:szCs w:val="26"/>
          <w:lang w:val="es-ES" w:eastAsia="es-ES"/>
        </w:rPr>
        <w:tab/>
      </w:r>
      <w:r>
        <w:rPr>
          <w:sz w:val="26"/>
          <w:szCs w:val="26"/>
          <w:lang w:val="es-ES" w:eastAsia="es-ES"/>
        </w:rPr>
        <w:t>En observancia de los aspectos conducentes del caso y conforme los Té</w:t>
      </w:r>
      <w:r>
        <w:rPr>
          <w:sz w:val="26"/>
          <w:szCs w:val="26"/>
          <w:lang w:val="es-ES" w:eastAsia="es-ES"/>
        </w:rPr>
        <w:t>rminos y Prescripciones de Ley, procede a Resolver este Tribunal.</w:t>
      </w:r>
    </w:p>
    <w:p w:rsidR="00000000" w:rsidRDefault="002F1BC6">
      <w:pPr>
        <w:kinsoku w:val="0"/>
        <w:overflowPunct w:val="0"/>
        <w:autoSpaceDE/>
        <w:autoSpaceDN/>
        <w:adjustRightInd/>
        <w:spacing w:before="635" w:line="288" w:lineRule="exact"/>
        <w:textAlignment w:val="baseline"/>
        <w:rPr>
          <w:b/>
          <w:bCs/>
          <w:i/>
          <w:iCs/>
          <w:spacing w:val="-16"/>
          <w:sz w:val="26"/>
          <w:szCs w:val="26"/>
          <w:lang w:val="es-ES" w:eastAsia="es-ES"/>
        </w:rPr>
      </w:pPr>
      <w:r>
        <w:rPr>
          <w:b/>
          <w:bCs/>
          <w:i/>
          <w:iCs/>
          <w:spacing w:val="-16"/>
          <w:sz w:val="26"/>
          <w:szCs w:val="26"/>
          <w:lang w:val="es-ES" w:eastAsia="es-ES"/>
        </w:rPr>
        <w:t>REDACTA EL JUEZ QUESADA AGUIRRE,</w:t>
      </w:r>
    </w:p>
    <w:p w:rsidR="00000000" w:rsidRDefault="002F1BC6">
      <w:pPr>
        <w:kinsoku w:val="0"/>
        <w:overflowPunct w:val="0"/>
        <w:autoSpaceDE/>
        <w:autoSpaceDN/>
        <w:adjustRightInd/>
        <w:spacing w:before="325" w:line="288" w:lineRule="exact"/>
        <w:jc w:val="center"/>
        <w:textAlignment w:val="baseline"/>
        <w:rPr>
          <w:b/>
          <w:bCs/>
          <w:i/>
          <w:iCs/>
          <w:spacing w:val="7"/>
          <w:sz w:val="26"/>
          <w:szCs w:val="26"/>
          <w:lang w:val="es-ES" w:eastAsia="es-ES"/>
        </w:rPr>
      </w:pPr>
      <w:r>
        <w:rPr>
          <w:b/>
          <w:bCs/>
          <w:i/>
          <w:iCs/>
          <w:spacing w:val="7"/>
          <w:sz w:val="26"/>
          <w:szCs w:val="26"/>
          <w:lang w:val="es-ES" w:eastAsia="es-ES"/>
        </w:rPr>
        <w:t>Considerando</w:t>
      </w:r>
    </w:p>
    <w:p w:rsidR="00000000" w:rsidRDefault="002F1BC6">
      <w:pPr>
        <w:kinsoku w:val="0"/>
        <w:overflowPunct w:val="0"/>
        <w:autoSpaceDE/>
        <w:autoSpaceDN/>
        <w:adjustRightInd/>
        <w:spacing w:before="313" w:line="312" w:lineRule="exact"/>
        <w:ind w:right="576"/>
        <w:jc w:val="both"/>
        <w:textAlignment w:val="baseline"/>
        <w:rPr>
          <w:sz w:val="26"/>
          <w:szCs w:val="26"/>
          <w:lang w:val="es-ES" w:eastAsia="es-ES"/>
        </w:rPr>
      </w:pPr>
      <w:r>
        <w:rPr>
          <w:b/>
          <w:bCs/>
          <w:sz w:val="26"/>
          <w:szCs w:val="26"/>
          <w:lang w:val="es-ES" w:eastAsia="es-ES"/>
        </w:rPr>
        <w:t xml:space="preserve">1.- SOBRE LA COMPETENCIA: </w:t>
      </w:r>
      <w:r>
        <w:rPr>
          <w:sz w:val="26"/>
          <w:szCs w:val="26"/>
          <w:lang w:val="es-ES" w:eastAsia="es-ES"/>
        </w:rPr>
        <w:t xml:space="preserve">El Tribunal Administrativo de Transporte es el órgano competente para conocer y resolver el presente </w:t>
      </w:r>
      <w:r>
        <w:rPr>
          <w:sz w:val="19"/>
          <w:szCs w:val="19"/>
          <w:lang w:val="es-ES" w:eastAsia="es-ES"/>
        </w:rPr>
        <w:t>RECURSO DE APELAC</w:t>
      </w:r>
      <w:r>
        <w:rPr>
          <w:sz w:val="19"/>
          <w:szCs w:val="19"/>
          <w:lang w:val="es-ES" w:eastAsia="es-ES"/>
        </w:rPr>
        <w:t xml:space="preserve">IÓN, </w:t>
      </w:r>
      <w:r>
        <w:rPr>
          <w:sz w:val="26"/>
          <w:szCs w:val="26"/>
          <w:lang w:val="es-ES" w:eastAsia="es-ES"/>
        </w:rPr>
        <w:t>de conformidad con el Artículo 22 de la Ley Reguladora del Servicio Público de Transporte Remunerado de Personas en Vehículos en la Modalidad de Taxi, No. 7969 de 22 de diciembre de 1999.</w:t>
      </w:r>
    </w:p>
    <w:p w:rsidR="00000000" w:rsidRDefault="002F1BC6">
      <w:pPr>
        <w:kinsoku w:val="0"/>
        <w:overflowPunct w:val="0"/>
        <w:autoSpaceDE/>
        <w:autoSpaceDN/>
        <w:adjustRightInd/>
        <w:spacing w:before="284" w:line="312" w:lineRule="exact"/>
        <w:ind w:right="576"/>
        <w:jc w:val="both"/>
        <w:textAlignment w:val="baseline"/>
        <w:rPr>
          <w:spacing w:val="4"/>
          <w:sz w:val="26"/>
          <w:szCs w:val="26"/>
          <w:lang w:val="es-ES" w:eastAsia="es-ES"/>
        </w:rPr>
      </w:pPr>
      <w:r>
        <w:rPr>
          <w:b/>
          <w:bCs/>
          <w:spacing w:val="4"/>
          <w:sz w:val="26"/>
          <w:szCs w:val="26"/>
          <w:lang w:val="es-ES" w:eastAsia="es-ES"/>
        </w:rPr>
        <w:t xml:space="preserve">2.- LA ADMISIBILIDAD DEL RECURSO: </w:t>
      </w:r>
      <w:r>
        <w:rPr>
          <w:b/>
          <w:bCs/>
          <w:spacing w:val="4"/>
          <w:sz w:val="26"/>
          <w:szCs w:val="26"/>
          <w:u w:val="single"/>
          <w:lang w:val="es-ES" w:eastAsia="es-ES"/>
        </w:rPr>
        <w:t>En cuanto a la Legitimación:</w:t>
      </w:r>
      <w:r>
        <w:rPr>
          <w:spacing w:val="4"/>
          <w:sz w:val="26"/>
          <w:szCs w:val="26"/>
          <w:lang w:val="es-ES" w:eastAsia="es-ES"/>
        </w:rPr>
        <w:t xml:space="preserve"> </w:t>
      </w:r>
      <w:r>
        <w:rPr>
          <w:spacing w:val="4"/>
          <w:sz w:val="26"/>
          <w:szCs w:val="26"/>
          <w:lang w:val="es-ES" w:eastAsia="es-ES"/>
        </w:rPr>
        <w:t>al recurrente se le canceló el Derecho de Concesión de Taxi relativo a la placa No. TP-</w:t>
      </w:r>
      <w:r w:rsidR="00525B86">
        <w:rPr>
          <w:spacing w:val="4"/>
          <w:sz w:val="26"/>
          <w:szCs w:val="26"/>
          <w:lang w:val="es-ES" w:eastAsia="es-ES"/>
        </w:rPr>
        <w:t>XXX</w:t>
      </w:r>
      <w:r>
        <w:rPr>
          <w:spacing w:val="4"/>
          <w:sz w:val="26"/>
          <w:szCs w:val="26"/>
          <w:lang w:val="es-ES" w:eastAsia="es-ES"/>
        </w:rPr>
        <w:t xml:space="preserve">, mediante el acuerdo impugnado, por lo que cuenta con la Legitimación necesaria para actuar en el presente asunto. </w:t>
      </w:r>
      <w:r>
        <w:rPr>
          <w:b/>
          <w:bCs/>
          <w:spacing w:val="4"/>
          <w:sz w:val="26"/>
          <w:szCs w:val="26"/>
          <w:u w:val="single"/>
          <w:lang w:val="es-ES" w:eastAsia="es-ES"/>
        </w:rPr>
        <w:t>En cuanto al plazo:</w:t>
      </w:r>
      <w:r>
        <w:rPr>
          <w:spacing w:val="4"/>
          <w:sz w:val="26"/>
          <w:szCs w:val="26"/>
          <w:lang w:val="es-ES" w:eastAsia="es-ES"/>
        </w:rPr>
        <w:t xml:space="preserve"> El Recurso de Apelación fue pr</w:t>
      </w:r>
      <w:r>
        <w:rPr>
          <w:spacing w:val="4"/>
          <w:sz w:val="26"/>
          <w:szCs w:val="26"/>
          <w:lang w:val="es-ES" w:eastAsia="es-ES"/>
        </w:rPr>
        <w:t>esentado el día 18 de Noviembre del 2014; habiéndose comunicado el Acto Impugnado en fecha 12 de Noviembre del 2014. Razón por la debe tenerse como establecido dentro del plazo a que alude el Artículo No. 11 de la Ley No. 7969. -</w:t>
      </w:r>
    </w:p>
    <w:p w:rsidR="00000000" w:rsidRDefault="002F1BC6">
      <w:pPr>
        <w:kinsoku w:val="0"/>
        <w:overflowPunct w:val="0"/>
        <w:autoSpaceDE/>
        <w:autoSpaceDN/>
        <w:adjustRightInd/>
        <w:spacing w:before="300" w:line="305" w:lineRule="exact"/>
        <w:ind w:right="576"/>
        <w:jc w:val="both"/>
        <w:textAlignment w:val="baseline"/>
        <w:rPr>
          <w:sz w:val="26"/>
          <w:szCs w:val="26"/>
          <w:lang w:val="es-ES" w:eastAsia="es-ES"/>
        </w:rPr>
      </w:pPr>
      <w:r>
        <w:rPr>
          <w:b/>
          <w:bCs/>
          <w:sz w:val="26"/>
          <w:szCs w:val="26"/>
          <w:lang w:val="es-ES" w:eastAsia="es-ES"/>
        </w:rPr>
        <w:t>3.- SOBRE LOS HECHOS PROBA</w:t>
      </w:r>
      <w:r>
        <w:rPr>
          <w:b/>
          <w:bCs/>
          <w:sz w:val="26"/>
          <w:szCs w:val="26"/>
          <w:lang w:val="es-ES" w:eastAsia="es-ES"/>
        </w:rPr>
        <w:t xml:space="preserve">DOS: </w:t>
      </w:r>
      <w:r>
        <w:rPr>
          <w:sz w:val="26"/>
          <w:szCs w:val="26"/>
          <w:lang w:val="es-ES" w:eastAsia="es-ES"/>
        </w:rPr>
        <w:t>De importancia para la decisión de este asunto, se estiman como debidamente demostrados los siguientes hechos:</w:t>
      </w:r>
    </w:p>
    <w:p w:rsidR="00000000" w:rsidRDefault="002F1BC6">
      <w:pPr>
        <w:numPr>
          <w:ilvl w:val="0"/>
          <w:numId w:val="2"/>
        </w:numPr>
        <w:kinsoku w:val="0"/>
        <w:overflowPunct w:val="0"/>
        <w:autoSpaceDE/>
        <w:autoSpaceDN/>
        <w:adjustRightInd/>
        <w:spacing w:before="299" w:line="311" w:lineRule="exact"/>
        <w:ind w:right="576"/>
        <w:jc w:val="both"/>
        <w:textAlignment w:val="baseline"/>
        <w:rPr>
          <w:i/>
          <w:iCs/>
          <w:sz w:val="26"/>
          <w:szCs w:val="26"/>
          <w:lang w:val="es-ES" w:eastAsia="es-ES"/>
        </w:rPr>
      </w:pPr>
      <w:r>
        <w:rPr>
          <w:i/>
          <w:iCs/>
          <w:sz w:val="26"/>
          <w:szCs w:val="26"/>
          <w:lang w:val="es-ES" w:eastAsia="es-ES"/>
        </w:rPr>
        <w:t>Que mediante su Acuerdo No. 7.18 de la Sesión Ordinaria No. 59-2014 de fecha 15 de Octubre del año 2014, la Junta Directiva del Consej</w:t>
      </w:r>
      <w:r>
        <w:rPr>
          <w:i/>
          <w:iCs/>
          <w:sz w:val="26"/>
          <w:szCs w:val="26"/>
          <w:lang w:val="es-ES" w:eastAsia="es-ES"/>
        </w:rPr>
        <w:t>o de Transporte Público, dispuso Denegar una Solicitud de traspaso de Concesión de Taxi (Mortís Causa) realizada por la Señora S</w:t>
      </w:r>
      <w:r w:rsidR="00525B86">
        <w:rPr>
          <w:i/>
          <w:iCs/>
          <w:sz w:val="26"/>
          <w:szCs w:val="26"/>
          <w:lang w:val="es-ES" w:eastAsia="es-ES"/>
        </w:rPr>
        <w:t>.M</w:t>
      </w:r>
      <w:r>
        <w:rPr>
          <w:i/>
          <w:iCs/>
          <w:sz w:val="26"/>
          <w:szCs w:val="26"/>
          <w:lang w:val="es-ES" w:eastAsia="es-ES"/>
        </w:rPr>
        <w:t>, a la vez, Ordena la Cancelación de la Concesión de Taxi Placas TP-</w:t>
      </w:r>
      <w:r w:rsidR="00525B86">
        <w:rPr>
          <w:i/>
          <w:iCs/>
          <w:sz w:val="26"/>
          <w:szCs w:val="26"/>
          <w:lang w:val="es-ES" w:eastAsia="es-ES"/>
        </w:rPr>
        <w:t>XXX</w:t>
      </w:r>
      <w:r>
        <w:rPr>
          <w:i/>
          <w:iCs/>
          <w:sz w:val="26"/>
          <w:szCs w:val="26"/>
          <w:lang w:val="es-ES" w:eastAsia="es-ES"/>
        </w:rPr>
        <w:t>, según las determinaciones del numeral 42 bis</w:t>
      </w:r>
      <w:r>
        <w:rPr>
          <w:i/>
          <w:iCs/>
          <w:sz w:val="26"/>
          <w:szCs w:val="26"/>
          <w:lang w:val="es-ES" w:eastAsia="es-ES"/>
        </w:rPr>
        <w:t>. de la Ley No. 7969.</w:t>
      </w:r>
    </w:p>
    <w:p w:rsidR="00000000" w:rsidRDefault="002F1BC6">
      <w:pPr>
        <w:numPr>
          <w:ilvl w:val="0"/>
          <w:numId w:val="2"/>
        </w:numPr>
        <w:kinsoku w:val="0"/>
        <w:overflowPunct w:val="0"/>
        <w:autoSpaceDE/>
        <w:autoSpaceDN/>
        <w:adjustRightInd/>
        <w:spacing w:before="302" w:line="311" w:lineRule="exact"/>
        <w:ind w:right="576"/>
        <w:jc w:val="both"/>
        <w:textAlignment w:val="baseline"/>
        <w:rPr>
          <w:i/>
          <w:iCs/>
          <w:sz w:val="26"/>
          <w:szCs w:val="26"/>
          <w:lang w:val="es-ES" w:eastAsia="es-ES"/>
        </w:rPr>
      </w:pPr>
      <w:r>
        <w:rPr>
          <w:i/>
          <w:iCs/>
          <w:sz w:val="26"/>
          <w:szCs w:val="26"/>
          <w:lang w:val="es-ES" w:eastAsia="es-ES"/>
        </w:rPr>
        <w:t>Que enterada del Acto antes citado, la Señora S</w:t>
      </w:r>
      <w:r w:rsidR="00525B86">
        <w:rPr>
          <w:i/>
          <w:iCs/>
          <w:sz w:val="26"/>
          <w:szCs w:val="26"/>
          <w:lang w:val="es-ES" w:eastAsia="es-ES"/>
        </w:rPr>
        <w:t>.M.</w:t>
      </w:r>
      <w:r>
        <w:rPr>
          <w:i/>
          <w:iCs/>
          <w:sz w:val="26"/>
          <w:szCs w:val="26"/>
          <w:lang w:val="es-ES" w:eastAsia="es-ES"/>
        </w:rPr>
        <w:t xml:space="preserve"> procede a interponer formales Recursos de Revocatoria con Apelación en subsidio y Nulidad concomitante en contra del referido Acuerdo, según su Memorial de fecha 18 de Noviemb</w:t>
      </w:r>
      <w:r>
        <w:rPr>
          <w:i/>
          <w:iCs/>
          <w:sz w:val="26"/>
          <w:szCs w:val="26"/>
          <w:lang w:val="es-ES" w:eastAsia="es-ES"/>
        </w:rPr>
        <w:t>re del 2014, presentado ante la Ventanilla Única del Consejo de Transporte Público en esa misma fecha, al Expediente No. 289898; y</w:t>
      </w:r>
    </w:p>
    <w:p w:rsidR="00000000" w:rsidRDefault="002F1BC6">
      <w:pPr>
        <w:tabs>
          <w:tab w:val="right" w:pos="9432"/>
        </w:tabs>
        <w:kinsoku w:val="0"/>
        <w:overflowPunct w:val="0"/>
        <w:autoSpaceDE/>
        <w:autoSpaceDN/>
        <w:adjustRightInd/>
        <w:spacing w:before="566" w:line="725" w:lineRule="exact"/>
        <w:ind w:left="5976"/>
        <w:textAlignment w:val="baseline"/>
        <w:rPr>
          <w:sz w:val="26"/>
          <w:szCs w:val="26"/>
          <w:lang w:val="es-ES" w:eastAsia="es-ES"/>
        </w:rPr>
      </w:pPr>
      <w:r>
        <w:rPr>
          <w:i/>
          <w:iCs/>
          <w:sz w:val="22"/>
          <w:szCs w:val="22"/>
          <w:lang w:val="es-ES" w:eastAsia="es-ES"/>
        </w:rPr>
        <w:tab/>
      </w:r>
    </w:p>
    <w:p w:rsidR="00000000" w:rsidRDefault="002F1BC6">
      <w:pPr>
        <w:widowControl/>
        <w:rPr>
          <w:sz w:val="24"/>
          <w:szCs w:val="24"/>
        </w:rPr>
        <w:sectPr w:rsidR="00000000">
          <w:pgSz w:w="12134" w:h="15840"/>
          <w:pgMar w:top="1420" w:right="955" w:bottom="170" w:left="1699" w:header="720" w:footer="720" w:gutter="0"/>
          <w:cols w:space="720"/>
          <w:noEndnote/>
        </w:sectPr>
      </w:pPr>
    </w:p>
    <w:p w:rsidR="00000000" w:rsidRDefault="002F1BC6">
      <w:pPr>
        <w:tabs>
          <w:tab w:val="right" w:pos="8928"/>
        </w:tabs>
        <w:kinsoku w:val="0"/>
        <w:overflowPunct w:val="0"/>
        <w:autoSpaceDE/>
        <w:autoSpaceDN/>
        <w:adjustRightInd/>
        <w:spacing w:line="303" w:lineRule="exact"/>
        <w:jc w:val="both"/>
        <w:textAlignment w:val="baseline"/>
        <w:rPr>
          <w:i/>
          <w:iCs/>
          <w:sz w:val="26"/>
          <w:szCs w:val="26"/>
          <w:lang w:val="es-ES" w:eastAsia="es-ES"/>
        </w:rPr>
      </w:pPr>
      <w:r w:rsidRPr="00525B86">
        <w:rPr>
          <w:b/>
          <w:i/>
          <w:iCs/>
          <w:sz w:val="26"/>
          <w:szCs w:val="26"/>
          <w:lang w:val="es-ES" w:eastAsia="es-ES"/>
        </w:rPr>
        <w:lastRenderedPageBreak/>
        <w:t>c.-</w:t>
      </w:r>
      <w:r>
        <w:rPr>
          <w:i/>
          <w:iCs/>
          <w:sz w:val="26"/>
          <w:szCs w:val="26"/>
          <w:lang w:val="es-ES" w:eastAsia="es-ES"/>
        </w:rPr>
        <w:tab/>
        <w:t>Que en Primera Instancia y en mérito de la valoración que le realiza su</w:t>
      </w:r>
    </w:p>
    <w:p w:rsidR="00000000" w:rsidRDefault="002F1BC6">
      <w:pPr>
        <w:kinsoku w:val="0"/>
        <w:overflowPunct w:val="0"/>
        <w:autoSpaceDE/>
        <w:autoSpaceDN/>
        <w:adjustRightInd/>
        <w:spacing w:before="14" w:line="303" w:lineRule="exact"/>
        <w:ind w:right="144"/>
        <w:jc w:val="both"/>
        <w:textAlignment w:val="baseline"/>
        <w:rPr>
          <w:i/>
          <w:iCs/>
          <w:sz w:val="26"/>
          <w:szCs w:val="26"/>
          <w:lang w:val="es-ES" w:eastAsia="es-ES"/>
        </w:rPr>
      </w:pPr>
      <w:r>
        <w:rPr>
          <w:i/>
          <w:iCs/>
          <w:sz w:val="26"/>
          <w:szCs w:val="26"/>
          <w:lang w:val="es-ES" w:eastAsia="es-ES"/>
        </w:rPr>
        <w:t>Dirección Jurídica, según oficio No. DAJ 2015-001131, la Junta Directiva del referido Consejo, mediante su Acuerdo No. 7.3.1 de su Sesió</w:t>
      </w:r>
      <w:r>
        <w:rPr>
          <w:i/>
          <w:iCs/>
          <w:sz w:val="26"/>
          <w:szCs w:val="26"/>
          <w:lang w:val="es-ES" w:eastAsia="es-ES"/>
        </w:rPr>
        <w:t>n Ordinaria No. 20</w:t>
      </w:r>
      <w:r>
        <w:rPr>
          <w:i/>
          <w:iCs/>
          <w:sz w:val="26"/>
          <w:szCs w:val="26"/>
          <w:lang w:val="es-ES" w:eastAsia="es-ES"/>
        </w:rPr>
        <w:softHyphen/>
        <w:t>2015 del 15 de Abril del 2015, dispone Rechazar el Recurso de Revocatoria y la Acción de Nulidad interpuestos por la Interesada y elevar la Apelación subsidiaria ante este Tribunal.</w:t>
      </w:r>
    </w:p>
    <w:p w:rsidR="00000000" w:rsidRDefault="002F1BC6">
      <w:pPr>
        <w:numPr>
          <w:ilvl w:val="0"/>
          <w:numId w:val="3"/>
        </w:numPr>
        <w:kinsoku w:val="0"/>
        <w:overflowPunct w:val="0"/>
        <w:autoSpaceDE/>
        <w:autoSpaceDN/>
        <w:adjustRightInd/>
        <w:spacing w:before="323" w:line="288" w:lineRule="exact"/>
        <w:textAlignment w:val="baseline"/>
        <w:rPr>
          <w:b/>
          <w:bCs/>
          <w:spacing w:val="2"/>
          <w:sz w:val="23"/>
          <w:szCs w:val="23"/>
          <w:lang w:val="es-ES" w:eastAsia="es-ES"/>
        </w:rPr>
      </w:pPr>
      <w:r>
        <w:rPr>
          <w:b/>
          <w:bCs/>
          <w:spacing w:val="2"/>
          <w:sz w:val="23"/>
          <w:szCs w:val="23"/>
          <w:lang w:val="es-ES" w:eastAsia="es-ES"/>
        </w:rPr>
        <w:t>HECHOS NO PROBADOS:</w:t>
      </w:r>
    </w:p>
    <w:p w:rsidR="00000000" w:rsidRDefault="002F1BC6">
      <w:pPr>
        <w:kinsoku w:val="0"/>
        <w:overflowPunct w:val="0"/>
        <w:autoSpaceDE/>
        <w:autoSpaceDN/>
        <w:adjustRightInd/>
        <w:spacing w:before="333" w:line="296" w:lineRule="exact"/>
        <w:ind w:right="144"/>
        <w:jc w:val="both"/>
        <w:textAlignment w:val="baseline"/>
        <w:rPr>
          <w:sz w:val="26"/>
          <w:szCs w:val="26"/>
          <w:lang w:val="es-ES" w:eastAsia="es-ES"/>
        </w:rPr>
      </w:pPr>
      <w:r>
        <w:rPr>
          <w:sz w:val="26"/>
          <w:szCs w:val="26"/>
          <w:lang w:val="es-ES" w:eastAsia="es-ES"/>
        </w:rPr>
        <w:t xml:space="preserve">No se tienen como demostrado </w:t>
      </w:r>
      <w:r>
        <w:rPr>
          <w:sz w:val="26"/>
          <w:szCs w:val="26"/>
          <w:lang w:val="es-ES" w:eastAsia="es-ES"/>
        </w:rPr>
        <w:t>ningún hecho No Probado de relevancia a los presentes efectos.</w:t>
      </w:r>
    </w:p>
    <w:p w:rsidR="00000000" w:rsidRDefault="002F1BC6">
      <w:pPr>
        <w:numPr>
          <w:ilvl w:val="0"/>
          <w:numId w:val="3"/>
        </w:numPr>
        <w:kinsoku w:val="0"/>
        <w:overflowPunct w:val="0"/>
        <w:autoSpaceDE/>
        <w:autoSpaceDN/>
        <w:adjustRightInd/>
        <w:spacing w:before="330" w:line="288" w:lineRule="exact"/>
        <w:textAlignment w:val="baseline"/>
        <w:rPr>
          <w:b/>
          <w:bCs/>
          <w:sz w:val="23"/>
          <w:szCs w:val="23"/>
          <w:lang w:val="es-ES" w:eastAsia="es-ES"/>
        </w:rPr>
      </w:pPr>
      <w:r>
        <w:rPr>
          <w:b/>
          <w:bCs/>
          <w:sz w:val="23"/>
          <w:szCs w:val="23"/>
          <w:lang w:val="es-ES" w:eastAsia="es-ES"/>
        </w:rPr>
        <w:t>SOBRE EL FONDO:</w:t>
      </w:r>
    </w:p>
    <w:p w:rsidR="00000000" w:rsidRDefault="002F1BC6">
      <w:pPr>
        <w:kinsoku w:val="0"/>
        <w:overflowPunct w:val="0"/>
        <w:autoSpaceDE/>
        <w:autoSpaceDN/>
        <w:adjustRightInd/>
        <w:spacing w:before="333" w:line="307" w:lineRule="exact"/>
        <w:ind w:right="144"/>
        <w:jc w:val="both"/>
        <w:textAlignment w:val="baseline"/>
        <w:rPr>
          <w:spacing w:val="5"/>
          <w:sz w:val="26"/>
          <w:szCs w:val="26"/>
          <w:lang w:val="es-ES" w:eastAsia="es-ES"/>
        </w:rPr>
      </w:pPr>
      <w:r>
        <w:rPr>
          <w:spacing w:val="5"/>
          <w:sz w:val="26"/>
          <w:szCs w:val="26"/>
          <w:lang w:val="es-ES" w:eastAsia="es-ES"/>
        </w:rPr>
        <w:t>De nuestro Estudio de este Caso hemos podido visualizar que en el año 2007 y conforme nuestra Resolución No. 1639-2007 de las 10:30 horas del 28 de Setiembre del 2007, est</w:t>
      </w:r>
      <w:r>
        <w:rPr>
          <w:spacing w:val="5"/>
          <w:sz w:val="26"/>
          <w:szCs w:val="26"/>
          <w:lang w:val="es-ES" w:eastAsia="es-ES"/>
        </w:rPr>
        <w:t xml:space="preserve">e Tribunal dispuso que no existía ninguna Norma Legal </w:t>
      </w:r>
      <w:r>
        <w:rPr>
          <w:i/>
          <w:iCs/>
          <w:spacing w:val="5"/>
          <w:sz w:val="26"/>
          <w:szCs w:val="26"/>
          <w:lang w:val="es-ES" w:eastAsia="es-ES"/>
        </w:rPr>
        <w:t xml:space="preserve">(Principio de Legalidad) </w:t>
      </w:r>
      <w:r>
        <w:rPr>
          <w:spacing w:val="5"/>
          <w:sz w:val="26"/>
          <w:szCs w:val="26"/>
          <w:lang w:val="es-ES" w:eastAsia="es-ES"/>
        </w:rPr>
        <w:t>que Autorizara el Traspaso Mortis Causa de las Concesiones de Taxi y que, más bien, a tenor de las Disposiciones de los Contratos de Concesión, de la Ley No. 7969 y de la Ley de</w:t>
      </w:r>
      <w:r>
        <w:rPr>
          <w:spacing w:val="5"/>
          <w:sz w:val="26"/>
          <w:szCs w:val="26"/>
          <w:lang w:val="es-ES" w:eastAsia="es-ES"/>
        </w:rPr>
        <w:t xml:space="preserve"> la Contratación Administrativa y de su Reglamento vigentes, dichas Concesiones </w:t>
      </w:r>
      <w:r>
        <w:rPr>
          <w:i/>
          <w:iCs/>
          <w:spacing w:val="5"/>
          <w:sz w:val="26"/>
          <w:szCs w:val="26"/>
          <w:lang w:val="es-ES" w:eastAsia="es-ES"/>
        </w:rPr>
        <w:t xml:space="preserve">(como Contratos Administrativos que son) </w:t>
      </w:r>
      <w:r>
        <w:rPr>
          <w:spacing w:val="5"/>
          <w:sz w:val="26"/>
          <w:szCs w:val="26"/>
          <w:lang w:val="es-ES" w:eastAsia="es-ES"/>
        </w:rPr>
        <w:t>debían de extinguirse o fenecerse.</w:t>
      </w:r>
    </w:p>
    <w:p w:rsidR="00000000" w:rsidRDefault="002F1BC6">
      <w:pPr>
        <w:kinsoku w:val="0"/>
        <w:overflowPunct w:val="0"/>
        <w:autoSpaceDE/>
        <w:autoSpaceDN/>
        <w:adjustRightInd/>
        <w:spacing w:before="321" w:line="307" w:lineRule="exact"/>
        <w:ind w:right="144"/>
        <w:jc w:val="both"/>
        <w:textAlignment w:val="baseline"/>
        <w:rPr>
          <w:sz w:val="26"/>
          <w:szCs w:val="26"/>
          <w:lang w:val="es-ES" w:eastAsia="es-ES"/>
        </w:rPr>
      </w:pPr>
      <w:r>
        <w:rPr>
          <w:sz w:val="26"/>
          <w:szCs w:val="26"/>
          <w:lang w:val="es-ES" w:eastAsia="es-ES"/>
        </w:rPr>
        <w:t>El Asunto anterior, a saber el relativo a la Posibilidad Jurídico/Normativa de que el Consejo de Tra</w:t>
      </w:r>
      <w:r>
        <w:rPr>
          <w:sz w:val="26"/>
          <w:szCs w:val="26"/>
          <w:lang w:val="es-ES" w:eastAsia="es-ES"/>
        </w:rPr>
        <w:t>nsporte Público pudiera Autorizar o No el Traspaso de una Concesión de Taxi ante la Muerte de su Titular, se consulta a la Procuraduría General de la República, la cual mediante su Dictamen C-140</w:t>
      </w:r>
      <w:r>
        <w:rPr>
          <w:sz w:val="26"/>
          <w:szCs w:val="26"/>
          <w:lang w:val="es-ES" w:eastAsia="es-ES"/>
        </w:rPr>
        <w:softHyphen/>
        <w:t>2008 del 30 de Abril del 2008 DECLINA SU COMPETENCIA PARA RE</w:t>
      </w:r>
      <w:r>
        <w:rPr>
          <w:sz w:val="26"/>
          <w:szCs w:val="26"/>
          <w:lang w:val="es-ES" w:eastAsia="es-ES"/>
        </w:rPr>
        <w:t>FERIRSE AL TEMA, PUES ESTIMA QUE SE TRATA DE MATERIA DE CONTRATACIÓN PÚBLICA, PROPIA DE LA CONTRALORÍA GENERAL DE LA REPÚBLICA.</w:t>
      </w:r>
    </w:p>
    <w:p w:rsidR="00000000" w:rsidRDefault="002F1BC6">
      <w:pPr>
        <w:kinsoku w:val="0"/>
        <w:overflowPunct w:val="0"/>
        <w:autoSpaceDE/>
        <w:autoSpaceDN/>
        <w:adjustRightInd/>
        <w:spacing w:before="328" w:line="305" w:lineRule="exact"/>
        <w:ind w:right="144"/>
        <w:jc w:val="both"/>
        <w:textAlignment w:val="baseline"/>
        <w:rPr>
          <w:sz w:val="26"/>
          <w:szCs w:val="26"/>
          <w:lang w:val="es-ES" w:eastAsia="es-ES"/>
        </w:rPr>
      </w:pPr>
      <w:r>
        <w:rPr>
          <w:sz w:val="26"/>
          <w:szCs w:val="26"/>
          <w:lang w:val="es-ES" w:eastAsia="es-ES"/>
        </w:rPr>
        <w:t xml:space="preserve">Dado todo lo anterior, el Poder Ejecutivo viene a promulgar de forma Urgente el Decreto Ejecutivo No. 34541-MOPT: </w:t>
      </w:r>
      <w:r>
        <w:rPr>
          <w:i/>
          <w:iCs/>
          <w:sz w:val="26"/>
          <w:szCs w:val="26"/>
          <w:lang w:val="es-ES" w:eastAsia="es-ES"/>
        </w:rPr>
        <w:t xml:space="preserve">"Autorización </w:t>
      </w:r>
      <w:r>
        <w:rPr>
          <w:i/>
          <w:iCs/>
          <w:sz w:val="26"/>
          <w:szCs w:val="26"/>
          <w:lang w:val="es-ES" w:eastAsia="es-ES"/>
        </w:rPr>
        <w:t xml:space="preserve">al Consejo de Transporte Público conforme a los Requisitos Previos para que Pueda Autorizar el Traspaso de la Concesión, en el Servicio Público de Taxi, cuando se Produjere la Muerte del Concesionario". </w:t>
      </w:r>
      <w:r>
        <w:rPr>
          <w:sz w:val="26"/>
          <w:szCs w:val="26"/>
          <w:lang w:val="es-ES" w:eastAsia="es-ES"/>
        </w:rPr>
        <w:t xml:space="preserve">Ello en procura de llenar el Vacío Legal existente y </w:t>
      </w:r>
      <w:r>
        <w:rPr>
          <w:sz w:val="26"/>
          <w:szCs w:val="26"/>
          <w:lang w:val="es-ES" w:eastAsia="es-ES"/>
        </w:rPr>
        <w:t>dar sustento a los Traspasos de Concesiones que se Estaban Autorizando y se Habían Autorizado en Situaciones de Muerte del Concesionario.</w:t>
      </w:r>
    </w:p>
    <w:p w:rsidR="00000000" w:rsidRDefault="002F1BC6">
      <w:pPr>
        <w:kinsoku w:val="0"/>
        <w:overflowPunct w:val="0"/>
        <w:autoSpaceDE/>
        <w:autoSpaceDN/>
        <w:adjustRightInd/>
        <w:spacing w:before="313" w:line="307" w:lineRule="exact"/>
        <w:ind w:right="144"/>
        <w:jc w:val="both"/>
        <w:textAlignment w:val="baseline"/>
        <w:rPr>
          <w:sz w:val="26"/>
          <w:szCs w:val="26"/>
          <w:lang w:val="es-ES" w:eastAsia="es-ES"/>
        </w:rPr>
      </w:pPr>
      <w:r>
        <w:rPr>
          <w:sz w:val="26"/>
          <w:szCs w:val="26"/>
          <w:lang w:val="es-ES" w:eastAsia="es-ES"/>
        </w:rPr>
        <w:t xml:space="preserve">Teniéndose que mediante su Dictamen No. C-074-2011 del 29 de Marzo del 2011, la Procuraduría General de la República, </w:t>
      </w:r>
      <w:r>
        <w:rPr>
          <w:sz w:val="26"/>
          <w:szCs w:val="26"/>
          <w:lang w:val="es-ES" w:eastAsia="es-ES"/>
        </w:rPr>
        <w:t>viene a determinar que ante Vicios de Exceso en la Potestad Reglamentaria y por No Existir Ninguna Norma</w:t>
      </w:r>
    </w:p>
    <w:p w:rsidR="00000000" w:rsidRDefault="002F1BC6">
      <w:pPr>
        <w:widowControl/>
        <w:rPr>
          <w:sz w:val="24"/>
          <w:szCs w:val="24"/>
        </w:rPr>
        <w:sectPr w:rsidR="00000000">
          <w:pgSz w:w="12134" w:h="15840"/>
          <w:pgMar w:top="1420" w:right="1459" w:bottom="823" w:left="1675" w:header="720" w:footer="720" w:gutter="0"/>
          <w:cols w:space="720"/>
          <w:noEndnote/>
        </w:sectPr>
      </w:pPr>
    </w:p>
    <w:p w:rsidR="00000000" w:rsidRDefault="002F1BC6">
      <w:pPr>
        <w:kinsoku w:val="0"/>
        <w:overflowPunct w:val="0"/>
        <w:autoSpaceDE/>
        <w:autoSpaceDN/>
        <w:adjustRightInd/>
        <w:spacing w:before="28" w:line="307" w:lineRule="exact"/>
        <w:ind w:left="72" w:right="72"/>
        <w:jc w:val="both"/>
        <w:textAlignment w:val="baseline"/>
        <w:rPr>
          <w:sz w:val="26"/>
          <w:szCs w:val="26"/>
          <w:lang w:val="es-ES" w:eastAsia="es-ES"/>
        </w:rPr>
      </w:pPr>
      <w:r>
        <w:rPr>
          <w:sz w:val="26"/>
          <w:szCs w:val="26"/>
          <w:lang w:val="es-ES" w:eastAsia="es-ES"/>
        </w:rPr>
        <w:lastRenderedPageBreak/>
        <w:t xml:space="preserve">Legal </w:t>
      </w:r>
      <w:r>
        <w:rPr>
          <w:i/>
          <w:iCs/>
          <w:sz w:val="26"/>
          <w:szCs w:val="26"/>
          <w:lang w:val="es-ES" w:eastAsia="es-ES"/>
        </w:rPr>
        <w:t xml:space="preserve">(sentido estricto y formal) </w:t>
      </w:r>
      <w:r>
        <w:rPr>
          <w:sz w:val="26"/>
          <w:szCs w:val="26"/>
          <w:lang w:val="es-ES" w:eastAsia="es-ES"/>
        </w:rPr>
        <w:t xml:space="preserve">que Autorice el Traspaso </w:t>
      </w:r>
      <w:r>
        <w:rPr>
          <w:i/>
          <w:iCs/>
          <w:sz w:val="26"/>
          <w:szCs w:val="26"/>
          <w:lang w:val="es-ES" w:eastAsia="es-ES"/>
        </w:rPr>
        <w:t xml:space="preserve">Mortis Causa </w:t>
      </w:r>
      <w:r>
        <w:rPr>
          <w:sz w:val="26"/>
          <w:szCs w:val="26"/>
          <w:lang w:val="es-ES" w:eastAsia="es-ES"/>
        </w:rPr>
        <w:t xml:space="preserve">de las Concesiones de Taxi, el Decreto Promulgado </w:t>
      </w:r>
      <w:r>
        <w:rPr>
          <w:b/>
          <w:bCs/>
          <w:sz w:val="23"/>
          <w:szCs w:val="23"/>
          <w:u w:val="single"/>
          <w:lang w:val="es-ES" w:eastAsia="es-ES"/>
        </w:rPr>
        <w:t>DEBÍA SER DESAPLICADO.</w:t>
      </w:r>
      <w:r>
        <w:rPr>
          <w:sz w:val="26"/>
          <w:szCs w:val="26"/>
          <w:lang w:val="es-ES" w:eastAsia="es-ES"/>
        </w:rPr>
        <w:t xml:space="preserve"> E indicando, además, que </w:t>
      </w:r>
      <w:r>
        <w:rPr>
          <w:b/>
          <w:bCs/>
          <w:sz w:val="23"/>
          <w:szCs w:val="23"/>
          <w:u w:val="single"/>
          <w:lang w:val="es-ES" w:eastAsia="es-ES"/>
        </w:rPr>
        <w:t>NO PROCEDÍA</w:t>
      </w:r>
      <w:r>
        <w:rPr>
          <w:sz w:val="26"/>
          <w:szCs w:val="26"/>
          <w:lang w:val="es-ES" w:eastAsia="es-ES"/>
        </w:rPr>
        <w:t xml:space="preserve"> el Traspaso </w:t>
      </w:r>
      <w:r>
        <w:rPr>
          <w:i/>
          <w:iCs/>
          <w:sz w:val="26"/>
          <w:szCs w:val="26"/>
          <w:lang w:val="es-ES" w:eastAsia="es-ES"/>
        </w:rPr>
        <w:t xml:space="preserve">Mortis Causa </w:t>
      </w:r>
      <w:r>
        <w:rPr>
          <w:sz w:val="26"/>
          <w:szCs w:val="26"/>
          <w:lang w:val="es-ES" w:eastAsia="es-ES"/>
        </w:rPr>
        <w:t>de las Concesiones de Taxi, por Falta de Sustento o Autorización Legal.</w:t>
      </w:r>
    </w:p>
    <w:p w:rsidR="00000000" w:rsidRDefault="002F1BC6">
      <w:pPr>
        <w:kinsoku w:val="0"/>
        <w:overflowPunct w:val="0"/>
        <w:autoSpaceDE/>
        <w:autoSpaceDN/>
        <w:adjustRightInd/>
        <w:spacing w:before="317" w:line="307" w:lineRule="exact"/>
        <w:ind w:left="72" w:right="72"/>
        <w:jc w:val="both"/>
        <w:textAlignment w:val="baseline"/>
        <w:rPr>
          <w:i/>
          <w:iCs/>
          <w:spacing w:val="5"/>
          <w:sz w:val="26"/>
          <w:szCs w:val="26"/>
          <w:lang w:val="es-ES" w:eastAsia="es-ES"/>
        </w:rPr>
      </w:pPr>
      <w:r>
        <w:rPr>
          <w:spacing w:val="5"/>
          <w:sz w:val="26"/>
          <w:szCs w:val="26"/>
          <w:lang w:val="es-ES" w:eastAsia="es-ES"/>
        </w:rPr>
        <w:t xml:space="preserve">Como solución a lo anterior, se recurre a la Asamblea Legislativa y ésta promulga la Ley No. 9027 del 06 de Febrero del año 2012. Misma por la cual se dispone la Procedencia </w:t>
      </w:r>
      <w:r>
        <w:rPr>
          <w:i/>
          <w:iCs/>
          <w:spacing w:val="5"/>
          <w:sz w:val="26"/>
          <w:szCs w:val="26"/>
          <w:lang w:val="es-ES" w:eastAsia="es-ES"/>
        </w:rPr>
        <w:t>(en cierta</w:t>
      </w:r>
      <w:r>
        <w:rPr>
          <w:i/>
          <w:iCs/>
          <w:spacing w:val="5"/>
          <w:sz w:val="26"/>
          <w:szCs w:val="26"/>
          <w:lang w:val="es-ES" w:eastAsia="es-ES"/>
        </w:rPr>
        <w:t xml:space="preserve">s condiciones) </w:t>
      </w:r>
      <w:r>
        <w:rPr>
          <w:spacing w:val="5"/>
          <w:sz w:val="26"/>
          <w:szCs w:val="26"/>
          <w:lang w:val="es-ES" w:eastAsia="es-ES"/>
        </w:rPr>
        <w:t xml:space="preserve">del Traspaso de las Concesiones de Taxi cuando se dé la Muerte del Concesionario </w:t>
      </w:r>
      <w:r>
        <w:rPr>
          <w:i/>
          <w:iCs/>
          <w:spacing w:val="5"/>
          <w:sz w:val="26"/>
          <w:szCs w:val="26"/>
          <w:lang w:val="es-ES" w:eastAsia="es-ES"/>
        </w:rPr>
        <w:t>(Mortis Causa).</w:t>
      </w:r>
    </w:p>
    <w:p w:rsidR="00000000" w:rsidRDefault="002F1BC6">
      <w:pPr>
        <w:kinsoku w:val="0"/>
        <w:overflowPunct w:val="0"/>
        <w:autoSpaceDE/>
        <w:autoSpaceDN/>
        <w:adjustRightInd/>
        <w:spacing w:before="328" w:line="307" w:lineRule="exact"/>
        <w:ind w:left="72" w:right="72"/>
        <w:jc w:val="both"/>
        <w:textAlignment w:val="baseline"/>
        <w:rPr>
          <w:spacing w:val="3"/>
          <w:sz w:val="26"/>
          <w:szCs w:val="26"/>
          <w:lang w:val="es-ES" w:eastAsia="es-ES"/>
        </w:rPr>
      </w:pPr>
      <w:r>
        <w:rPr>
          <w:spacing w:val="3"/>
          <w:sz w:val="26"/>
          <w:szCs w:val="26"/>
          <w:lang w:val="es-ES" w:eastAsia="es-ES"/>
        </w:rPr>
        <w:t>De lo anterior se colige que ANTES de la emisión de la Resolución No. 1639</w:t>
      </w:r>
      <w:r>
        <w:rPr>
          <w:spacing w:val="3"/>
          <w:sz w:val="26"/>
          <w:szCs w:val="26"/>
          <w:lang w:val="es-ES" w:eastAsia="es-ES"/>
        </w:rPr>
        <w:softHyphen/>
      </w:r>
      <w:r>
        <w:rPr>
          <w:spacing w:val="3"/>
          <w:sz w:val="26"/>
          <w:szCs w:val="26"/>
          <w:lang w:val="es-ES" w:eastAsia="es-ES"/>
        </w:rPr>
        <w:t>2007 de las 10:30 horas del 28 de Setiembre del 2007 de este Tribunal, se daba el Traspaso de Concesiones de Taxi cuando el Concesionario Fallecía. Práctica que del momento de nuestra Resolución referida y hasta la Promulgación del Decreto Ejecutivo No. 34</w:t>
      </w:r>
      <w:r>
        <w:rPr>
          <w:spacing w:val="3"/>
          <w:sz w:val="26"/>
          <w:szCs w:val="26"/>
          <w:lang w:val="es-ES" w:eastAsia="es-ES"/>
        </w:rPr>
        <w:t>541-MOPT en el año 2008 se tuvo como Improcedente y no se dio. Y luego de la emisión del Decreto Ejecutivo No. 34541-MOPT en Mayo del año 2008 y hasta la emisión del Dictamen No. C-074-2011 del 29 de Marzo del 2011 de la Procuraduría General de la Repúblic</w:t>
      </w:r>
      <w:r>
        <w:rPr>
          <w:spacing w:val="3"/>
          <w:sz w:val="26"/>
          <w:szCs w:val="26"/>
          <w:lang w:val="es-ES" w:eastAsia="es-ES"/>
        </w:rPr>
        <w:t xml:space="preserve">a </w:t>
      </w:r>
      <w:r>
        <w:rPr>
          <w:i/>
          <w:iCs/>
          <w:spacing w:val="3"/>
          <w:sz w:val="26"/>
          <w:szCs w:val="26"/>
          <w:lang w:val="es-ES" w:eastAsia="es-ES"/>
        </w:rPr>
        <w:t xml:space="preserve">(por cerca de Tres Años), </w:t>
      </w:r>
      <w:r>
        <w:rPr>
          <w:spacing w:val="3"/>
          <w:sz w:val="26"/>
          <w:szCs w:val="26"/>
          <w:lang w:val="es-ES" w:eastAsia="es-ES"/>
        </w:rPr>
        <w:t>la misma VOLVIÓ A OPERAR. Paralizándose nuevamente con la emisión del Dictamen aludido y volviendo a tornarse en procedente hasta la Emisión de la Ley No. 9027 en el año 2012, la cual dispone:</w:t>
      </w:r>
    </w:p>
    <w:p w:rsidR="00000000" w:rsidRDefault="002F1BC6">
      <w:pPr>
        <w:kinsoku w:val="0"/>
        <w:overflowPunct w:val="0"/>
        <w:autoSpaceDE/>
        <w:autoSpaceDN/>
        <w:adjustRightInd/>
        <w:spacing w:before="269" w:line="336" w:lineRule="exact"/>
        <w:ind w:left="648" w:right="72"/>
        <w:textAlignment w:val="baseline"/>
        <w:rPr>
          <w:sz w:val="24"/>
          <w:szCs w:val="24"/>
          <w:lang w:eastAsia="en-US"/>
        </w:rPr>
      </w:pPr>
      <w:r>
        <w:rPr>
          <w:b/>
          <w:bCs/>
          <w:sz w:val="23"/>
          <w:szCs w:val="23"/>
          <w:lang w:val="es-ES" w:eastAsia="es-ES"/>
        </w:rPr>
        <w:t>"ARTÍCULO ÚNICO.</w:t>
      </w:r>
      <w:r>
        <w:rPr>
          <w:b/>
          <w:bCs/>
          <w:sz w:val="23"/>
          <w:szCs w:val="23"/>
          <w:lang w:val="es-ES" w:eastAsia="es-ES"/>
        </w:rPr>
        <w:noBreakHyphen/>
      </w:r>
    </w:p>
    <w:p w:rsidR="00000000" w:rsidRDefault="002F1BC6">
      <w:pPr>
        <w:kinsoku w:val="0"/>
        <w:overflowPunct w:val="0"/>
        <w:autoSpaceDE/>
        <w:autoSpaceDN/>
        <w:adjustRightInd/>
        <w:spacing w:before="329" w:line="307" w:lineRule="exact"/>
        <w:ind w:left="648" w:right="648"/>
        <w:jc w:val="both"/>
        <w:textAlignment w:val="baseline"/>
        <w:rPr>
          <w:sz w:val="26"/>
          <w:szCs w:val="26"/>
          <w:lang w:val="es-ES" w:eastAsia="es-ES"/>
        </w:rPr>
      </w:pPr>
      <w:r>
        <w:rPr>
          <w:sz w:val="26"/>
          <w:szCs w:val="26"/>
          <w:lang w:val="es-ES" w:eastAsia="es-ES"/>
        </w:rPr>
        <w:t>Adicionase el art</w:t>
      </w:r>
      <w:r>
        <w:rPr>
          <w:sz w:val="26"/>
          <w:szCs w:val="26"/>
          <w:lang w:val="es-ES" w:eastAsia="es-ES"/>
        </w:rPr>
        <w:t>ículo 42 bis a la Ley N. 7969, Ley Reguladora del Servicio Público de Transporte Remunerado de Personas en Vehículos en la Modalidad de Taxi, de 22 de diciembre de 1999, y sus reformas. El texto es el siguiente:</w:t>
      </w:r>
    </w:p>
    <w:p w:rsidR="00000000" w:rsidRDefault="002F1BC6">
      <w:pPr>
        <w:kinsoku w:val="0"/>
        <w:overflowPunct w:val="0"/>
        <w:autoSpaceDE/>
        <w:autoSpaceDN/>
        <w:adjustRightInd/>
        <w:spacing w:before="302" w:line="307" w:lineRule="exact"/>
        <w:ind w:left="648" w:right="648"/>
        <w:jc w:val="both"/>
        <w:textAlignment w:val="baseline"/>
        <w:rPr>
          <w:sz w:val="26"/>
          <w:szCs w:val="26"/>
          <w:lang w:val="es-ES" w:eastAsia="es-ES"/>
        </w:rPr>
      </w:pPr>
      <w:r>
        <w:rPr>
          <w:b/>
          <w:bCs/>
          <w:sz w:val="23"/>
          <w:szCs w:val="23"/>
          <w:lang w:val="es-ES" w:eastAsia="es-ES"/>
        </w:rPr>
        <w:t xml:space="preserve">"Artículo 42 bis.- </w:t>
      </w:r>
      <w:r>
        <w:rPr>
          <w:sz w:val="26"/>
          <w:szCs w:val="26"/>
          <w:lang w:val="es-ES" w:eastAsia="es-ES"/>
        </w:rPr>
        <w:t xml:space="preserve">Traspaso de beneficio de </w:t>
      </w:r>
      <w:r>
        <w:rPr>
          <w:sz w:val="26"/>
          <w:szCs w:val="26"/>
          <w:lang w:val="es-ES" w:eastAsia="es-ES"/>
        </w:rPr>
        <w:t>la concesión en el servicio público de taxi por muerte de la persona concesionaria.</w:t>
      </w:r>
    </w:p>
    <w:p w:rsidR="00000000" w:rsidRDefault="002F1BC6">
      <w:pPr>
        <w:kinsoku w:val="0"/>
        <w:overflowPunct w:val="0"/>
        <w:autoSpaceDE/>
        <w:autoSpaceDN/>
        <w:adjustRightInd/>
        <w:spacing w:before="329" w:line="307" w:lineRule="exact"/>
        <w:ind w:left="648" w:right="648"/>
        <w:jc w:val="both"/>
        <w:textAlignment w:val="baseline"/>
        <w:rPr>
          <w:spacing w:val="7"/>
          <w:sz w:val="26"/>
          <w:szCs w:val="26"/>
          <w:lang w:val="es-ES" w:eastAsia="es-ES"/>
        </w:rPr>
      </w:pPr>
      <w:r>
        <w:rPr>
          <w:spacing w:val="7"/>
          <w:sz w:val="26"/>
          <w:szCs w:val="26"/>
          <w:lang w:val="es-ES" w:eastAsia="es-ES"/>
        </w:rPr>
        <w:t xml:space="preserve">Todo concesionario o concesionaria del servicio público del transporte remunerado de personas en vehículos en la modalidad de taxi podrá designar libremente e incluirse en </w:t>
      </w:r>
      <w:r>
        <w:rPr>
          <w:spacing w:val="7"/>
          <w:sz w:val="26"/>
          <w:szCs w:val="26"/>
          <w:lang w:val="es-ES" w:eastAsia="es-ES"/>
        </w:rPr>
        <w:t>el Registro de Concesiones del Consejo una persona beneficiaria titular y una suplente, para el caso de muerte. La persona suplente entraría como beneficiaria directa si fallece la persona titular, siempre que el concesionario o la concesionaria lo selecci</w:t>
      </w:r>
      <w:r>
        <w:rPr>
          <w:spacing w:val="7"/>
          <w:sz w:val="26"/>
          <w:szCs w:val="26"/>
          <w:lang w:val="es-ES" w:eastAsia="es-ES"/>
        </w:rPr>
        <w:t>one entre los siguientes parientes, a saber: abuelos o abuelas, padre o madre, hijos o hijas, hermanos o hermanas, sobrinos o sobrinas, el consorte o la consorte, o el conviviente o la conviviente en unión de hecho, para que asuma</w:t>
      </w:r>
    </w:p>
    <w:p w:rsidR="00000000" w:rsidRDefault="002F1BC6">
      <w:pPr>
        <w:widowControl/>
        <w:rPr>
          <w:sz w:val="24"/>
          <w:szCs w:val="24"/>
        </w:rPr>
        <w:sectPr w:rsidR="00000000">
          <w:pgSz w:w="12134" w:h="15840"/>
          <w:pgMar w:top="1400" w:right="1516" w:bottom="881" w:left="1618" w:header="720" w:footer="720" w:gutter="0"/>
          <w:cols w:space="720"/>
          <w:noEndnote/>
        </w:sectPr>
      </w:pPr>
    </w:p>
    <w:p w:rsidR="00000000" w:rsidRDefault="002F1BC6">
      <w:pPr>
        <w:kinsoku w:val="0"/>
        <w:overflowPunct w:val="0"/>
        <w:autoSpaceDE/>
        <w:autoSpaceDN/>
        <w:adjustRightInd/>
        <w:spacing w:line="308" w:lineRule="exact"/>
        <w:jc w:val="both"/>
        <w:textAlignment w:val="baseline"/>
        <w:rPr>
          <w:sz w:val="26"/>
          <w:szCs w:val="26"/>
          <w:lang w:val="es-ES" w:eastAsia="es-ES"/>
        </w:rPr>
      </w:pPr>
      <w:r>
        <w:rPr>
          <w:sz w:val="26"/>
          <w:szCs w:val="26"/>
          <w:lang w:val="es-ES" w:eastAsia="es-ES"/>
        </w:rPr>
        <w:lastRenderedPageBreak/>
        <w:t>de pleno derecho y sin necesidad de trámites judiciales la concesión administrativa otorgada al concesionario o concesiona</w:t>
      </w:r>
      <w:r>
        <w:rPr>
          <w:sz w:val="26"/>
          <w:szCs w:val="26"/>
          <w:lang w:val="es-ES" w:eastAsia="es-ES"/>
        </w:rPr>
        <w:t>ria fallecido. Cuando ello ocurra, el beneficiario o la beneficiaria deberá aportar la certificación de defunción expedida por el Registro Civil, a efecto de que la administración concedente compruebe tal hecho.</w:t>
      </w:r>
    </w:p>
    <w:p w:rsidR="00000000" w:rsidRDefault="002F1BC6">
      <w:pPr>
        <w:kinsoku w:val="0"/>
        <w:overflowPunct w:val="0"/>
        <w:autoSpaceDE/>
        <w:autoSpaceDN/>
        <w:adjustRightInd/>
        <w:spacing w:before="303" w:line="309" w:lineRule="exact"/>
        <w:jc w:val="both"/>
        <w:textAlignment w:val="baseline"/>
        <w:rPr>
          <w:spacing w:val="8"/>
          <w:sz w:val="26"/>
          <w:szCs w:val="26"/>
          <w:lang w:val="es-ES" w:eastAsia="es-ES"/>
        </w:rPr>
      </w:pPr>
      <w:r>
        <w:rPr>
          <w:spacing w:val="8"/>
          <w:sz w:val="26"/>
          <w:szCs w:val="26"/>
          <w:lang w:val="es-ES" w:eastAsia="es-ES"/>
        </w:rPr>
        <w:t>La persona concesionaria puede revocar y sus</w:t>
      </w:r>
      <w:r>
        <w:rPr>
          <w:spacing w:val="8"/>
          <w:sz w:val="26"/>
          <w:szCs w:val="26"/>
          <w:lang w:val="es-ES" w:eastAsia="es-ES"/>
        </w:rPr>
        <w:t>tituir al beneficiario o beneficiaria siempre dentro del grado de parentesco establecido en el párrafo anterior. Todo cambio deberá ser comunicado a la administración concedente para que así sea registrado.</w:t>
      </w:r>
    </w:p>
    <w:p w:rsidR="00000000" w:rsidRDefault="002F1BC6">
      <w:pPr>
        <w:kinsoku w:val="0"/>
        <w:overflowPunct w:val="0"/>
        <w:autoSpaceDE/>
        <w:autoSpaceDN/>
        <w:adjustRightInd/>
        <w:spacing w:before="302" w:line="309" w:lineRule="exact"/>
        <w:jc w:val="both"/>
        <w:textAlignment w:val="baseline"/>
        <w:rPr>
          <w:spacing w:val="6"/>
          <w:sz w:val="26"/>
          <w:szCs w:val="26"/>
          <w:lang w:val="es-ES" w:eastAsia="es-ES"/>
        </w:rPr>
      </w:pPr>
      <w:r>
        <w:rPr>
          <w:spacing w:val="6"/>
          <w:sz w:val="26"/>
          <w:szCs w:val="26"/>
          <w:lang w:val="es-ES" w:eastAsia="es-ES"/>
        </w:rPr>
        <w:t>El familiar beneficiario no está exento de cumpli</w:t>
      </w:r>
      <w:r>
        <w:rPr>
          <w:spacing w:val="6"/>
          <w:sz w:val="26"/>
          <w:szCs w:val="26"/>
          <w:lang w:val="es-ES" w:eastAsia="es-ES"/>
        </w:rPr>
        <w:t>r todas las disposiciones, obligaciones y prohibiciones fijadas en este cuerpo normativo y deberá demostrar que reúne los requerimientos que demandará su nueva condición de concesionario hasta por el plazo que reste de la concesión, pudiéndose prorrogar co</w:t>
      </w:r>
      <w:r>
        <w:rPr>
          <w:spacing w:val="6"/>
          <w:sz w:val="26"/>
          <w:szCs w:val="26"/>
          <w:lang w:val="es-ES" w:eastAsia="es-ES"/>
        </w:rPr>
        <w:t>nforme al inciso 1 b del artículo 29 de la presente ley. No obstante, en caso de que la nueva persona concesionaria por traspaso de beneficio se encuentre en Cualquiera de los supuestos a que alude el artículo 49 de esta ley, quedará eximida de la obligato</w:t>
      </w:r>
      <w:r>
        <w:rPr>
          <w:spacing w:val="6"/>
          <w:sz w:val="26"/>
          <w:szCs w:val="26"/>
          <w:lang w:val="es-ES" w:eastAsia="es-ES"/>
        </w:rPr>
        <w:t>riedad de presentar código y licencia C-1 y conducir el taxi un mínimo de ocho horas diarias, pero en todo caso deberá mantener el control y la vigilancia adecuados sobre la calidad en la prestación del servicio y el cumplimiento de las obligaciones que de</w:t>
      </w:r>
      <w:r>
        <w:rPr>
          <w:spacing w:val="6"/>
          <w:sz w:val="26"/>
          <w:szCs w:val="26"/>
          <w:lang w:val="es-ES" w:eastAsia="es-ES"/>
        </w:rPr>
        <w:t>rivan de su constitución en concesionario o concesionaria.</w:t>
      </w:r>
    </w:p>
    <w:p w:rsidR="00000000" w:rsidRDefault="002F1BC6" w:rsidP="00525B86">
      <w:pPr>
        <w:kinsoku w:val="0"/>
        <w:overflowPunct w:val="0"/>
        <w:autoSpaceDE/>
        <w:autoSpaceDN/>
        <w:adjustRightInd/>
        <w:spacing w:before="302" w:line="309" w:lineRule="exact"/>
        <w:jc w:val="both"/>
        <w:textAlignment w:val="baseline"/>
        <w:rPr>
          <w:sz w:val="26"/>
          <w:szCs w:val="26"/>
          <w:lang w:val="es-ES" w:eastAsia="es-ES"/>
        </w:rPr>
      </w:pPr>
      <w:r>
        <w:rPr>
          <w:spacing w:val="13"/>
          <w:sz w:val="26"/>
          <w:szCs w:val="26"/>
          <w:lang w:val="es-ES" w:eastAsia="es-ES"/>
        </w:rPr>
        <w:t>Los concesionarios pueden acreditar, en cualquier momento, a los beneficiarios designados ante la administración concedente. Cada vez que se otorgue una nueva concesión, dentro del expediente admin</w:t>
      </w:r>
      <w:r>
        <w:rPr>
          <w:spacing w:val="13"/>
          <w:sz w:val="26"/>
          <w:szCs w:val="26"/>
          <w:lang w:val="es-ES" w:eastAsia="es-ES"/>
        </w:rPr>
        <w:t>istrativo deberá constar la autorización a las personas beneficiarias. En caso de fallecimiento sin haberse registrado la persona beneficiaria, titular y suplente, se cancelará</w:t>
      </w:r>
      <w:r w:rsidR="00525B86">
        <w:rPr>
          <w:spacing w:val="13"/>
          <w:sz w:val="26"/>
          <w:szCs w:val="26"/>
          <w:lang w:val="es-ES" w:eastAsia="es-ES"/>
        </w:rPr>
        <w:t xml:space="preserve"> </w:t>
      </w:r>
      <w:r>
        <w:rPr>
          <w:sz w:val="26"/>
          <w:szCs w:val="26"/>
          <w:lang w:val="es-ES" w:eastAsia="es-ES"/>
        </w:rPr>
        <w:t>automáticamente</w:t>
      </w:r>
      <w:r>
        <w:rPr>
          <w:sz w:val="26"/>
          <w:szCs w:val="26"/>
          <w:lang w:val="es-ES" w:eastAsia="es-ES"/>
        </w:rPr>
        <w:tab/>
        <w:t>la</w:t>
      </w:r>
      <w:r>
        <w:rPr>
          <w:sz w:val="26"/>
          <w:szCs w:val="26"/>
          <w:lang w:val="es-ES" w:eastAsia="es-ES"/>
        </w:rPr>
        <w:tab/>
        <w:t>concesión</w:t>
      </w:r>
      <w:r>
        <w:rPr>
          <w:sz w:val="26"/>
          <w:szCs w:val="26"/>
          <w:lang w:val="es-ES" w:eastAsia="es-ES"/>
        </w:rPr>
        <w:tab/>
        <w:t>otorgada."</w:t>
      </w:r>
    </w:p>
    <w:p w:rsidR="00000000" w:rsidRPr="00525B86" w:rsidRDefault="002F1BC6">
      <w:pPr>
        <w:kinsoku w:val="0"/>
        <w:overflowPunct w:val="0"/>
        <w:autoSpaceDE/>
        <w:autoSpaceDN/>
        <w:adjustRightInd/>
        <w:spacing w:before="311" w:line="309" w:lineRule="exact"/>
        <w:textAlignment w:val="baseline"/>
        <w:rPr>
          <w:b/>
          <w:sz w:val="24"/>
          <w:szCs w:val="24"/>
          <w:lang w:eastAsia="en-US"/>
        </w:rPr>
      </w:pPr>
      <w:r w:rsidRPr="00525B86">
        <w:rPr>
          <w:b/>
          <w:spacing w:val="-3"/>
          <w:sz w:val="26"/>
          <w:szCs w:val="26"/>
          <w:lang w:val="es-ES" w:eastAsia="es-ES"/>
        </w:rPr>
        <w:t>TRANSITORIO.</w:t>
      </w:r>
      <w:r w:rsidRPr="00525B86">
        <w:rPr>
          <w:b/>
          <w:spacing w:val="-3"/>
          <w:sz w:val="26"/>
          <w:szCs w:val="26"/>
          <w:lang w:val="es-ES" w:eastAsia="es-ES"/>
        </w:rPr>
        <w:noBreakHyphen/>
      </w:r>
    </w:p>
    <w:p w:rsidR="00000000" w:rsidRDefault="00525B86">
      <w:pPr>
        <w:kinsoku w:val="0"/>
        <w:overflowPunct w:val="0"/>
        <w:autoSpaceDE/>
        <w:autoSpaceDN/>
        <w:adjustRightInd/>
        <w:spacing w:before="265" w:line="309" w:lineRule="exact"/>
        <w:jc w:val="both"/>
        <w:textAlignment w:val="baseline"/>
        <w:rPr>
          <w:spacing w:val="7"/>
          <w:sz w:val="26"/>
          <w:szCs w:val="26"/>
          <w:lang w:val="es-ES" w:eastAsia="es-ES"/>
        </w:rPr>
      </w:pPr>
      <w:r>
        <w:rPr>
          <w:spacing w:val="7"/>
          <w:sz w:val="26"/>
          <w:szCs w:val="26"/>
          <w:lang w:val="es-ES" w:eastAsia="es-ES"/>
        </w:rPr>
        <w:t>Aut</w:t>
      </w:r>
      <w:r w:rsidR="002F1BC6">
        <w:rPr>
          <w:spacing w:val="7"/>
          <w:sz w:val="26"/>
          <w:szCs w:val="26"/>
          <w:lang w:val="es-ES" w:eastAsia="es-ES"/>
        </w:rPr>
        <w:t>orizase al Consejo de Transporte Público para que, durante los noventa días siguientes a la publicación de la presente ley, conozca y resuelva favorablemente las gestiones de transmisibilidad de derechos por muerte de la persona concesionaria en el serv</w:t>
      </w:r>
      <w:r w:rsidR="002F1BC6">
        <w:rPr>
          <w:spacing w:val="7"/>
          <w:sz w:val="26"/>
          <w:szCs w:val="26"/>
          <w:lang w:val="es-ES" w:eastAsia="es-ES"/>
        </w:rPr>
        <w:t>icio público de taxis, acaecidas entre quienes contaban con contratos de explotación del servicio. Transcurrido ese plazo, las que no se hayan</w:t>
      </w:r>
    </w:p>
    <w:p w:rsidR="00000000" w:rsidRDefault="002F1BC6">
      <w:pPr>
        <w:widowControl/>
        <w:rPr>
          <w:sz w:val="24"/>
          <w:szCs w:val="24"/>
        </w:rPr>
        <w:sectPr w:rsidR="00000000">
          <w:pgSz w:w="12134" w:h="15840"/>
          <w:pgMar w:top="1420" w:right="2149" w:bottom="833" w:left="2285" w:header="720" w:footer="720" w:gutter="0"/>
          <w:cols w:space="720"/>
          <w:noEndnote/>
        </w:sectPr>
      </w:pPr>
    </w:p>
    <w:p w:rsidR="00000000" w:rsidRDefault="002F1BC6">
      <w:pPr>
        <w:kinsoku w:val="0"/>
        <w:overflowPunct w:val="0"/>
        <w:autoSpaceDE/>
        <w:autoSpaceDN/>
        <w:adjustRightInd/>
        <w:spacing w:line="302" w:lineRule="exact"/>
        <w:ind w:left="648" w:right="648"/>
        <w:textAlignment w:val="baseline"/>
        <w:rPr>
          <w:sz w:val="26"/>
          <w:szCs w:val="26"/>
          <w:lang w:val="es-ES" w:eastAsia="es-ES"/>
        </w:rPr>
      </w:pPr>
      <w:r>
        <w:rPr>
          <w:sz w:val="26"/>
          <w:szCs w:val="26"/>
          <w:lang w:val="es-ES" w:eastAsia="es-ES"/>
        </w:rPr>
        <w:lastRenderedPageBreak/>
        <w:t>gestionado se archivarán en forma definitiva con la consiguiente cancelación de la concesión administrativa correspondiente."</w:t>
      </w:r>
    </w:p>
    <w:p w:rsidR="00000000" w:rsidRDefault="002F1BC6">
      <w:pPr>
        <w:kinsoku w:val="0"/>
        <w:overflowPunct w:val="0"/>
        <w:autoSpaceDE/>
        <w:autoSpaceDN/>
        <w:adjustRightInd/>
        <w:spacing w:before="488" w:line="307" w:lineRule="exact"/>
        <w:ind w:left="72" w:right="72"/>
        <w:jc w:val="both"/>
        <w:textAlignment w:val="baseline"/>
        <w:rPr>
          <w:spacing w:val="5"/>
          <w:sz w:val="26"/>
          <w:szCs w:val="26"/>
          <w:lang w:val="es-ES" w:eastAsia="es-ES"/>
        </w:rPr>
      </w:pPr>
      <w:r>
        <w:rPr>
          <w:spacing w:val="5"/>
          <w:sz w:val="26"/>
          <w:szCs w:val="26"/>
          <w:lang w:val="es-ES" w:eastAsia="es-ES"/>
        </w:rPr>
        <w:t>Definiendo así, por una parte, mediante su TRANSITORIO ÚNICO la subsistencia y posibilidad de Aprobación de las gestiones</w:t>
      </w:r>
      <w:r>
        <w:rPr>
          <w:spacing w:val="5"/>
          <w:sz w:val="26"/>
          <w:szCs w:val="26"/>
          <w:lang w:val="es-ES" w:eastAsia="es-ES"/>
        </w:rPr>
        <w:t xml:space="preserve"> de transmisibilidad de derechos por muerte de la persona concesionaria en el servicio público de taxis, acaecidas antes de la promulgación de la misma.</w:t>
      </w:r>
    </w:p>
    <w:p w:rsidR="00000000" w:rsidRDefault="002F1BC6">
      <w:pPr>
        <w:kinsoku w:val="0"/>
        <w:overflowPunct w:val="0"/>
        <w:autoSpaceDE/>
        <w:autoSpaceDN/>
        <w:adjustRightInd/>
        <w:spacing w:before="328" w:line="306" w:lineRule="exact"/>
        <w:ind w:left="72" w:right="72"/>
        <w:jc w:val="both"/>
        <w:textAlignment w:val="baseline"/>
        <w:rPr>
          <w:b/>
          <w:bCs/>
          <w:sz w:val="26"/>
          <w:szCs w:val="26"/>
          <w:lang w:val="es-ES" w:eastAsia="es-ES"/>
        </w:rPr>
      </w:pPr>
      <w:r>
        <w:rPr>
          <w:sz w:val="26"/>
          <w:szCs w:val="26"/>
          <w:lang w:val="es-ES" w:eastAsia="es-ES"/>
        </w:rPr>
        <w:t xml:space="preserve">Y determinando con plena claridad para lo FUTURO </w:t>
      </w:r>
      <w:r>
        <w:rPr>
          <w:i/>
          <w:iCs/>
          <w:sz w:val="26"/>
          <w:szCs w:val="26"/>
          <w:lang w:val="es-ES" w:eastAsia="es-ES"/>
        </w:rPr>
        <w:t>(luego de su publicación el dí</w:t>
      </w:r>
      <w:r>
        <w:rPr>
          <w:i/>
          <w:iCs/>
          <w:sz w:val="26"/>
          <w:szCs w:val="26"/>
          <w:lang w:val="es-ES" w:eastAsia="es-ES"/>
        </w:rPr>
        <w:t xml:space="preserve">a 28 de Febrero del 2012) </w:t>
      </w:r>
      <w:r>
        <w:rPr>
          <w:sz w:val="26"/>
          <w:szCs w:val="26"/>
          <w:lang w:val="es-ES" w:eastAsia="es-ES"/>
        </w:rPr>
        <w:t>que para la posibilidad de Traspasos de Concesiones de Taxi Mortis Causa los Concesionarios respectivos debían designar a un Beneficiario(a) Titular y a otro(a) Suplente, como únicos posibles destinatarios del Derecho de Concesión</w:t>
      </w:r>
      <w:r>
        <w:rPr>
          <w:sz w:val="26"/>
          <w:szCs w:val="26"/>
          <w:lang w:val="es-ES" w:eastAsia="es-ES"/>
        </w:rPr>
        <w:t xml:space="preserve"> ante su Muerte. </w:t>
      </w:r>
      <w:r>
        <w:rPr>
          <w:b/>
          <w:bCs/>
          <w:sz w:val="26"/>
          <w:szCs w:val="26"/>
          <w:lang w:val="es-ES" w:eastAsia="es-ES"/>
        </w:rPr>
        <w:t>Y DEJANDO MUY EN CLARO QUE EN CASO DE FALLECIMIENTO SIN HABERSE REGISTRADO LA PERSONA BENEFICIARIA, TITULAR Y OTRA SUPLENTE, SE CANCELA AUTOMÁTICAMENTE LA CONCESIÓN OTORGADA.</w:t>
      </w:r>
    </w:p>
    <w:p w:rsidR="00000000" w:rsidRDefault="002F1BC6">
      <w:pPr>
        <w:kinsoku w:val="0"/>
        <w:overflowPunct w:val="0"/>
        <w:autoSpaceDE/>
        <w:autoSpaceDN/>
        <w:adjustRightInd/>
        <w:spacing w:before="311" w:line="307" w:lineRule="exact"/>
        <w:ind w:left="72" w:right="72"/>
        <w:jc w:val="both"/>
        <w:textAlignment w:val="baseline"/>
        <w:rPr>
          <w:sz w:val="26"/>
          <w:szCs w:val="26"/>
          <w:lang w:val="es-ES" w:eastAsia="es-ES"/>
        </w:rPr>
      </w:pPr>
      <w:r>
        <w:rPr>
          <w:sz w:val="26"/>
          <w:szCs w:val="26"/>
          <w:lang w:val="es-ES" w:eastAsia="es-ES"/>
        </w:rPr>
        <w:t>En la especie, DON A</w:t>
      </w:r>
      <w:r w:rsidR="00525B86">
        <w:rPr>
          <w:sz w:val="26"/>
          <w:szCs w:val="26"/>
          <w:lang w:val="es-ES" w:eastAsia="es-ES"/>
        </w:rPr>
        <w:t>.U.R.</w:t>
      </w:r>
      <w:r>
        <w:rPr>
          <w:sz w:val="26"/>
          <w:szCs w:val="26"/>
          <w:lang w:val="es-ES" w:eastAsia="es-ES"/>
        </w:rPr>
        <w:t xml:space="preserve"> lamentablemente fallece el</w:t>
      </w:r>
      <w:r>
        <w:rPr>
          <w:sz w:val="26"/>
          <w:szCs w:val="26"/>
          <w:lang w:val="es-ES" w:eastAsia="es-ES"/>
        </w:rPr>
        <w:t xml:space="preserve"> día 14 de Junio del año 2014, es decir, LUEGO DE LA PROMULGACIÓN DE LA LEY No. 9027 Y </w:t>
      </w:r>
      <w:r>
        <w:rPr>
          <w:sz w:val="26"/>
          <w:szCs w:val="26"/>
          <w:lang w:val="es-ES" w:eastAsia="es-ES"/>
        </w:rPr>
        <w:t>NO DESIGNÓ A NINGÚN BENEFICIARIO(A) TITULAR O SUPLENTE. Situación ante la cual no cabe excepción alguna e impera el mandato expreso de la Ley, según el cual LA CONCESIÓ</w:t>
      </w:r>
      <w:r>
        <w:rPr>
          <w:sz w:val="26"/>
          <w:szCs w:val="26"/>
          <w:lang w:val="es-ES" w:eastAsia="es-ES"/>
        </w:rPr>
        <w:t>N DETENTADA POR DON ARNOLDO SE TIENE POR CANCELADA AUTOMÁTICAMENTE. Siendo la actuación impugnada del Consejo de Transporte Público conteste con tal determinación legal. Y no mediando ningún vicio nugatorio y/o de debido proceso o defensa en la especie.</w:t>
      </w:r>
    </w:p>
    <w:p w:rsidR="00000000" w:rsidRDefault="002F1BC6">
      <w:pPr>
        <w:kinsoku w:val="0"/>
        <w:overflowPunct w:val="0"/>
        <w:autoSpaceDE/>
        <w:autoSpaceDN/>
        <w:adjustRightInd/>
        <w:spacing w:before="302" w:line="305" w:lineRule="exact"/>
        <w:ind w:left="72" w:right="72"/>
        <w:textAlignment w:val="baseline"/>
        <w:rPr>
          <w:b/>
          <w:bCs/>
          <w:spacing w:val="-15"/>
          <w:sz w:val="26"/>
          <w:szCs w:val="26"/>
          <w:lang w:val="es-ES" w:eastAsia="es-ES"/>
        </w:rPr>
      </w:pPr>
      <w:r>
        <w:rPr>
          <w:b/>
          <w:bCs/>
          <w:spacing w:val="-15"/>
          <w:sz w:val="26"/>
          <w:szCs w:val="26"/>
          <w:lang w:val="es-ES" w:eastAsia="es-ES"/>
        </w:rPr>
        <w:t>NU</w:t>
      </w:r>
      <w:r>
        <w:rPr>
          <w:b/>
          <w:bCs/>
          <w:spacing w:val="-15"/>
          <w:sz w:val="26"/>
          <w:szCs w:val="26"/>
          <w:lang w:val="es-ES" w:eastAsia="es-ES"/>
        </w:rPr>
        <w:t>LIDAD:</w:t>
      </w:r>
    </w:p>
    <w:p w:rsidR="00000000" w:rsidRDefault="002F1BC6">
      <w:pPr>
        <w:kinsoku w:val="0"/>
        <w:overflowPunct w:val="0"/>
        <w:autoSpaceDE/>
        <w:autoSpaceDN/>
        <w:adjustRightInd/>
        <w:spacing w:before="144" w:line="307" w:lineRule="exact"/>
        <w:ind w:left="72" w:right="72"/>
        <w:jc w:val="both"/>
        <w:textAlignment w:val="baseline"/>
        <w:rPr>
          <w:spacing w:val="5"/>
          <w:sz w:val="26"/>
          <w:szCs w:val="26"/>
          <w:lang w:val="es-ES" w:eastAsia="es-ES"/>
        </w:rPr>
      </w:pPr>
      <w:r>
        <w:rPr>
          <w:spacing w:val="5"/>
          <w:sz w:val="26"/>
          <w:szCs w:val="26"/>
          <w:lang w:val="es-ES" w:eastAsia="es-ES"/>
        </w:rPr>
        <w:t>En mérito de todo lo expresado antes y del expediente del Caso en particular, no estima este Tribunal como Procedentes ni el Recurso de Apelación conocido, ni la Acción de Nulidad concomitante al mismo. No visualizándose o considerá</w:t>
      </w:r>
      <w:r>
        <w:rPr>
          <w:spacing w:val="5"/>
          <w:sz w:val="26"/>
          <w:szCs w:val="26"/>
          <w:lang w:val="es-ES" w:eastAsia="es-ES"/>
        </w:rPr>
        <w:t>ndose la existencia de algún Vicio o Falencia en cuanto a alguno de los Elementos Esenciales Objetivos, Subjetivos y/o Formales que pueda determinar un Vicio Nugatorio en cuanto a lo actuado en el Caso de marras; así como tampoco se determina alguna Infrac</w:t>
      </w:r>
      <w:r>
        <w:rPr>
          <w:spacing w:val="5"/>
          <w:sz w:val="26"/>
          <w:szCs w:val="26"/>
          <w:lang w:val="es-ES" w:eastAsia="es-ES"/>
        </w:rPr>
        <w:t>ción a los Derechos Fundamentales de Justicia, Debido Proceso y/o Defensa. Por lo que se determina que No Resultan Procedentes las Acciones que nos han ocupado.</w:t>
      </w:r>
    </w:p>
    <w:p w:rsidR="00000000" w:rsidRDefault="002F1BC6">
      <w:pPr>
        <w:widowControl/>
        <w:rPr>
          <w:sz w:val="24"/>
          <w:szCs w:val="24"/>
        </w:rPr>
        <w:sectPr w:rsidR="00000000">
          <w:pgSz w:w="12134" w:h="15840"/>
          <w:pgMar w:top="1440" w:right="1499" w:bottom="857" w:left="1635" w:header="720" w:footer="720" w:gutter="0"/>
          <w:cols w:space="720"/>
          <w:noEndnote/>
        </w:sectPr>
      </w:pPr>
    </w:p>
    <w:p w:rsidR="00000000" w:rsidRDefault="002F1BC6">
      <w:pPr>
        <w:kinsoku w:val="0"/>
        <w:overflowPunct w:val="0"/>
        <w:autoSpaceDE/>
        <w:autoSpaceDN/>
        <w:adjustRightInd/>
        <w:spacing w:before="2" w:line="301" w:lineRule="exact"/>
        <w:ind w:left="72"/>
        <w:jc w:val="center"/>
        <w:textAlignment w:val="baseline"/>
        <w:rPr>
          <w:b/>
          <w:bCs/>
          <w:i/>
          <w:iCs/>
          <w:spacing w:val="6"/>
          <w:sz w:val="26"/>
          <w:szCs w:val="26"/>
          <w:lang w:val="es-ES" w:eastAsia="es-ES"/>
        </w:rPr>
      </w:pPr>
      <w:r>
        <w:rPr>
          <w:b/>
          <w:bCs/>
          <w:i/>
          <w:iCs/>
          <w:spacing w:val="6"/>
          <w:sz w:val="26"/>
          <w:szCs w:val="26"/>
          <w:lang w:val="es-ES" w:eastAsia="es-ES"/>
        </w:rPr>
        <w:t>Por Tanto</w:t>
      </w:r>
    </w:p>
    <w:p w:rsidR="00000000" w:rsidRDefault="002F1BC6">
      <w:pPr>
        <w:tabs>
          <w:tab w:val="right" w:pos="8928"/>
        </w:tabs>
        <w:kinsoku w:val="0"/>
        <w:overflowPunct w:val="0"/>
        <w:autoSpaceDE/>
        <w:autoSpaceDN/>
        <w:adjustRightInd/>
        <w:spacing w:before="314" w:line="297" w:lineRule="exact"/>
        <w:ind w:left="72"/>
        <w:textAlignment w:val="baseline"/>
        <w:rPr>
          <w:b/>
          <w:bCs/>
          <w:sz w:val="26"/>
          <w:szCs w:val="26"/>
          <w:lang w:val="es-ES" w:eastAsia="es-ES"/>
        </w:rPr>
      </w:pPr>
      <w:r>
        <w:rPr>
          <w:b/>
          <w:bCs/>
          <w:sz w:val="26"/>
          <w:szCs w:val="26"/>
          <w:lang w:val="es-ES" w:eastAsia="es-ES"/>
        </w:rPr>
        <w:t>L-</w:t>
      </w:r>
      <w:r>
        <w:rPr>
          <w:b/>
          <w:bCs/>
          <w:sz w:val="26"/>
          <w:szCs w:val="26"/>
          <w:lang w:val="es-ES" w:eastAsia="es-ES"/>
        </w:rPr>
        <w:tab/>
      </w:r>
      <w:r>
        <w:rPr>
          <w:sz w:val="26"/>
          <w:szCs w:val="26"/>
          <w:lang w:val="es-ES" w:eastAsia="es-ES"/>
        </w:rPr>
        <w:t xml:space="preserve">Conforme todo lo apuntado antes, se </w:t>
      </w:r>
      <w:r>
        <w:rPr>
          <w:b/>
          <w:bCs/>
          <w:sz w:val="23"/>
          <w:szCs w:val="23"/>
          <w:u w:val="single"/>
          <w:lang w:val="es-ES" w:eastAsia="es-ES"/>
        </w:rPr>
        <w:t>RECHAZAN</w:t>
      </w:r>
      <w:r>
        <w:rPr>
          <w:sz w:val="26"/>
          <w:szCs w:val="26"/>
          <w:lang w:val="es-ES" w:eastAsia="es-ES"/>
        </w:rPr>
        <w:t xml:space="preserve"> el </w:t>
      </w:r>
      <w:r>
        <w:rPr>
          <w:b/>
          <w:bCs/>
          <w:sz w:val="26"/>
          <w:szCs w:val="26"/>
          <w:lang w:val="es-ES" w:eastAsia="es-ES"/>
        </w:rPr>
        <w:t>RECURSO DE</w:t>
      </w:r>
    </w:p>
    <w:p w:rsidR="00000000" w:rsidRDefault="002F1BC6">
      <w:pPr>
        <w:kinsoku w:val="0"/>
        <w:overflowPunct w:val="0"/>
        <w:autoSpaceDE/>
        <w:autoSpaceDN/>
        <w:adjustRightInd/>
        <w:spacing w:line="309" w:lineRule="exact"/>
        <w:ind w:left="72" w:right="72"/>
        <w:jc w:val="both"/>
        <w:textAlignment w:val="baseline"/>
        <w:rPr>
          <w:sz w:val="26"/>
          <w:szCs w:val="26"/>
          <w:lang w:val="es-ES" w:eastAsia="es-ES"/>
        </w:rPr>
      </w:pPr>
      <w:r>
        <w:rPr>
          <w:b/>
          <w:bCs/>
          <w:sz w:val="26"/>
          <w:szCs w:val="26"/>
          <w:lang w:val="es-ES" w:eastAsia="es-ES"/>
        </w:rPr>
        <w:t>APEL</w:t>
      </w:r>
      <w:r>
        <w:rPr>
          <w:b/>
          <w:bCs/>
          <w:sz w:val="26"/>
          <w:szCs w:val="26"/>
          <w:lang w:val="es-ES" w:eastAsia="es-ES"/>
        </w:rPr>
        <w:t xml:space="preserve">ACIÓN EN SUBSIDIO </w:t>
      </w:r>
      <w:r>
        <w:rPr>
          <w:sz w:val="26"/>
          <w:szCs w:val="26"/>
          <w:lang w:val="es-ES" w:eastAsia="es-ES"/>
        </w:rPr>
        <w:t xml:space="preserve">y el </w:t>
      </w:r>
      <w:r>
        <w:rPr>
          <w:b/>
          <w:bCs/>
          <w:sz w:val="26"/>
          <w:szCs w:val="26"/>
          <w:lang w:val="es-ES" w:eastAsia="es-ES"/>
        </w:rPr>
        <w:t xml:space="preserve">INCIDENTE DE NULIDAD CONCOMITANTE </w:t>
      </w:r>
      <w:r>
        <w:rPr>
          <w:sz w:val="26"/>
          <w:szCs w:val="26"/>
          <w:lang w:val="es-ES" w:eastAsia="es-ES"/>
        </w:rPr>
        <w:t xml:space="preserve">presentados por la señora </w:t>
      </w:r>
      <w:r>
        <w:rPr>
          <w:b/>
          <w:bCs/>
          <w:sz w:val="26"/>
          <w:szCs w:val="26"/>
          <w:lang w:val="es-ES" w:eastAsia="es-ES"/>
        </w:rPr>
        <w:t>D</w:t>
      </w:r>
      <w:r w:rsidR="00525B86">
        <w:rPr>
          <w:b/>
          <w:bCs/>
          <w:sz w:val="26"/>
          <w:szCs w:val="26"/>
          <w:lang w:val="es-ES" w:eastAsia="es-ES"/>
        </w:rPr>
        <w:t>.S.M.</w:t>
      </w:r>
      <w:r>
        <w:rPr>
          <w:b/>
          <w:bCs/>
          <w:sz w:val="26"/>
          <w:szCs w:val="26"/>
          <w:lang w:val="es-ES" w:eastAsia="es-ES"/>
        </w:rPr>
        <w:t xml:space="preserve">, </w:t>
      </w:r>
      <w:r>
        <w:rPr>
          <w:sz w:val="26"/>
          <w:szCs w:val="26"/>
          <w:lang w:val="es-ES" w:eastAsia="es-ES"/>
        </w:rPr>
        <w:t xml:space="preserve">de calidades conocidas y portadora de la cédula de identidad número </w:t>
      </w:r>
      <w:r w:rsidR="00525B86">
        <w:rPr>
          <w:sz w:val="26"/>
          <w:szCs w:val="26"/>
          <w:lang w:val="es-ES" w:eastAsia="es-ES"/>
        </w:rPr>
        <w:t>…</w:t>
      </w:r>
      <w:r>
        <w:rPr>
          <w:sz w:val="26"/>
          <w:szCs w:val="26"/>
          <w:lang w:val="es-ES" w:eastAsia="es-ES"/>
        </w:rPr>
        <w:t xml:space="preserve">, contra el Artículo 7.18 de la Sesión Ordinaria No. 59-2014 de fecha 15 de </w:t>
      </w:r>
      <w:r>
        <w:rPr>
          <w:sz w:val="26"/>
          <w:szCs w:val="26"/>
          <w:lang w:val="es-ES" w:eastAsia="es-ES"/>
        </w:rPr>
        <w:t>Octubre del año 2014, de la Junta Directiva del Consejo de Transporte Público.</w:t>
      </w:r>
    </w:p>
    <w:p w:rsidR="00000000" w:rsidRDefault="002F1BC6">
      <w:pPr>
        <w:numPr>
          <w:ilvl w:val="0"/>
          <w:numId w:val="4"/>
        </w:numPr>
        <w:kinsoku w:val="0"/>
        <w:overflowPunct w:val="0"/>
        <w:autoSpaceDE/>
        <w:autoSpaceDN/>
        <w:adjustRightInd/>
        <w:spacing w:before="246" w:line="350" w:lineRule="exact"/>
        <w:ind w:right="72"/>
        <w:jc w:val="both"/>
        <w:textAlignment w:val="baseline"/>
        <w:rPr>
          <w:sz w:val="26"/>
          <w:szCs w:val="26"/>
          <w:lang w:val="es-ES" w:eastAsia="es-ES"/>
        </w:rPr>
      </w:pPr>
      <w:r>
        <w:rPr>
          <w:sz w:val="26"/>
          <w:szCs w:val="26"/>
          <w:lang w:val="es-ES" w:eastAsia="es-ES"/>
        </w:rPr>
        <w:lastRenderedPageBreak/>
        <w:t>Conforme las determinaciones del numeral 22, inciso c), de la Ley No. 7969, en lo que corresponde se da por Agotada la Ví</w:t>
      </w:r>
      <w:r>
        <w:rPr>
          <w:sz w:val="26"/>
          <w:szCs w:val="26"/>
          <w:lang w:val="es-ES" w:eastAsia="es-ES"/>
        </w:rPr>
        <w:t>a Administrativa, toda vez que contra este acto resolutorio no procede recurso alguno.</w:t>
      </w:r>
    </w:p>
    <w:p w:rsidR="00000000" w:rsidRDefault="002F1BC6">
      <w:pPr>
        <w:numPr>
          <w:ilvl w:val="0"/>
          <w:numId w:val="4"/>
        </w:numPr>
        <w:kinsoku w:val="0"/>
        <w:overflowPunct w:val="0"/>
        <w:autoSpaceDE/>
        <w:autoSpaceDN/>
        <w:adjustRightInd/>
        <w:spacing w:after="538" w:line="613"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525B86" w:rsidRPr="006321DC" w:rsidRDefault="00525B86" w:rsidP="00525B86">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525B86" w:rsidRPr="00233E71" w:rsidRDefault="00525B86" w:rsidP="00525B86">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525B86" w:rsidRDefault="00525B86" w:rsidP="00525B86">
      <w:pPr>
        <w:tabs>
          <w:tab w:val="left" w:pos="720"/>
        </w:tabs>
        <w:kinsoku w:val="0"/>
        <w:overflowPunct w:val="0"/>
        <w:autoSpaceDE/>
        <w:autoSpaceDN/>
        <w:adjustRightInd/>
        <w:spacing w:before="100" w:beforeAutospacing="1" w:after="100" w:afterAutospacing="1" w:line="523" w:lineRule="exact"/>
        <w:ind w:left="72"/>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 xml:space="preserve"> </w:t>
      </w:r>
      <w:r w:rsidRPr="006321DC">
        <w:rPr>
          <w:rStyle w:val="CharacterStyle1"/>
          <w:i/>
          <w:iCs/>
          <w:spacing w:val="5"/>
          <w:sz w:val="26"/>
          <w:szCs w:val="26"/>
        </w:rPr>
        <w:tab/>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 xml:space="preserve">UEZA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525B86" w:rsidRDefault="00525B86" w:rsidP="00525B86">
      <w:pPr>
        <w:kinsoku w:val="0"/>
        <w:overflowPunct w:val="0"/>
        <w:autoSpaceDE/>
        <w:autoSpaceDN/>
        <w:adjustRightInd/>
        <w:spacing w:after="538" w:line="613" w:lineRule="exact"/>
        <w:ind w:left="72"/>
        <w:textAlignment w:val="baseline"/>
        <w:rPr>
          <w:b/>
          <w:bCs/>
          <w:sz w:val="26"/>
          <w:szCs w:val="26"/>
          <w:lang w:val="es-ES" w:eastAsia="es-ES"/>
        </w:rPr>
      </w:pPr>
      <w:bookmarkStart w:id="0" w:name="_GoBack"/>
      <w:bookmarkEnd w:id="0"/>
    </w:p>
    <w:p w:rsidR="00525B86" w:rsidRDefault="00525B86" w:rsidP="00525B86">
      <w:pPr>
        <w:kinsoku w:val="0"/>
        <w:overflowPunct w:val="0"/>
        <w:autoSpaceDE/>
        <w:autoSpaceDN/>
        <w:adjustRightInd/>
        <w:spacing w:after="538" w:line="613" w:lineRule="exact"/>
        <w:ind w:left="72"/>
        <w:textAlignment w:val="baseline"/>
        <w:rPr>
          <w:b/>
          <w:bCs/>
          <w:sz w:val="26"/>
          <w:szCs w:val="26"/>
          <w:lang w:val="es-ES" w:eastAsia="es-ES"/>
        </w:rPr>
      </w:pPr>
    </w:p>
    <w:p w:rsidR="00000000" w:rsidRDefault="002F1BC6">
      <w:pPr>
        <w:kinsoku w:val="0"/>
        <w:overflowPunct w:val="0"/>
        <w:autoSpaceDE/>
        <w:autoSpaceDN/>
        <w:adjustRightInd/>
        <w:spacing w:after="105"/>
        <w:ind w:left="3626" w:right="2081"/>
        <w:textAlignment w:val="baseline"/>
        <w:rPr>
          <w:sz w:val="24"/>
          <w:szCs w:val="24"/>
        </w:rPr>
      </w:pPr>
    </w:p>
    <w:p w:rsidR="00000000" w:rsidRDefault="002F1BC6">
      <w:pPr>
        <w:kinsoku w:val="0"/>
        <w:overflowPunct w:val="0"/>
        <w:autoSpaceDE/>
        <w:autoSpaceDN/>
        <w:adjustRightInd/>
        <w:spacing w:before="6344" w:line="288" w:lineRule="exact"/>
        <w:textAlignment w:val="baseline"/>
        <w:rPr>
          <w:sz w:val="24"/>
          <w:szCs w:val="24"/>
        </w:rPr>
        <w:sectPr w:rsidR="00000000">
          <w:type w:val="continuous"/>
          <w:pgSz w:w="12134" w:h="15840"/>
          <w:pgMar w:top="1420" w:right="1107" w:bottom="190" w:left="1649" w:header="720" w:footer="720" w:gutter="0"/>
          <w:cols w:space="720"/>
          <w:noEndnote/>
        </w:sectPr>
      </w:pPr>
    </w:p>
    <w:p w:rsidR="002F1BC6" w:rsidRDefault="002F1BC6"/>
    <w:sectPr w:rsidR="002F1BC6">
      <w:type w:val="continuous"/>
      <w:pgSz w:w="12134" w:h="15840"/>
      <w:pgMar w:top="1420" w:right="1107" w:bottom="190" w:left="762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F8A"/>
    <w:multiLevelType w:val="singleLevel"/>
    <w:tmpl w:val="93047E60"/>
    <w:lvl w:ilvl="0">
      <w:start w:val="2"/>
      <w:numFmt w:val="upperRoman"/>
      <w:lvlText w:val="%1.-"/>
      <w:lvlJc w:val="left"/>
      <w:pPr>
        <w:tabs>
          <w:tab w:val="num" w:pos="792"/>
        </w:tabs>
        <w:ind w:left="72"/>
      </w:pPr>
      <w:rPr>
        <w:b/>
        <w:snapToGrid/>
        <w:sz w:val="26"/>
        <w:szCs w:val="26"/>
      </w:rPr>
    </w:lvl>
  </w:abstractNum>
  <w:abstractNum w:abstractNumId="1" w15:restartNumberingAfterBreak="0">
    <w:nsid w:val="04F1CF12"/>
    <w:multiLevelType w:val="singleLevel"/>
    <w:tmpl w:val="72780D9D"/>
    <w:lvl w:ilvl="0">
      <w:start w:val="4"/>
      <w:numFmt w:val="decimal"/>
      <w:lvlText w:val="%1.-"/>
      <w:lvlJc w:val="left"/>
      <w:pPr>
        <w:tabs>
          <w:tab w:val="num" w:pos="432"/>
        </w:tabs>
      </w:pPr>
      <w:rPr>
        <w:b/>
        <w:bCs/>
        <w:snapToGrid/>
        <w:spacing w:val="2"/>
        <w:sz w:val="23"/>
        <w:szCs w:val="23"/>
      </w:rPr>
    </w:lvl>
  </w:abstractNum>
  <w:abstractNum w:abstractNumId="2" w15:restartNumberingAfterBreak="0">
    <w:nsid w:val="057010E2"/>
    <w:multiLevelType w:val="singleLevel"/>
    <w:tmpl w:val="15269252"/>
    <w:lvl w:ilvl="0">
      <w:start w:val="1"/>
      <w:numFmt w:val="decimal"/>
      <w:lvlText w:val="%1.-"/>
      <w:lvlJc w:val="left"/>
      <w:pPr>
        <w:tabs>
          <w:tab w:val="num" w:pos="792"/>
        </w:tabs>
        <w:ind w:left="72"/>
      </w:pPr>
      <w:rPr>
        <w:b/>
        <w:snapToGrid/>
        <w:spacing w:val="4"/>
        <w:sz w:val="26"/>
        <w:szCs w:val="26"/>
      </w:rPr>
    </w:lvl>
  </w:abstractNum>
  <w:abstractNum w:abstractNumId="3" w15:restartNumberingAfterBreak="0">
    <w:nsid w:val="064C0A42"/>
    <w:multiLevelType w:val="singleLevel"/>
    <w:tmpl w:val="D8EA0CA8"/>
    <w:lvl w:ilvl="0">
      <w:start w:val="1"/>
      <w:numFmt w:val="lowerLetter"/>
      <w:lvlText w:val="%1.-"/>
      <w:lvlJc w:val="left"/>
      <w:pPr>
        <w:tabs>
          <w:tab w:val="num" w:pos="720"/>
        </w:tabs>
      </w:pPr>
      <w:rPr>
        <w:b/>
        <w:i/>
        <w:iCs/>
        <w:snapToGrid/>
        <w:sz w:val="26"/>
        <w:szCs w:val="26"/>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86"/>
    <w:rsid w:val="002F1BC6"/>
    <w:rsid w:val="00525B8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F6FDD"/>
  <w14:defaultImageDpi w14:val="0"/>
  <w15:docId w15:val="{7A5A6658-CFAE-4872-951E-6618AB8A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25B86"/>
    <w:rPr>
      <w:lang w:val="es-CR"/>
    </w:rPr>
  </w:style>
  <w:style w:type="character" w:customStyle="1" w:styleId="CharacterStyle1">
    <w:name w:val="Character Style 1"/>
    <w:uiPriority w:val="99"/>
    <w:rsid w:val="00525B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2108</Words>
  <Characters>11600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2016-05-02T21:23:00Z</dcterms:created>
  <dcterms:modified xsi:type="dcterms:W3CDTF">2016-05-02T21:23:00Z</dcterms:modified>
</cp:coreProperties>
</file>