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81449">
      <w:pPr>
        <w:kinsoku w:val="0"/>
        <w:overflowPunct w:val="0"/>
        <w:autoSpaceDE/>
        <w:autoSpaceDN/>
        <w:adjustRightInd/>
        <w:spacing w:before="6" w:line="236" w:lineRule="exact"/>
        <w:jc w:val="center"/>
        <w:textAlignment w:val="baseline"/>
        <w:rPr>
          <w:rFonts w:ascii="Garamond" w:hAnsi="Garamond" w:cs="Garamond"/>
          <w:b/>
          <w:bCs/>
          <w:spacing w:val="22"/>
          <w:sz w:val="18"/>
          <w:szCs w:val="18"/>
          <w:lang w:val="es-ES" w:eastAsia="es-ES"/>
        </w:rPr>
      </w:pPr>
      <w:r>
        <w:rPr>
          <w:rFonts w:ascii="Garamond" w:hAnsi="Garamond" w:cs="Garamond"/>
          <w:b/>
          <w:bCs/>
          <w:spacing w:val="22"/>
          <w:sz w:val="18"/>
          <w:szCs w:val="18"/>
          <w:lang w:val="es-ES" w:eastAsia="es-ES"/>
        </w:rPr>
        <w:t>Resolución No. TAT-2582-2015</w:t>
      </w:r>
    </w:p>
    <w:p w:rsidR="00000000" w:rsidRDefault="00581449">
      <w:pPr>
        <w:kinsoku w:val="0"/>
        <w:overflowPunct w:val="0"/>
        <w:autoSpaceDE/>
        <w:autoSpaceDN/>
        <w:adjustRightInd/>
        <w:spacing w:before="555" w:line="265" w:lineRule="exact"/>
        <w:jc w:val="both"/>
        <w:textAlignment w:val="baseline"/>
        <w:rPr>
          <w:sz w:val="23"/>
          <w:szCs w:val="23"/>
          <w:lang w:val="es-ES" w:eastAsia="es-ES"/>
        </w:rPr>
      </w:pPr>
      <w:r>
        <w:rPr>
          <w:rFonts w:ascii="Garamond" w:hAnsi="Garamond" w:cs="Garamond"/>
          <w:b/>
          <w:bCs/>
          <w:sz w:val="18"/>
          <w:szCs w:val="18"/>
          <w:lang w:val="es-ES" w:eastAsia="es-ES"/>
        </w:rPr>
        <w:t xml:space="preserve">TRIBUNAL ADMINISTRATIVO DE TRANSPORTE. </w:t>
      </w:r>
      <w:r>
        <w:rPr>
          <w:sz w:val="23"/>
          <w:szCs w:val="23"/>
          <w:lang w:val="es-ES" w:eastAsia="es-ES"/>
        </w:rPr>
        <w:t>Curridabat, a las once horas con cincuenta minutos del veintidós de mayo del dos mil quince.</w:t>
      </w:r>
    </w:p>
    <w:p w:rsidR="00000000" w:rsidRDefault="00581449">
      <w:pPr>
        <w:kinsoku w:val="0"/>
        <w:overflowPunct w:val="0"/>
        <w:autoSpaceDE/>
        <w:autoSpaceDN/>
        <w:adjustRightInd/>
        <w:spacing w:before="257" w:line="273" w:lineRule="exact"/>
        <w:jc w:val="both"/>
        <w:textAlignment w:val="baseline"/>
        <w:rPr>
          <w:rFonts w:ascii="Garamond" w:hAnsi="Garamond" w:cs="Garamond"/>
          <w:b/>
          <w:bCs/>
          <w:sz w:val="18"/>
          <w:szCs w:val="18"/>
          <w:lang w:val="es-ES" w:eastAsia="es-ES"/>
        </w:rPr>
      </w:pPr>
      <w:r>
        <w:rPr>
          <w:sz w:val="23"/>
          <w:szCs w:val="23"/>
          <w:lang w:val="es-ES" w:eastAsia="es-ES"/>
        </w:rPr>
        <w:t xml:space="preserve">Se conoce </w:t>
      </w:r>
      <w:r>
        <w:rPr>
          <w:rFonts w:ascii="Garamond" w:hAnsi="Garamond" w:cs="Garamond"/>
          <w:b/>
          <w:bCs/>
          <w:sz w:val="18"/>
          <w:szCs w:val="18"/>
          <w:lang w:val="es-ES" w:eastAsia="es-ES"/>
        </w:rPr>
        <w:t xml:space="preserve">RECURSO DE APELACIÓN EN SUBSIDIO INCIDENTE DE NULIDAD ABSOLUTA, </w:t>
      </w:r>
      <w:r>
        <w:rPr>
          <w:sz w:val="23"/>
          <w:szCs w:val="23"/>
          <w:lang w:val="es-ES" w:eastAsia="es-ES"/>
        </w:rPr>
        <w:t xml:space="preserve">interpuesto por </w:t>
      </w:r>
      <w:r>
        <w:rPr>
          <w:rFonts w:ascii="Garamond" w:hAnsi="Garamond" w:cs="Garamond"/>
          <w:b/>
          <w:bCs/>
          <w:sz w:val="18"/>
          <w:szCs w:val="18"/>
          <w:lang w:val="es-ES" w:eastAsia="es-ES"/>
        </w:rPr>
        <w:t>E</w:t>
      </w:r>
      <w:r w:rsidR="00640B43">
        <w:rPr>
          <w:rFonts w:ascii="Garamond" w:hAnsi="Garamond" w:cs="Garamond"/>
          <w:b/>
          <w:bCs/>
          <w:sz w:val="18"/>
          <w:szCs w:val="18"/>
          <w:lang w:val="es-ES" w:eastAsia="es-ES"/>
        </w:rPr>
        <w:t>.E.G.R.</w:t>
      </w:r>
      <w:r>
        <w:rPr>
          <w:sz w:val="23"/>
          <w:szCs w:val="23"/>
          <w:lang w:val="es-ES" w:eastAsia="es-ES"/>
        </w:rPr>
        <w:t xml:space="preserve">, cédula de identidad </w:t>
      </w:r>
      <w:r w:rsidR="00640B43">
        <w:rPr>
          <w:sz w:val="23"/>
          <w:szCs w:val="23"/>
          <w:lang w:val="es-ES" w:eastAsia="es-ES"/>
        </w:rPr>
        <w:t>…</w:t>
      </w:r>
      <w:r>
        <w:rPr>
          <w:sz w:val="23"/>
          <w:szCs w:val="23"/>
          <w:lang w:val="es-ES" w:eastAsia="es-ES"/>
        </w:rPr>
        <w:t>, en contra del Ar</w:t>
      </w:r>
      <w:r>
        <w:rPr>
          <w:sz w:val="23"/>
          <w:szCs w:val="23"/>
          <w:lang w:val="es-ES" w:eastAsia="es-ES"/>
        </w:rPr>
        <w:t xml:space="preserve">tículo 7.5.1 de la Sesión Ordinaria 56-2014 del 2 de octubre del 2014, adoptado por la Junta Directiva del Consejo de Transporte Público, y que se tramita en este Despacho bajo el </w:t>
      </w:r>
      <w:r>
        <w:rPr>
          <w:rFonts w:ascii="Garamond" w:hAnsi="Garamond" w:cs="Garamond"/>
          <w:b/>
          <w:bCs/>
          <w:sz w:val="18"/>
          <w:szCs w:val="18"/>
          <w:lang w:val="es-ES" w:eastAsia="es-ES"/>
        </w:rPr>
        <w:t>Expediente Administrativo N° TAT-138-15.</w:t>
      </w:r>
    </w:p>
    <w:p w:rsidR="00000000" w:rsidRDefault="00581449">
      <w:pPr>
        <w:kinsoku w:val="0"/>
        <w:overflowPunct w:val="0"/>
        <w:autoSpaceDE/>
        <w:autoSpaceDN/>
        <w:adjustRightInd/>
        <w:spacing w:before="414" w:line="236" w:lineRule="exact"/>
        <w:jc w:val="center"/>
        <w:textAlignment w:val="baseline"/>
        <w:rPr>
          <w:rFonts w:ascii="Garamond" w:hAnsi="Garamond" w:cs="Garamond"/>
          <w:b/>
          <w:bCs/>
          <w:spacing w:val="27"/>
          <w:sz w:val="18"/>
          <w:szCs w:val="18"/>
          <w:lang w:val="es-ES" w:eastAsia="es-ES"/>
        </w:rPr>
      </w:pPr>
      <w:r>
        <w:rPr>
          <w:rFonts w:ascii="Garamond" w:hAnsi="Garamond" w:cs="Garamond"/>
          <w:b/>
          <w:bCs/>
          <w:spacing w:val="27"/>
          <w:sz w:val="18"/>
          <w:szCs w:val="18"/>
          <w:lang w:val="es-ES" w:eastAsia="es-ES"/>
        </w:rPr>
        <w:t>RESULTANDO</w:t>
      </w:r>
    </w:p>
    <w:p w:rsidR="00000000" w:rsidRDefault="00581449">
      <w:pPr>
        <w:kinsoku w:val="0"/>
        <w:overflowPunct w:val="0"/>
        <w:autoSpaceDE/>
        <w:autoSpaceDN/>
        <w:adjustRightInd/>
        <w:spacing w:before="281" w:line="273" w:lineRule="exact"/>
        <w:jc w:val="both"/>
        <w:textAlignment w:val="baseline"/>
        <w:rPr>
          <w:sz w:val="23"/>
          <w:szCs w:val="23"/>
          <w:lang w:val="es-ES" w:eastAsia="es-ES"/>
        </w:rPr>
      </w:pPr>
      <w:r>
        <w:rPr>
          <w:rFonts w:ascii="Garamond" w:hAnsi="Garamond" w:cs="Garamond"/>
          <w:b/>
          <w:bCs/>
          <w:sz w:val="18"/>
          <w:szCs w:val="18"/>
          <w:lang w:val="es-ES" w:eastAsia="es-ES"/>
        </w:rPr>
        <w:t xml:space="preserve">PRIMERO.- </w:t>
      </w:r>
      <w:r>
        <w:rPr>
          <w:sz w:val="23"/>
          <w:szCs w:val="23"/>
          <w:lang w:val="es-ES" w:eastAsia="es-ES"/>
        </w:rPr>
        <w:t>La Junta Direc</w:t>
      </w:r>
      <w:r>
        <w:rPr>
          <w:sz w:val="23"/>
          <w:szCs w:val="23"/>
          <w:lang w:val="es-ES" w:eastAsia="es-ES"/>
        </w:rPr>
        <w:t>tiva del Consejo de Transporte Público, en el Artículo 7.5.1 de la Sesión Ordinaria 56-2014 del 2 de octubre del 2014, conoce el informe DAJ-2011-00003 del 3 de enero del 2011, emitido por la Dirección Jurídica del citado Consejo en el que recomienda lo si</w:t>
      </w:r>
      <w:r>
        <w:rPr>
          <w:sz w:val="23"/>
          <w:szCs w:val="23"/>
          <w:lang w:val="es-ES" w:eastAsia="es-ES"/>
        </w:rPr>
        <w:t>guiente:</w:t>
      </w:r>
    </w:p>
    <w:p w:rsidR="00000000" w:rsidRDefault="00581449">
      <w:pPr>
        <w:kinsoku w:val="0"/>
        <w:overflowPunct w:val="0"/>
        <w:autoSpaceDE/>
        <w:autoSpaceDN/>
        <w:adjustRightInd/>
        <w:spacing w:before="222" w:line="226" w:lineRule="exact"/>
        <w:ind w:left="792" w:right="936"/>
        <w:textAlignment w:val="baseline"/>
        <w:rPr>
          <w:sz w:val="19"/>
          <w:szCs w:val="19"/>
          <w:lang w:val="es-ES" w:eastAsia="es-ES"/>
        </w:rPr>
      </w:pPr>
      <w:r>
        <w:rPr>
          <w:sz w:val="19"/>
          <w:szCs w:val="19"/>
          <w:lang w:val="es-ES" w:eastAsia="es-ES"/>
        </w:rPr>
        <w:t xml:space="preserve">"(...) </w:t>
      </w:r>
      <w:r>
        <w:rPr>
          <w:rFonts w:ascii="Garamond" w:hAnsi="Garamond" w:cs="Garamond"/>
          <w:b/>
          <w:bCs/>
          <w:sz w:val="18"/>
          <w:szCs w:val="18"/>
          <w:lang w:val="es-ES" w:eastAsia="es-ES"/>
        </w:rPr>
        <w:t xml:space="preserve">1) </w:t>
      </w:r>
      <w:r>
        <w:rPr>
          <w:sz w:val="19"/>
          <w:szCs w:val="19"/>
          <w:lang w:val="es-ES" w:eastAsia="es-ES"/>
        </w:rPr>
        <w:t xml:space="preserve">Iniciar el Procedimiento Administrativo Ordinario para averiguar la verdad real de los hechos respecto </w:t>
      </w:r>
      <w:r>
        <w:rPr>
          <w:rFonts w:ascii="Garamond" w:hAnsi="Garamond" w:cs="Garamond"/>
          <w:b/>
          <w:bCs/>
          <w:sz w:val="18"/>
          <w:szCs w:val="18"/>
          <w:lang w:val="es-ES" w:eastAsia="es-ES"/>
        </w:rPr>
        <w:t xml:space="preserve">de la </w:t>
      </w:r>
      <w:r>
        <w:rPr>
          <w:sz w:val="19"/>
          <w:szCs w:val="19"/>
          <w:lang w:val="es-ES" w:eastAsia="es-ES"/>
        </w:rPr>
        <w:t>Concesión Administrativa de Taxi del siguiente</w:t>
      </w:r>
    </w:p>
    <w:p w:rsidR="00000000" w:rsidRDefault="00581449">
      <w:pPr>
        <w:kinsoku w:val="0"/>
        <w:overflowPunct w:val="0"/>
        <w:autoSpaceDE/>
        <w:autoSpaceDN/>
        <w:adjustRightInd/>
        <w:spacing w:after="194" w:line="223" w:lineRule="exact"/>
        <w:ind w:left="792"/>
        <w:textAlignment w:val="baseline"/>
        <w:rPr>
          <w:sz w:val="19"/>
          <w:szCs w:val="19"/>
          <w:lang w:val="es-ES" w:eastAsia="es-ES"/>
        </w:rPr>
      </w:pPr>
      <w:r>
        <w:rPr>
          <w:sz w:val="19"/>
          <w:szCs w:val="19"/>
          <w:lang w:val="es-ES" w:eastAsia="es-ES"/>
        </w:rPr>
        <w:t>concesionario:</w:t>
      </w:r>
    </w:p>
    <w:tbl>
      <w:tblPr>
        <w:tblW w:w="0" w:type="auto"/>
        <w:tblInd w:w="663" w:type="dxa"/>
        <w:tblLayout w:type="fixed"/>
        <w:tblCellMar>
          <w:left w:w="0" w:type="dxa"/>
          <w:right w:w="0" w:type="dxa"/>
        </w:tblCellMar>
        <w:tblLook w:val="0000" w:firstRow="0" w:lastRow="0" w:firstColumn="0" w:lastColumn="0" w:noHBand="0" w:noVBand="0"/>
      </w:tblPr>
      <w:tblGrid>
        <w:gridCol w:w="2669"/>
        <w:gridCol w:w="1349"/>
        <w:gridCol w:w="1099"/>
        <w:gridCol w:w="1099"/>
        <w:gridCol w:w="1114"/>
      </w:tblGrid>
      <w:tr w:rsidR="00000000">
        <w:tblPrEx>
          <w:tblCellMar>
            <w:top w:w="0" w:type="dxa"/>
            <w:left w:w="0" w:type="dxa"/>
            <w:bottom w:w="0" w:type="dxa"/>
            <w:right w:w="0" w:type="dxa"/>
          </w:tblCellMar>
        </w:tblPrEx>
        <w:trPr>
          <w:trHeight w:hRule="exact" w:val="778"/>
        </w:trPr>
        <w:tc>
          <w:tcPr>
            <w:tcW w:w="2669"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before="266" w:after="266" w:line="236" w:lineRule="exact"/>
              <w:ind w:left="665"/>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Concesionario</w:t>
            </w:r>
          </w:p>
        </w:tc>
        <w:tc>
          <w:tcPr>
            <w:tcW w:w="1349"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before="161" w:after="155" w:line="226" w:lineRule="exact"/>
              <w:jc w:val="center"/>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Cédula de</w:t>
            </w:r>
            <w:r>
              <w:rPr>
                <w:rFonts w:ascii="Garamond" w:hAnsi="Garamond" w:cs="Garamond"/>
                <w:b/>
                <w:bCs/>
                <w:sz w:val="18"/>
                <w:szCs w:val="18"/>
                <w:lang w:val="es-ES" w:eastAsia="es-ES"/>
              </w:rPr>
              <w:br/>
              <w:t>identidad</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before="265" w:after="264" w:line="239" w:lineRule="exact"/>
              <w:ind w:right="264"/>
              <w:jc w:val="right"/>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Código</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before="267" w:after="265" w:line="236" w:lineRule="exact"/>
              <w:ind w:right="264"/>
              <w:jc w:val="right"/>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 Placa</w:t>
            </w: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before="169" w:after="149" w:line="225" w:lineRule="exact"/>
              <w:ind w:left="144" w:firstLine="144"/>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Base de Operación</w:t>
            </w:r>
          </w:p>
        </w:tc>
      </w:tr>
      <w:tr w:rsidR="00000000">
        <w:tblPrEx>
          <w:tblCellMar>
            <w:top w:w="0" w:type="dxa"/>
            <w:left w:w="0" w:type="dxa"/>
            <w:bottom w:w="0" w:type="dxa"/>
            <w:right w:w="0" w:type="dxa"/>
          </w:tblCellMar>
        </w:tblPrEx>
        <w:trPr>
          <w:trHeight w:hRule="exact" w:val="317"/>
        </w:trPr>
        <w:tc>
          <w:tcPr>
            <w:tcW w:w="2669" w:type="dxa"/>
            <w:tcBorders>
              <w:top w:val="single" w:sz="4" w:space="0" w:color="auto"/>
              <w:left w:val="single" w:sz="4" w:space="0" w:color="auto"/>
              <w:bottom w:val="single" w:sz="4" w:space="0" w:color="auto"/>
              <w:right w:val="single" w:sz="4" w:space="0" w:color="auto"/>
            </w:tcBorders>
            <w:vAlign w:val="center"/>
          </w:tcPr>
          <w:p w:rsidR="00000000" w:rsidRDefault="00581449" w:rsidP="00640B43">
            <w:pPr>
              <w:kinsoku w:val="0"/>
              <w:overflowPunct w:val="0"/>
              <w:autoSpaceDE/>
              <w:autoSpaceDN/>
              <w:adjustRightInd/>
              <w:spacing w:after="77" w:line="230" w:lineRule="exact"/>
              <w:jc w:val="center"/>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E</w:t>
            </w:r>
            <w:r w:rsidR="00640B43">
              <w:rPr>
                <w:rFonts w:ascii="Garamond" w:hAnsi="Garamond" w:cs="Garamond"/>
                <w:b/>
                <w:bCs/>
                <w:sz w:val="18"/>
                <w:szCs w:val="18"/>
                <w:lang w:val="es-ES" w:eastAsia="es-ES"/>
              </w:rPr>
              <w:t>.E.G.R.</w:t>
            </w:r>
          </w:p>
        </w:tc>
        <w:tc>
          <w:tcPr>
            <w:tcW w:w="1349" w:type="dxa"/>
            <w:tcBorders>
              <w:top w:val="single" w:sz="4" w:space="0" w:color="auto"/>
              <w:left w:val="single" w:sz="4" w:space="0" w:color="auto"/>
              <w:bottom w:val="single" w:sz="4" w:space="0" w:color="auto"/>
              <w:right w:val="single" w:sz="4" w:space="0" w:color="auto"/>
            </w:tcBorders>
            <w:vAlign w:val="center"/>
          </w:tcPr>
          <w:p w:rsidR="00000000" w:rsidRDefault="00640B43" w:rsidP="00640B43">
            <w:pPr>
              <w:kinsoku w:val="0"/>
              <w:overflowPunct w:val="0"/>
              <w:autoSpaceDE/>
              <w:autoSpaceDN/>
              <w:adjustRightInd/>
              <w:spacing w:after="79" w:line="228" w:lineRule="exact"/>
              <w:ind w:left="125"/>
              <w:jc w:val="center"/>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after="80" w:line="227" w:lineRule="exact"/>
              <w:ind w:right="624"/>
              <w:jc w:val="right"/>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TSJ</w:t>
            </w:r>
          </w:p>
        </w:tc>
        <w:tc>
          <w:tcPr>
            <w:tcW w:w="1099" w:type="dxa"/>
            <w:tcBorders>
              <w:top w:val="single" w:sz="4" w:space="0" w:color="auto"/>
              <w:left w:val="single" w:sz="4" w:space="0" w:color="auto"/>
              <w:bottom w:val="single" w:sz="4" w:space="0" w:color="auto"/>
              <w:right w:val="single" w:sz="4" w:space="0" w:color="auto"/>
            </w:tcBorders>
            <w:vAlign w:val="center"/>
          </w:tcPr>
          <w:p w:rsidR="00000000" w:rsidRDefault="00640B43" w:rsidP="00640B43">
            <w:pPr>
              <w:kinsoku w:val="0"/>
              <w:overflowPunct w:val="0"/>
              <w:autoSpaceDE/>
              <w:autoSpaceDN/>
              <w:adjustRightInd/>
              <w:spacing w:after="75" w:line="232" w:lineRule="exact"/>
              <w:ind w:left="115"/>
              <w:jc w:val="center"/>
              <w:textAlignment w:val="baseline"/>
              <w:rPr>
                <w:rFonts w:ascii="Garamond" w:hAnsi="Garamond" w:cs="Garamond"/>
                <w:b/>
                <w:bCs/>
                <w:sz w:val="18"/>
                <w:szCs w:val="18"/>
                <w:lang w:val="es-ES" w:eastAsia="es-ES"/>
              </w:rPr>
            </w:pPr>
            <w:r>
              <w:rPr>
                <w:rFonts w:ascii="Garamond" w:hAnsi="Garamond" w:cs="Garamond"/>
                <w:b/>
                <w:bCs/>
                <w:sz w:val="18"/>
                <w:szCs w:val="18"/>
                <w:lang w:val="es-ES" w:eastAsia="es-ES"/>
              </w:rPr>
              <w:t>XXXX</w:t>
            </w:r>
          </w:p>
        </w:tc>
        <w:tc>
          <w:tcPr>
            <w:tcW w:w="1114" w:type="dxa"/>
            <w:tcBorders>
              <w:top w:val="single" w:sz="4" w:space="0" w:color="auto"/>
              <w:left w:val="single" w:sz="4" w:space="0" w:color="auto"/>
              <w:bottom w:val="single" w:sz="4" w:space="0" w:color="auto"/>
              <w:right w:val="single" w:sz="4" w:space="0" w:color="auto"/>
            </w:tcBorders>
            <w:vAlign w:val="center"/>
          </w:tcPr>
          <w:p w:rsidR="00000000" w:rsidRDefault="00581449">
            <w:pPr>
              <w:kinsoku w:val="0"/>
              <w:overflowPunct w:val="0"/>
              <w:autoSpaceDE/>
              <w:autoSpaceDN/>
              <w:adjustRightInd/>
              <w:spacing w:after="70" w:line="226" w:lineRule="exact"/>
              <w:ind w:left="115"/>
              <w:textAlignment w:val="baseline"/>
              <w:rPr>
                <w:sz w:val="19"/>
                <w:szCs w:val="19"/>
                <w:lang w:val="es-ES" w:eastAsia="es-ES"/>
              </w:rPr>
            </w:pPr>
            <w:r>
              <w:rPr>
                <w:rFonts w:ascii="Garamond" w:hAnsi="Garamond" w:cs="Garamond"/>
                <w:b/>
                <w:bCs/>
                <w:sz w:val="18"/>
                <w:szCs w:val="18"/>
                <w:lang w:val="es-ES" w:eastAsia="es-ES"/>
              </w:rPr>
              <w:t xml:space="preserve">San </w:t>
            </w:r>
            <w:r>
              <w:rPr>
                <w:sz w:val="19"/>
                <w:szCs w:val="19"/>
                <w:lang w:val="es-ES" w:eastAsia="es-ES"/>
              </w:rPr>
              <w:t>José</w:t>
            </w:r>
          </w:p>
        </w:tc>
      </w:tr>
    </w:tbl>
    <w:p w:rsidR="00000000" w:rsidRDefault="00581449">
      <w:pPr>
        <w:kinsoku w:val="0"/>
        <w:overflowPunct w:val="0"/>
        <w:autoSpaceDE/>
        <w:autoSpaceDN/>
        <w:adjustRightInd/>
        <w:spacing w:after="185" w:line="20" w:lineRule="exact"/>
        <w:ind w:left="658" w:right="652"/>
        <w:textAlignment w:val="baseline"/>
        <w:rPr>
          <w:sz w:val="24"/>
          <w:szCs w:val="24"/>
        </w:rPr>
      </w:pPr>
    </w:p>
    <w:p w:rsidR="00000000" w:rsidRDefault="00581449">
      <w:pPr>
        <w:kinsoku w:val="0"/>
        <w:overflowPunct w:val="0"/>
        <w:autoSpaceDE/>
        <w:autoSpaceDN/>
        <w:adjustRightInd/>
        <w:spacing w:before="17" w:line="226" w:lineRule="exact"/>
        <w:ind w:left="792" w:right="792"/>
        <w:jc w:val="both"/>
        <w:textAlignment w:val="baseline"/>
        <w:rPr>
          <w:spacing w:val="3"/>
          <w:sz w:val="19"/>
          <w:szCs w:val="19"/>
          <w:lang w:val="es-ES" w:eastAsia="es-ES"/>
        </w:rPr>
      </w:pPr>
      <w:r>
        <w:rPr>
          <w:spacing w:val="3"/>
          <w:sz w:val="19"/>
          <w:szCs w:val="19"/>
          <w:lang w:val="es-ES" w:eastAsia="es-ES"/>
        </w:rPr>
        <w:t xml:space="preserve">2) Suspender </w:t>
      </w:r>
      <w:r>
        <w:rPr>
          <w:rFonts w:ascii="Garamond" w:hAnsi="Garamond" w:cs="Garamond"/>
          <w:b/>
          <w:bCs/>
          <w:spacing w:val="3"/>
          <w:sz w:val="18"/>
          <w:szCs w:val="18"/>
          <w:lang w:val="es-ES" w:eastAsia="es-ES"/>
        </w:rPr>
        <w:t xml:space="preserve">la tramitación de la </w:t>
      </w:r>
      <w:r>
        <w:rPr>
          <w:spacing w:val="3"/>
          <w:sz w:val="19"/>
          <w:szCs w:val="19"/>
          <w:lang w:val="es-ES" w:eastAsia="es-ES"/>
        </w:rPr>
        <w:t xml:space="preserve">solicitud de autorización previa </w:t>
      </w:r>
      <w:r>
        <w:rPr>
          <w:rFonts w:ascii="Garamond" w:hAnsi="Garamond" w:cs="Garamond"/>
          <w:b/>
          <w:bCs/>
          <w:spacing w:val="3"/>
          <w:sz w:val="18"/>
          <w:szCs w:val="18"/>
          <w:lang w:val="es-ES" w:eastAsia="es-ES"/>
        </w:rPr>
        <w:t xml:space="preserve">para </w:t>
      </w:r>
      <w:r>
        <w:rPr>
          <w:spacing w:val="3"/>
          <w:sz w:val="19"/>
          <w:szCs w:val="19"/>
          <w:lang w:val="es-ES" w:eastAsia="es-ES"/>
        </w:rPr>
        <w:t xml:space="preserve">ceder la concesión administrativa </w:t>
      </w:r>
      <w:r>
        <w:rPr>
          <w:rFonts w:ascii="Garamond" w:hAnsi="Garamond" w:cs="Garamond"/>
          <w:b/>
          <w:bCs/>
          <w:spacing w:val="3"/>
          <w:sz w:val="18"/>
          <w:szCs w:val="18"/>
          <w:lang w:val="es-ES" w:eastAsia="es-ES"/>
        </w:rPr>
        <w:t xml:space="preserve">de conformidad </w:t>
      </w:r>
      <w:r>
        <w:rPr>
          <w:spacing w:val="3"/>
          <w:sz w:val="19"/>
          <w:szCs w:val="19"/>
          <w:lang w:val="es-ES" w:eastAsia="es-ES"/>
        </w:rPr>
        <w:t>con el artículo 42 de la Ley N° 7969 presentada por el señor E</w:t>
      </w:r>
      <w:r w:rsidR="00640B43">
        <w:rPr>
          <w:spacing w:val="3"/>
          <w:sz w:val="19"/>
          <w:szCs w:val="19"/>
          <w:lang w:val="es-ES" w:eastAsia="es-ES"/>
        </w:rPr>
        <w:t>.E.G.R.</w:t>
      </w:r>
      <w:r>
        <w:rPr>
          <w:spacing w:val="3"/>
          <w:sz w:val="19"/>
          <w:szCs w:val="19"/>
          <w:lang w:val="es-ES" w:eastAsia="es-ES"/>
        </w:rPr>
        <w:t xml:space="preserve">, cédula de identidad número </w:t>
      </w:r>
      <w:r w:rsidR="00640B43">
        <w:rPr>
          <w:spacing w:val="3"/>
          <w:sz w:val="19"/>
          <w:szCs w:val="19"/>
          <w:lang w:val="es-ES" w:eastAsia="es-ES"/>
        </w:rPr>
        <w:t>…</w:t>
      </w:r>
      <w:r>
        <w:rPr>
          <w:spacing w:val="3"/>
          <w:sz w:val="19"/>
          <w:szCs w:val="19"/>
          <w:lang w:val="es-ES" w:eastAsia="es-ES"/>
        </w:rPr>
        <w:t xml:space="preserve">, </w:t>
      </w:r>
      <w:r>
        <w:rPr>
          <w:i/>
          <w:iCs/>
          <w:spacing w:val="3"/>
          <w:sz w:val="19"/>
          <w:szCs w:val="19"/>
          <w:u w:val="single"/>
          <w:lang w:val="es-ES" w:eastAsia="es-ES"/>
        </w:rPr>
        <w:t xml:space="preserve">quedando la misma </w:t>
      </w:r>
      <w:r>
        <w:rPr>
          <w:b/>
          <w:bCs/>
          <w:i/>
          <w:iCs/>
          <w:spacing w:val="3"/>
          <w:sz w:val="19"/>
          <w:szCs w:val="19"/>
          <w:u w:val="single"/>
          <w:lang w:val="es-ES" w:eastAsia="es-ES"/>
        </w:rPr>
        <w:t xml:space="preserve">suspendida a las resultas de dicho procedimiento ordinario administrativo." </w:t>
      </w:r>
      <w:r>
        <w:rPr>
          <w:spacing w:val="3"/>
          <w:sz w:val="19"/>
          <w:szCs w:val="19"/>
          <w:lang w:val="es-ES" w:eastAsia="es-ES"/>
        </w:rPr>
        <w:t xml:space="preserve">(Léanse los folios </w:t>
      </w:r>
      <w:r>
        <w:rPr>
          <w:rFonts w:ascii="Garamond" w:hAnsi="Garamond" w:cs="Garamond"/>
          <w:b/>
          <w:bCs/>
          <w:spacing w:val="3"/>
          <w:sz w:val="18"/>
          <w:szCs w:val="18"/>
          <w:lang w:val="es-ES" w:eastAsia="es-ES"/>
        </w:rPr>
        <w:t xml:space="preserve">10 al 17 del </w:t>
      </w:r>
      <w:r>
        <w:rPr>
          <w:spacing w:val="3"/>
          <w:sz w:val="19"/>
          <w:szCs w:val="19"/>
          <w:lang w:val="es-ES" w:eastAsia="es-ES"/>
        </w:rPr>
        <w:t>expediente administrativo TAT-138-15) (La negrita es del original)</w:t>
      </w:r>
    </w:p>
    <w:p w:rsidR="00000000" w:rsidRDefault="00581449">
      <w:pPr>
        <w:kinsoku w:val="0"/>
        <w:overflowPunct w:val="0"/>
        <w:autoSpaceDE/>
        <w:autoSpaceDN/>
        <w:adjustRightInd/>
        <w:spacing w:before="283" w:line="273" w:lineRule="exact"/>
        <w:jc w:val="both"/>
        <w:textAlignment w:val="baseline"/>
        <w:rPr>
          <w:spacing w:val="1"/>
          <w:sz w:val="23"/>
          <w:szCs w:val="23"/>
          <w:lang w:val="es-ES" w:eastAsia="es-ES"/>
        </w:rPr>
      </w:pPr>
      <w:r>
        <w:rPr>
          <w:spacing w:val="1"/>
          <w:sz w:val="23"/>
          <w:szCs w:val="23"/>
          <w:lang w:val="es-ES" w:eastAsia="es-ES"/>
        </w:rPr>
        <w:t xml:space="preserve">La Junta Directiva acuerda acoger las recomendaciones del informe de cita, y en consecuencia ordena iniciar </w:t>
      </w:r>
      <w:r>
        <w:rPr>
          <w:rFonts w:ascii="Garamond" w:hAnsi="Garamond" w:cs="Garamond"/>
          <w:b/>
          <w:bCs/>
          <w:spacing w:val="1"/>
          <w:sz w:val="18"/>
          <w:szCs w:val="18"/>
          <w:lang w:val="es-ES" w:eastAsia="es-ES"/>
        </w:rPr>
        <w:t xml:space="preserve">el </w:t>
      </w:r>
      <w:r>
        <w:rPr>
          <w:spacing w:val="1"/>
          <w:sz w:val="23"/>
          <w:szCs w:val="23"/>
          <w:lang w:val="es-ES" w:eastAsia="es-ES"/>
        </w:rPr>
        <w:t>Procedimiento administrativo ordinario para averiguar la verdad real de los hechos respecto de la concesión administrativa de taxi placa TSJ …</w:t>
      </w:r>
      <w:r>
        <w:rPr>
          <w:spacing w:val="1"/>
          <w:sz w:val="23"/>
          <w:szCs w:val="23"/>
          <w:lang w:val="es-ES" w:eastAsia="es-ES"/>
        </w:rPr>
        <w:t>, basada en los fundamentos, motivos y contenidos del informe DAJ-2011-00003 del 3 de enero del 2011.</w:t>
      </w:r>
    </w:p>
    <w:p w:rsidR="00000000" w:rsidRDefault="00581449">
      <w:pPr>
        <w:kinsoku w:val="0"/>
        <w:overflowPunct w:val="0"/>
        <w:autoSpaceDE/>
        <w:autoSpaceDN/>
        <w:adjustRightInd/>
        <w:spacing w:before="563" w:line="226" w:lineRule="exact"/>
        <w:jc w:val="right"/>
        <w:textAlignment w:val="baseline"/>
        <w:rPr>
          <w:sz w:val="19"/>
          <w:szCs w:val="19"/>
          <w:lang w:val="es-ES" w:eastAsia="es-ES"/>
        </w:rPr>
      </w:pPr>
    </w:p>
    <w:p w:rsidR="00000000" w:rsidRDefault="00581449">
      <w:pPr>
        <w:kinsoku w:val="0"/>
        <w:overflowPunct w:val="0"/>
        <w:autoSpaceDE/>
        <w:autoSpaceDN/>
        <w:adjustRightInd/>
        <w:spacing w:line="216" w:lineRule="exact"/>
        <w:jc w:val="right"/>
        <w:textAlignment w:val="baseline"/>
        <w:rPr>
          <w:spacing w:val="-8"/>
          <w:sz w:val="19"/>
          <w:szCs w:val="19"/>
          <w:lang w:val="es-ES" w:eastAsia="es-ES"/>
        </w:rPr>
      </w:pPr>
    </w:p>
    <w:p w:rsidR="00000000" w:rsidRDefault="00581449">
      <w:pPr>
        <w:widowControl/>
        <w:rPr>
          <w:sz w:val="24"/>
          <w:szCs w:val="24"/>
        </w:rPr>
        <w:sectPr w:rsidR="00000000">
          <w:pgSz w:w="12134" w:h="15840"/>
          <w:pgMar w:top="2060" w:right="1848" w:bottom="324" w:left="1646" w:header="720" w:footer="720" w:gutter="0"/>
          <w:cols w:space="720"/>
          <w:noEndnote/>
        </w:sectPr>
      </w:pPr>
    </w:p>
    <w:p w:rsidR="00000000" w:rsidRDefault="00581449">
      <w:pPr>
        <w:kinsoku w:val="0"/>
        <w:overflowPunct w:val="0"/>
        <w:autoSpaceDE/>
        <w:autoSpaceDN/>
        <w:adjustRightInd/>
        <w:spacing w:before="1" w:line="272" w:lineRule="exact"/>
        <w:jc w:val="both"/>
        <w:textAlignment w:val="baseline"/>
        <w:rPr>
          <w:rFonts w:ascii="Garamond" w:hAnsi="Garamond" w:cs="Garamond"/>
          <w:sz w:val="24"/>
          <w:szCs w:val="24"/>
          <w:lang w:val="es-ES" w:eastAsia="es-ES"/>
        </w:rPr>
      </w:pPr>
      <w:r>
        <w:rPr>
          <w:rFonts w:ascii="Garamond" w:hAnsi="Garamond" w:cs="Garamond"/>
          <w:sz w:val="24"/>
          <w:szCs w:val="24"/>
          <w:lang w:val="es-ES" w:eastAsia="es-ES"/>
        </w:rPr>
        <w:lastRenderedPageBreak/>
        <w:t>Notifica el acuerdo el día 21 de noviembre del dos mil catorce al fax 22570582, mismo que se señala en la interp</w:t>
      </w:r>
      <w:r>
        <w:rPr>
          <w:rFonts w:ascii="Garamond" w:hAnsi="Garamond" w:cs="Garamond"/>
          <w:sz w:val="24"/>
          <w:szCs w:val="24"/>
          <w:lang w:val="es-ES" w:eastAsia="es-ES"/>
        </w:rPr>
        <w:t>osición de los recursos. (Léanse los folios 15 y 25 vuelto del expediente administrativo TAT-138-15)</w:t>
      </w:r>
    </w:p>
    <w:p w:rsidR="00000000" w:rsidRDefault="00581449">
      <w:pPr>
        <w:kinsoku w:val="0"/>
        <w:overflowPunct w:val="0"/>
        <w:autoSpaceDE/>
        <w:autoSpaceDN/>
        <w:adjustRightInd/>
        <w:spacing w:before="489" w:line="272" w:lineRule="exact"/>
        <w:jc w:val="both"/>
        <w:textAlignment w:val="baseline"/>
        <w:rPr>
          <w:rFonts w:ascii="Garamond" w:hAnsi="Garamond" w:cs="Garamond"/>
          <w:sz w:val="24"/>
          <w:szCs w:val="24"/>
          <w:lang w:val="es-ES" w:eastAsia="es-ES"/>
        </w:rPr>
      </w:pPr>
      <w:r>
        <w:rPr>
          <w:rFonts w:ascii="Garamond" w:hAnsi="Garamond" w:cs="Garamond"/>
          <w:b/>
          <w:bCs/>
          <w:sz w:val="21"/>
          <w:szCs w:val="21"/>
          <w:lang w:val="es-ES" w:eastAsia="es-ES"/>
        </w:rPr>
        <w:t xml:space="preserve">SEGUNDO.- </w:t>
      </w:r>
      <w:r>
        <w:rPr>
          <w:rFonts w:ascii="Garamond" w:hAnsi="Garamond" w:cs="Garamond"/>
          <w:sz w:val="24"/>
          <w:szCs w:val="24"/>
          <w:lang w:val="es-ES" w:eastAsia="es-ES"/>
        </w:rPr>
        <w:t xml:space="preserve">El señor </w:t>
      </w:r>
      <w:r>
        <w:rPr>
          <w:rFonts w:ascii="Garamond" w:hAnsi="Garamond" w:cs="Garamond"/>
          <w:b/>
          <w:bCs/>
          <w:sz w:val="21"/>
          <w:szCs w:val="21"/>
          <w:lang w:val="es-ES" w:eastAsia="es-ES"/>
        </w:rPr>
        <w:t>E.E.G.R.</w:t>
      </w:r>
      <w:r>
        <w:rPr>
          <w:rFonts w:ascii="Garamond" w:hAnsi="Garamond" w:cs="Garamond"/>
          <w:b/>
          <w:bCs/>
          <w:sz w:val="21"/>
          <w:szCs w:val="21"/>
          <w:lang w:val="es-ES" w:eastAsia="es-ES"/>
        </w:rPr>
        <w:t xml:space="preserve">, interpone el 27 de noviembre del 2014, </w:t>
      </w:r>
      <w:r>
        <w:rPr>
          <w:rFonts w:ascii="Garamond" w:hAnsi="Garamond" w:cs="Garamond"/>
          <w:sz w:val="24"/>
          <w:szCs w:val="24"/>
          <w:lang w:val="es-ES" w:eastAsia="es-ES"/>
        </w:rPr>
        <w:t xml:space="preserve">los Recursos de </w:t>
      </w:r>
      <w:r>
        <w:rPr>
          <w:rFonts w:ascii="Garamond" w:hAnsi="Garamond" w:cs="Garamond"/>
          <w:b/>
          <w:bCs/>
          <w:sz w:val="21"/>
          <w:szCs w:val="21"/>
          <w:lang w:val="es-ES" w:eastAsia="es-ES"/>
        </w:rPr>
        <w:t xml:space="preserve">Revocatoria </w:t>
      </w:r>
      <w:r>
        <w:rPr>
          <w:rFonts w:ascii="Garamond" w:hAnsi="Garamond" w:cs="Garamond"/>
          <w:sz w:val="24"/>
          <w:szCs w:val="24"/>
          <w:lang w:val="es-ES" w:eastAsia="es-ES"/>
        </w:rPr>
        <w:t xml:space="preserve">con Apelación en Subsidio </w:t>
      </w:r>
      <w:r>
        <w:rPr>
          <w:rFonts w:ascii="Garamond" w:hAnsi="Garamond" w:cs="Garamond"/>
          <w:b/>
          <w:bCs/>
          <w:sz w:val="21"/>
          <w:szCs w:val="21"/>
          <w:lang w:val="es-ES" w:eastAsia="es-ES"/>
        </w:rPr>
        <w:t xml:space="preserve">e </w:t>
      </w:r>
      <w:r>
        <w:rPr>
          <w:rFonts w:ascii="Garamond" w:hAnsi="Garamond" w:cs="Garamond"/>
          <w:sz w:val="24"/>
          <w:szCs w:val="24"/>
          <w:lang w:val="es-ES" w:eastAsia="es-ES"/>
        </w:rPr>
        <w:t>Incidente de Nu</w:t>
      </w:r>
      <w:r>
        <w:rPr>
          <w:rFonts w:ascii="Garamond" w:hAnsi="Garamond" w:cs="Garamond"/>
          <w:sz w:val="24"/>
          <w:szCs w:val="24"/>
          <w:lang w:val="es-ES" w:eastAsia="es-ES"/>
        </w:rPr>
        <w:t>lidad Concomitante, argumentando en resumen lo siguiente:</w:t>
      </w:r>
    </w:p>
    <w:p w:rsidR="00000000" w:rsidRDefault="00581449">
      <w:pPr>
        <w:kinsoku w:val="0"/>
        <w:overflowPunct w:val="0"/>
        <w:autoSpaceDE/>
        <w:autoSpaceDN/>
        <w:adjustRightInd/>
        <w:spacing w:before="120" w:line="227" w:lineRule="exact"/>
        <w:ind w:left="720" w:right="864"/>
        <w:jc w:val="both"/>
        <w:textAlignment w:val="baseline"/>
        <w:rPr>
          <w:sz w:val="19"/>
          <w:szCs w:val="19"/>
          <w:lang w:val="es-ES" w:eastAsia="es-ES"/>
        </w:rPr>
      </w:pPr>
      <w:r>
        <w:rPr>
          <w:sz w:val="19"/>
          <w:szCs w:val="19"/>
          <w:lang w:val="es-ES" w:eastAsia="es-ES"/>
        </w:rPr>
        <w:t>Ha sido respetuoso de todos los extremos de lo que el Consejo a través de múltiples actos que ha decidido en cuanto a los concesionarios administrativos, las polít</w:t>
      </w:r>
      <w:r>
        <w:rPr>
          <w:sz w:val="19"/>
          <w:szCs w:val="19"/>
          <w:lang w:val="es-ES" w:eastAsia="es-ES"/>
        </w:rPr>
        <w:t>icas del Consejo son sumamente incoherentes y poco eficientes, porque en su caso presentó una solicitud de autorización de traspaso, la cual me fue suspendida debido a que existía un procedimiento administrativo en su contra, y se presentó en reiteradas oc</w:t>
      </w:r>
      <w:r>
        <w:rPr>
          <w:sz w:val="19"/>
          <w:szCs w:val="19"/>
          <w:lang w:val="es-ES" w:eastAsia="es-ES"/>
        </w:rPr>
        <w:t>asiones a solicitar información al respecto y no se le indicó de que se trataba.</w:t>
      </w:r>
    </w:p>
    <w:p w:rsidR="00000000" w:rsidRDefault="00581449">
      <w:pPr>
        <w:kinsoku w:val="0"/>
        <w:overflowPunct w:val="0"/>
        <w:autoSpaceDE/>
        <w:autoSpaceDN/>
        <w:adjustRightInd/>
        <w:spacing w:before="217" w:line="227" w:lineRule="exact"/>
        <w:ind w:left="720" w:right="864"/>
        <w:jc w:val="both"/>
        <w:textAlignment w:val="baseline"/>
        <w:rPr>
          <w:sz w:val="19"/>
          <w:szCs w:val="19"/>
          <w:lang w:val="es-ES" w:eastAsia="es-ES"/>
        </w:rPr>
      </w:pPr>
      <w:r>
        <w:rPr>
          <w:sz w:val="19"/>
          <w:szCs w:val="19"/>
          <w:lang w:val="es-ES" w:eastAsia="es-ES"/>
        </w:rPr>
        <w:t>Indica que sí existió un poder generalísimo, se otorgó para un acto específico en algún momento de su vida y por estar seriamente enfermo en ese momento, pero nunca transfirió</w:t>
      </w:r>
      <w:r>
        <w:rPr>
          <w:sz w:val="19"/>
          <w:szCs w:val="19"/>
          <w:lang w:val="es-ES" w:eastAsia="es-ES"/>
        </w:rPr>
        <w:t xml:space="preserve"> la administración de la placa.</w:t>
      </w:r>
    </w:p>
    <w:p w:rsidR="00000000" w:rsidRDefault="00581449">
      <w:pPr>
        <w:kinsoku w:val="0"/>
        <w:overflowPunct w:val="0"/>
        <w:autoSpaceDE/>
        <w:autoSpaceDN/>
        <w:adjustRightInd/>
        <w:spacing w:before="224" w:line="227" w:lineRule="exact"/>
        <w:ind w:left="720" w:right="864"/>
        <w:jc w:val="both"/>
        <w:textAlignment w:val="baseline"/>
        <w:rPr>
          <w:sz w:val="19"/>
          <w:szCs w:val="19"/>
          <w:lang w:val="es-ES" w:eastAsia="es-ES"/>
        </w:rPr>
      </w:pPr>
      <w:r>
        <w:rPr>
          <w:sz w:val="19"/>
          <w:szCs w:val="19"/>
          <w:lang w:val="es-ES" w:eastAsia="es-ES"/>
        </w:rPr>
        <w:t>Solicita reconsiderar la actuación en su contra y se deje sin efecto las gestiones de procedimiento administrativo, de lo contrario se envíe el expediente en apelación al Tribunal Administrativo y se le permita seguir presta</w:t>
      </w:r>
      <w:r>
        <w:rPr>
          <w:sz w:val="19"/>
          <w:szCs w:val="19"/>
          <w:lang w:val="es-ES" w:eastAsia="es-ES"/>
        </w:rPr>
        <w:t>ndo servicio hasta que el Tribunal resuelva para que no se afecte en todos los derechos básicos, ya que es el único proveedor de su familia. (...)" (Léanse el folio 25 del expediente administrativo TAT-138-15)</w:t>
      </w:r>
    </w:p>
    <w:p w:rsidR="00000000" w:rsidRDefault="00581449">
      <w:pPr>
        <w:kinsoku w:val="0"/>
        <w:overflowPunct w:val="0"/>
        <w:autoSpaceDE/>
        <w:autoSpaceDN/>
        <w:adjustRightInd/>
        <w:spacing w:before="255" w:line="272" w:lineRule="exact"/>
        <w:jc w:val="both"/>
        <w:textAlignment w:val="baseline"/>
        <w:rPr>
          <w:rFonts w:ascii="Garamond" w:hAnsi="Garamond" w:cs="Garamond"/>
          <w:spacing w:val="3"/>
          <w:sz w:val="24"/>
          <w:szCs w:val="24"/>
          <w:lang w:val="es-ES" w:eastAsia="es-ES"/>
        </w:rPr>
      </w:pPr>
      <w:r>
        <w:rPr>
          <w:rFonts w:ascii="Garamond" w:hAnsi="Garamond" w:cs="Garamond"/>
          <w:b/>
          <w:bCs/>
          <w:spacing w:val="3"/>
          <w:sz w:val="21"/>
          <w:szCs w:val="21"/>
          <w:lang w:val="es-ES" w:eastAsia="es-ES"/>
        </w:rPr>
        <w:t xml:space="preserve">TERCERO.- </w:t>
      </w:r>
      <w:r>
        <w:rPr>
          <w:rFonts w:ascii="Garamond" w:hAnsi="Garamond" w:cs="Garamond"/>
          <w:spacing w:val="3"/>
          <w:sz w:val="24"/>
          <w:szCs w:val="24"/>
          <w:lang w:val="es-ES" w:eastAsia="es-ES"/>
        </w:rPr>
        <w:t xml:space="preserve">La Junta </w:t>
      </w:r>
      <w:r>
        <w:rPr>
          <w:rFonts w:ascii="Garamond" w:hAnsi="Garamond" w:cs="Garamond"/>
          <w:b/>
          <w:bCs/>
          <w:spacing w:val="3"/>
          <w:sz w:val="21"/>
          <w:szCs w:val="21"/>
          <w:lang w:val="es-ES" w:eastAsia="es-ES"/>
        </w:rPr>
        <w:t xml:space="preserve">Directiva </w:t>
      </w:r>
      <w:r>
        <w:rPr>
          <w:rFonts w:ascii="Garamond" w:hAnsi="Garamond" w:cs="Garamond"/>
          <w:spacing w:val="3"/>
          <w:sz w:val="24"/>
          <w:szCs w:val="24"/>
          <w:lang w:val="es-ES" w:eastAsia="es-ES"/>
        </w:rPr>
        <w:t>del Consejo de Transporte Público, en el Artículo 7.6.1 de la Sesión Ordinaria 9-2015 del 18 de febrero del 2015, conoce el informe DAJ 2015</w:t>
      </w:r>
      <w:r>
        <w:rPr>
          <w:rFonts w:ascii="Garamond" w:hAnsi="Garamond" w:cs="Garamond"/>
          <w:spacing w:val="3"/>
          <w:sz w:val="24"/>
          <w:szCs w:val="24"/>
          <w:lang w:val="es-ES" w:eastAsia="es-ES"/>
        </w:rPr>
        <w:softHyphen/>
        <w:t xml:space="preserve">000432 del 13 de </w:t>
      </w:r>
      <w:r>
        <w:rPr>
          <w:rFonts w:ascii="Garamond" w:hAnsi="Garamond" w:cs="Garamond"/>
          <w:b/>
          <w:bCs/>
          <w:spacing w:val="3"/>
          <w:sz w:val="21"/>
          <w:szCs w:val="21"/>
          <w:lang w:val="es-ES" w:eastAsia="es-ES"/>
        </w:rPr>
        <w:t xml:space="preserve">febrero del </w:t>
      </w:r>
      <w:r>
        <w:rPr>
          <w:rFonts w:ascii="Garamond" w:hAnsi="Garamond" w:cs="Garamond"/>
          <w:spacing w:val="3"/>
          <w:sz w:val="24"/>
          <w:szCs w:val="24"/>
          <w:lang w:val="es-ES" w:eastAsia="es-ES"/>
        </w:rPr>
        <w:t>2015, emitido por la Dirección de Asuntos Jurídicos, y basados en los fundamentos, mot</w:t>
      </w:r>
      <w:r>
        <w:rPr>
          <w:rFonts w:ascii="Garamond" w:hAnsi="Garamond" w:cs="Garamond"/>
          <w:spacing w:val="3"/>
          <w:sz w:val="24"/>
          <w:szCs w:val="24"/>
          <w:lang w:val="es-ES" w:eastAsia="es-ES"/>
        </w:rPr>
        <w:t xml:space="preserve">ivos y contenidos, desarrollados en los considerandos de este, y acuerda aprobar sus recomendaciones y rechazar el recurso de revocatoria e incidente de nulidad interpuesto contra el Artículo 7.5.1 de la Sesión Ordinaria 56-2014 del 2 de octubre del 2014, </w:t>
      </w:r>
      <w:r>
        <w:rPr>
          <w:rFonts w:ascii="Garamond" w:hAnsi="Garamond" w:cs="Garamond"/>
          <w:spacing w:val="3"/>
          <w:sz w:val="24"/>
          <w:szCs w:val="24"/>
          <w:lang w:val="es-ES" w:eastAsia="es-ES"/>
        </w:rPr>
        <w:t>por ser improcedentes. (Léanse los folios 20 a 23 del expediente administrativo TAT-138-15)</w:t>
      </w:r>
    </w:p>
    <w:p w:rsidR="00000000" w:rsidRDefault="00581449">
      <w:pPr>
        <w:kinsoku w:val="0"/>
        <w:overflowPunct w:val="0"/>
        <w:autoSpaceDE/>
        <w:autoSpaceDN/>
        <w:adjustRightInd/>
        <w:spacing w:before="390" w:line="272" w:lineRule="exact"/>
        <w:ind w:right="1368"/>
        <w:textAlignment w:val="baseline"/>
        <w:rPr>
          <w:rFonts w:ascii="Garamond" w:hAnsi="Garamond" w:cs="Garamond"/>
          <w:sz w:val="24"/>
          <w:szCs w:val="24"/>
          <w:lang w:val="es-ES" w:eastAsia="es-ES"/>
        </w:rPr>
      </w:pPr>
      <w:r>
        <w:rPr>
          <w:rFonts w:ascii="Garamond" w:hAnsi="Garamond" w:cs="Garamond"/>
          <w:b/>
          <w:bCs/>
          <w:sz w:val="21"/>
          <w:szCs w:val="21"/>
          <w:lang w:val="es-ES" w:eastAsia="es-ES"/>
        </w:rPr>
        <w:t xml:space="preserve">CUARTO.- </w:t>
      </w:r>
      <w:r>
        <w:rPr>
          <w:rFonts w:ascii="Garamond" w:hAnsi="Garamond" w:cs="Garamond"/>
          <w:sz w:val="24"/>
          <w:szCs w:val="24"/>
          <w:lang w:val="es-ES" w:eastAsia="es-ES"/>
        </w:rPr>
        <w:t xml:space="preserve">En los </w:t>
      </w:r>
      <w:r>
        <w:rPr>
          <w:rFonts w:ascii="Garamond" w:hAnsi="Garamond" w:cs="Garamond"/>
          <w:b/>
          <w:bCs/>
          <w:sz w:val="21"/>
          <w:szCs w:val="21"/>
          <w:lang w:val="es-ES" w:eastAsia="es-ES"/>
        </w:rPr>
        <w:t xml:space="preserve">procedimientos </w:t>
      </w:r>
      <w:r>
        <w:rPr>
          <w:rFonts w:ascii="Garamond" w:hAnsi="Garamond" w:cs="Garamond"/>
          <w:sz w:val="24"/>
          <w:szCs w:val="24"/>
          <w:lang w:val="es-ES" w:eastAsia="es-ES"/>
        </w:rPr>
        <w:t>seguidos se han observado los términos y prescripciones legales.</w:t>
      </w:r>
    </w:p>
    <w:p w:rsidR="00000000" w:rsidRDefault="00581449">
      <w:pPr>
        <w:kinsoku w:val="0"/>
        <w:overflowPunct w:val="0"/>
        <w:autoSpaceDE/>
        <w:autoSpaceDN/>
        <w:adjustRightInd/>
        <w:spacing w:before="389" w:line="272" w:lineRule="exact"/>
        <w:textAlignment w:val="baseline"/>
        <w:rPr>
          <w:rFonts w:ascii="Garamond" w:hAnsi="Garamond" w:cs="Garamond"/>
          <w:b/>
          <w:bCs/>
          <w:spacing w:val="10"/>
          <w:sz w:val="21"/>
          <w:szCs w:val="21"/>
          <w:lang w:val="es-ES" w:eastAsia="es-ES"/>
        </w:rPr>
      </w:pPr>
      <w:r>
        <w:rPr>
          <w:rFonts w:ascii="Garamond" w:hAnsi="Garamond" w:cs="Garamond"/>
          <w:b/>
          <w:bCs/>
          <w:spacing w:val="10"/>
          <w:sz w:val="21"/>
          <w:szCs w:val="21"/>
          <w:lang w:val="es-ES" w:eastAsia="es-ES"/>
        </w:rPr>
        <w:t>REDACTA EL JUEZ PORTUGUEZ MÉNDEZ,</w:t>
      </w:r>
    </w:p>
    <w:p w:rsidR="00000000" w:rsidRDefault="00581449">
      <w:pPr>
        <w:kinsoku w:val="0"/>
        <w:overflowPunct w:val="0"/>
        <w:autoSpaceDE/>
        <w:autoSpaceDN/>
        <w:adjustRightInd/>
        <w:spacing w:before="550" w:line="258" w:lineRule="exact"/>
        <w:jc w:val="center"/>
        <w:textAlignment w:val="baseline"/>
        <w:rPr>
          <w:rFonts w:ascii="Garamond" w:hAnsi="Garamond" w:cs="Garamond"/>
          <w:b/>
          <w:bCs/>
          <w:spacing w:val="2"/>
          <w:sz w:val="21"/>
          <w:szCs w:val="21"/>
          <w:lang w:val="es-ES" w:eastAsia="es-ES"/>
        </w:rPr>
      </w:pPr>
      <w:r>
        <w:rPr>
          <w:rFonts w:ascii="Garamond" w:hAnsi="Garamond" w:cs="Garamond"/>
          <w:b/>
          <w:bCs/>
          <w:spacing w:val="2"/>
          <w:sz w:val="21"/>
          <w:szCs w:val="21"/>
          <w:lang w:val="es-ES" w:eastAsia="es-ES"/>
        </w:rPr>
        <w:t>CONSIDERANDO</w:t>
      </w:r>
    </w:p>
    <w:p w:rsidR="00000000" w:rsidRDefault="00581449">
      <w:pPr>
        <w:kinsoku w:val="0"/>
        <w:overflowPunct w:val="0"/>
        <w:autoSpaceDE/>
        <w:autoSpaceDN/>
        <w:adjustRightInd/>
        <w:spacing w:before="559" w:line="272" w:lineRule="exact"/>
        <w:jc w:val="both"/>
        <w:textAlignment w:val="baseline"/>
        <w:rPr>
          <w:rFonts w:ascii="Garamond" w:hAnsi="Garamond" w:cs="Garamond"/>
          <w:sz w:val="24"/>
          <w:szCs w:val="24"/>
          <w:lang w:val="es-ES" w:eastAsia="es-ES"/>
        </w:rPr>
      </w:pPr>
      <w:r>
        <w:rPr>
          <w:rFonts w:ascii="Garamond" w:hAnsi="Garamond" w:cs="Garamond"/>
          <w:b/>
          <w:bCs/>
          <w:sz w:val="21"/>
          <w:szCs w:val="21"/>
          <w:lang w:val="es-ES" w:eastAsia="es-ES"/>
        </w:rPr>
        <w:t xml:space="preserve">ÚNICO. </w:t>
      </w:r>
      <w:r>
        <w:rPr>
          <w:rFonts w:ascii="Garamond" w:hAnsi="Garamond" w:cs="Garamond"/>
          <w:sz w:val="24"/>
          <w:szCs w:val="24"/>
          <w:lang w:val="es-ES" w:eastAsia="es-ES"/>
        </w:rPr>
        <w:t xml:space="preserve">Estudiado </w:t>
      </w:r>
      <w:r>
        <w:rPr>
          <w:rFonts w:ascii="Garamond" w:hAnsi="Garamond" w:cs="Garamond"/>
          <w:b/>
          <w:bCs/>
          <w:sz w:val="21"/>
          <w:szCs w:val="21"/>
          <w:lang w:val="es-ES" w:eastAsia="es-ES"/>
        </w:rPr>
        <w:t>el c</w:t>
      </w:r>
      <w:r>
        <w:rPr>
          <w:rFonts w:ascii="Garamond" w:hAnsi="Garamond" w:cs="Garamond"/>
          <w:b/>
          <w:bCs/>
          <w:sz w:val="21"/>
          <w:szCs w:val="21"/>
          <w:lang w:val="es-ES" w:eastAsia="es-ES"/>
        </w:rPr>
        <w:t xml:space="preserve">aso por este </w:t>
      </w:r>
      <w:r>
        <w:rPr>
          <w:rFonts w:ascii="Garamond" w:hAnsi="Garamond" w:cs="Garamond"/>
          <w:sz w:val="24"/>
          <w:szCs w:val="24"/>
          <w:lang w:val="es-ES" w:eastAsia="es-ES"/>
        </w:rPr>
        <w:t xml:space="preserve">Tribunal, y habiendo aprobado el tamiz del análisis de admisibilidad del </w:t>
      </w:r>
      <w:r>
        <w:rPr>
          <w:rFonts w:ascii="Garamond" w:hAnsi="Garamond" w:cs="Garamond"/>
          <w:b/>
          <w:bCs/>
          <w:sz w:val="21"/>
          <w:szCs w:val="21"/>
          <w:lang w:val="es-ES" w:eastAsia="es-ES"/>
        </w:rPr>
        <w:t xml:space="preserve">recurso de apelación </w:t>
      </w:r>
      <w:r>
        <w:rPr>
          <w:rFonts w:ascii="Garamond" w:hAnsi="Garamond" w:cs="Garamond"/>
          <w:sz w:val="24"/>
          <w:szCs w:val="24"/>
          <w:lang w:val="es-ES" w:eastAsia="es-ES"/>
        </w:rPr>
        <w:t xml:space="preserve">en subsidio y nulidad concomitante, planteado por el recurrente, se observa </w:t>
      </w:r>
      <w:r>
        <w:rPr>
          <w:rFonts w:ascii="Garamond" w:hAnsi="Garamond" w:cs="Garamond"/>
          <w:b/>
          <w:bCs/>
          <w:sz w:val="21"/>
          <w:szCs w:val="21"/>
          <w:lang w:val="es-ES" w:eastAsia="es-ES"/>
        </w:rPr>
        <w:t xml:space="preserve">que en el fondo no </w:t>
      </w:r>
      <w:r>
        <w:rPr>
          <w:rFonts w:ascii="Garamond" w:hAnsi="Garamond" w:cs="Garamond"/>
          <w:sz w:val="24"/>
          <w:szCs w:val="24"/>
          <w:lang w:val="es-ES" w:eastAsia="es-ES"/>
        </w:rPr>
        <w:t>se ha lesionado ningún derecho subjetivo o interés leg</w:t>
      </w:r>
      <w:r>
        <w:rPr>
          <w:rFonts w:ascii="Garamond" w:hAnsi="Garamond" w:cs="Garamond"/>
          <w:sz w:val="24"/>
          <w:szCs w:val="24"/>
          <w:lang w:val="es-ES" w:eastAsia="es-ES"/>
        </w:rPr>
        <w:t>ítimo, que le impida al recurrente continuar con la prestación del servicio de transporte</w:t>
      </w:r>
    </w:p>
    <w:p w:rsidR="00000000" w:rsidRDefault="00581449">
      <w:pPr>
        <w:kinsoku w:val="0"/>
        <w:overflowPunct w:val="0"/>
        <w:autoSpaceDE/>
        <w:autoSpaceDN/>
        <w:adjustRightInd/>
        <w:spacing w:before="255" w:line="227" w:lineRule="exact"/>
        <w:jc w:val="right"/>
        <w:textAlignment w:val="baseline"/>
        <w:rPr>
          <w:sz w:val="19"/>
          <w:szCs w:val="19"/>
          <w:lang w:val="es-ES" w:eastAsia="es-ES"/>
        </w:rPr>
      </w:pPr>
    </w:p>
    <w:p w:rsidR="00000000" w:rsidRDefault="00581449" w:rsidP="00581449">
      <w:pPr>
        <w:kinsoku w:val="0"/>
        <w:overflowPunct w:val="0"/>
        <w:autoSpaceDE/>
        <w:autoSpaceDN/>
        <w:adjustRightInd/>
        <w:spacing w:line="213" w:lineRule="exact"/>
        <w:jc w:val="center"/>
        <w:textAlignment w:val="baseline"/>
        <w:rPr>
          <w:spacing w:val="-8"/>
          <w:sz w:val="19"/>
          <w:szCs w:val="19"/>
          <w:lang w:val="es-ES" w:eastAsia="es-ES"/>
        </w:rPr>
      </w:pPr>
    </w:p>
    <w:p w:rsidR="00000000" w:rsidRDefault="00581449">
      <w:pPr>
        <w:widowControl/>
        <w:rPr>
          <w:sz w:val="24"/>
          <w:szCs w:val="24"/>
        </w:rPr>
        <w:sectPr w:rsidR="00000000">
          <w:pgSz w:w="12134" w:h="15840"/>
          <w:pgMar w:top="2140" w:right="1862" w:bottom="264" w:left="1632" w:header="720" w:footer="720" w:gutter="0"/>
          <w:cols w:space="720"/>
          <w:noEndnote/>
        </w:sectPr>
      </w:pPr>
    </w:p>
    <w:p w:rsidR="00000000" w:rsidRDefault="00581449">
      <w:pPr>
        <w:kinsoku w:val="0"/>
        <w:overflowPunct w:val="0"/>
        <w:autoSpaceDE/>
        <w:autoSpaceDN/>
        <w:adjustRightInd/>
        <w:spacing w:before="5" w:line="279" w:lineRule="exact"/>
        <w:ind w:right="144"/>
        <w:jc w:val="both"/>
        <w:textAlignment w:val="baseline"/>
        <w:rPr>
          <w:sz w:val="24"/>
          <w:szCs w:val="24"/>
          <w:lang w:val="es-ES" w:eastAsia="es-ES"/>
        </w:rPr>
      </w:pPr>
      <w:r>
        <w:rPr>
          <w:sz w:val="24"/>
          <w:szCs w:val="24"/>
          <w:lang w:val="es-ES" w:eastAsia="es-ES"/>
        </w:rPr>
        <w:lastRenderedPageBreak/>
        <w:t>público en las rutas autorizadas, según los parámetros previamente aprobados por el Consejo de Trasporte Pú</w:t>
      </w:r>
      <w:r>
        <w:rPr>
          <w:sz w:val="24"/>
          <w:szCs w:val="24"/>
          <w:lang w:val="es-ES" w:eastAsia="es-ES"/>
        </w:rPr>
        <w:t>blico para la explotación de la concesión.</w:t>
      </w:r>
    </w:p>
    <w:p w:rsidR="00000000" w:rsidRDefault="00581449">
      <w:pPr>
        <w:kinsoku w:val="0"/>
        <w:overflowPunct w:val="0"/>
        <w:autoSpaceDE/>
        <w:autoSpaceDN/>
        <w:adjustRightInd/>
        <w:spacing w:before="277" w:line="279" w:lineRule="exact"/>
        <w:ind w:right="144"/>
        <w:jc w:val="both"/>
        <w:textAlignment w:val="baseline"/>
        <w:rPr>
          <w:sz w:val="24"/>
          <w:szCs w:val="24"/>
          <w:lang w:val="es-ES" w:eastAsia="es-ES"/>
        </w:rPr>
      </w:pPr>
      <w:r>
        <w:rPr>
          <w:sz w:val="24"/>
          <w:szCs w:val="24"/>
          <w:lang w:val="es-ES" w:eastAsia="es-ES"/>
        </w:rPr>
        <w:t>De conformidad con la información que consta en el expediente, se verifica que el recurrente no demuestra frente al Artículo 7.5.1 de la Sesión Ordinaria 56-2014 del 2 de octubre del 2014, emitido por la Junta Dir</w:t>
      </w:r>
      <w:r>
        <w:rPr>
          <w:sz w:val="24"/>
          <w:szCs w:val="24"/>
          <w:lang w:val="es-ES" w:eastAsia="es-ES"/>
        </w:rPr>
        <w:t xml:space="preserve">ectiva del Consejo de Transporte Público, un derecho subjetivo </w:t>
      </w:r>
      <w:r>
        <w:rPr>
          <w:i/>
          <w:iCs/>
          <w:sz w:val="24"/>
          <w:szCs w:val="24"/>
          <w:u w:val="single"/>
          <w:lang w:val="es-ES" w:eastAsia="es-ES"/>
        </w:rPr>
        <w:t>lesionado,</w:t>
      </w:r>
      <w:r>
        <w:rPr>
          <w:sz w:val="24"/>
          <w:szCs w:val="24"/>
          <w:lang w:val="es-ES" w:eastAsia="es-ES"/>
        </w:rPr>
        <w:t xml:space="preserve"> ni un </w:t>
      </w:r>
      <w:r>
        <w:rPr>
          <w:i/>
          <w:iCs/>
          <w:sz w:val="24"/>
          <w:szCs w:val="24"/>
          <w:u w:val="single"/>
          <w:lang w:val="es-ES" w:eastAsia="es-ES"/>
        </w:rPr>
        <w:t>interés legitimo tutelable</w:t>
      </w:r>
      <w:r>
        <w:rPr>
          <w:sz w:val="24"/>
          <w:szCs w:val="24"/>
          <w:lang w:val="es-ES" w:eastAsia="es-ES"/>
        </w:rPr>
        <w:t xml:space="preserve"> por el ordenamiento jurídico en esta vía, toda vez que la explotación de la concesión otorgada no está sufriendo modificación alguna, de ahí</w:t>
      </w:r>
      <w:r>
        <w:rPr>
          <w:sz w:val="24"/>
          <w:szCs w:val="24"/>
          <w:lang w:val="es-ES" w:eastAsia="es-ES"/>
        </w:rPr>
        <w:t xml:space="preserve"> que deba rechazarse su acción recursiva.</w:t>
      </w:r>
    </w:p>
    <w:p w:rsidR="00000000" w:rsidRDefault="00581449">
      <w:pPr>
        <w:kinsoku w:val="0"/>
        <w:overflowPunct w:val="0"/>
        <w:autoSpaceDE/>
        <w:autoSpaceDN/>
        <w:adjustRightInd/>
        <w:spacing w:before="289" w:line="279" w:lineRule="exact"/>
        <w:ind w:right="144"/>
        <w:jc w:val="both"/>
        <w:textAlignment w:val="baseline"/>
        <w:rPr>
          <w:sz w:val="24"/>
          <w:szCs w:val="24"/>
          <w:lang w:val="es-ES" w:eastAsia="es-ES"/>
        </w:rPr>
      </w:pPr>
      <w:r>
        <w:rPr>
          <w:sz w:val="24"/>
          <w:szCs w:val="24"/>
          <w:lang w:val="es-ES" w:eastAsia="es-ES"/>
        </w:rPr>
        <w:t xml:space="preserve">El acuerdo contenido en el Artículo 7.5.1 de la Sesión Ordinaria 56-2014 del 2 de octubre del 2014, emitido por la Junta Directiva del Consejo de Transporte Público, constituye un </w:t>
      </w:r>
      <w:r>
        <w:rPr>
          <w:i/>
          <w:iCs/>
          <w:sz w:val="24"/>
          <w:szCs w:val="24"/>
          <w:u w:val="single"/>
          <w:lang w:val="es-ES" w:eastAsia="es-ES"/>
        </w:rPr>
        <w:t>acto administrativo preparatorio,</w:t>
      </w:r>
      <w:r>
        <w:rPr>
          <w:sz w:val="24"/>
          <w:szCs w:val="24"/>
          <w:lang w:val="es-ES" w:eastAsia="es-ES"/>
        </w:rPr>
        <w:t xml:space="preserve"> </w:t>
      </w:r>
      <w:r>
        <w:rPr>
          <w:sz w:val="24"/>
          <w:szCs w:val="24"/>
          <w:lang w:val="es-ES" w:eastAsia="es-ES"/>
        </w:rPr>
        <w:t>que en cuanto a la naturaleza de los actos de mero trámite o preparatorios, el Tribunal Contencioso Administrativo, desde el año dos mil ha indicado que:</w:t>
      </w:r>
    </w:p>
    <w:p w:rsidR="00000000" w:rsidRDefault="00581449">
      <w:pPr>
        <w:kinsoku w:val="0"/>
        <w:overflowPunct w:val="0"/>
        <w:autoSpaceDE/>
        <w:autoSpaceDN/>
        <w:adjustRightInd/>
        <w:spacing w:before="277" w:after="399" w:line="279" w:lineRule="exact"/>
        <w:ind w:left="864" w:right="1008"/>
        <w:jc w:val="both"/>
        <w:textAlignment w:val="baseline"/>
        <w:rPr>
          <w:i/>
          <w:iCs/>
          <w:spacing w:val="1"/>
          <w:sz w:val="24"/>
          <w:szCs w:val="24"/>
          <w:lang w:val="es-ES" w:eastAsia="es-ES"/>
        </w:rPr>
      </w:pPr>
      <w:r>
        <w:rPr>
          <w:i/>
          <w:iCs/>
          <w:spacing w:val="1"/>
          <w:sz w:val="24"/>
          <w:szCs w:val="24"/>
          <w:lang w:val="es-ES" w:eastAsia="es-ES"/>
        </w:rPr>
        <w:t>"Los actos preparatorios son antecedentes de la resolución final, trámites del procedimiento administr</w:t>
      </w:r>
      <w:r>
        <w:rPr>
          <w:i/>
          <w:iCs/>
          <w:spacing w:val="1"/>
          <w:sz w:val="24"/>
          <w:szCs w:val="24"/>
          <w:lang w:val="es-ES" w:eastAsia="es-ES"/>
        </w:rPr>
        <w:t>ativo que no tienen la virtud de decidir sobre el objeto final del juicio; integran el procedimiento antes de la emisión del acto final (manifestación de la función administrativa), y no expresan voluntad sino un mero juicio, representación o deseo de la A</w:t>
      </w:r>
      <w:r>
        <w:rPr>
          <w:i/>
          <w:iCs/>
          <w:spacing w:val="1"/>
          <w:sz w:val="24"/>
          <w:szCs w:val="24"/>
          <w:lang w:val="es-ES" w:eastAsia="es-ES"/>
        </w:rPr>
        <w:t xml:space="preserve">dministración y no producen en forma directa efectos jurídicos </w:t>
      </w:r>
      <w:r>
        <w:rPr>
          <w:i/>
          <w:iCs/>
          <w:spacing w:val="1"/>
          <w:sz w:val="24"/>
          <w:szCs w:val="24"/>
          <w:lang w:val="es-ES" w:eastAsia="es-ES"/>
        </w:rPr>
        <w:t>frente a terceros. Dicho en otras palabras, los actos de trámite no contienen esa manifestación de voluntad del ente administrativo, pues son de índole preparatorio o instrumental, y hallan su</w:t>
      </w:r>
      <w:r>
        <w:rPr>
          <w:i/>
          <w:iCs/>
          <w:spacing w:val="1"/>
          <w:sz w:val="24"/>
          <w:szCs w:val="24"/>
          <w:lang w:val="es-ES" w:eastAsia="es-ES"/>
        </w:rPr>
        <w:t xml:space="preserve"> razón de ser en el acto final. Dentro de ellos se puede citar, por ejemplo, los actos preparatorios impugnados por la actora en el extremo primero de su demanda principal, reiterados en el encabezado de sus demandas subsidiarias, que no tienen otra virtud</w:t>
      </w:r>
      <w:r>
        <w:rPr>
          <w:i/>
          <w:iCs/>
          <w:spacing w:val="1"/>
          <w:sz w:val="24"/>
          <w:szCs w:val="24"/>
          <w:lang w:val="es-ES" w:eastAsia="es-ES"/>
        </w:rPr>
        <w:t xml:space="preserve"> que la de integrar el procedimiento administrativo, según los artículos 173 y 214 Y siguientes de la Ley General de la Administración Pública. De modo que, por ser actos preparatorios, de ninguna manera separables del acto final ni con electo propio, a di</w:t>
      </w:r>
      <w:r>
        <w:rPr>
          <w:i/>
          <w:iCs/>
          <w:spacing w:val="1"/>
          <w:sz w:val="24"/>
          <w:szCs w:val="24"/>
          <w:lang w:val="es-ES" w:eastAsia="es-ES"/>
        </w:rPr>
        <w:t xml:space="preserve">ferencia del recurrente, este Tribunal considera que las normas aplicables y que por su especialidad revisten mayor valor e ineludible aplicación son: 1) el inciso 2 del artículo 163 Ley General de la Administración Pública, que terminantemente exige que </w:t>
      </w:r>
      <w:r>
        <w:rPr>
          <w:i/>
          <w:iCs/>
          <w:spacing w:val="1"/>
          <w:sz w:val="24"/>
          <w:szCs w:val="24"/>
          <w:u w:val="single"/>
          <w:lang w:val="es-ES" w:eastAsia="es-ES"/>
        </w:rPr>
        <w:t>l</w:t>
      </w:r>
      <w:r>
        <w:rPr>
          <w:i/>
          <w:iCs/>
          <w:spacing w:val="1"/>
          <w:sz w:val="24"/>
          <w:szCs w:val="24"/>
          <w:u w:val="single"/>
          <w:lang w:val="es-ES" w:eastAsia="es-ES"/>
        </w:rPr>
        <w:t xml:space="preserve">os </w:t>
      </w:r>
      <w:r>
        <w:rPr>
          <w:b/>
          <w:bCs/>
          <w:i/>
          <w:iCs/>
          <w:spacing w:val="1"/>
          <w:sz w:val="24"/>
          <w:szCs w:val="24"/>
          <w:u w:val="single"/>
          <w:lang w:val="es-ES" w:eastAsia="es-ES"/>
        </w:rPr>
        <w:t>vicios propios de los actos preparatorios se han  de impugnar conjuntamente con el acto final,</w:t>
      </w:r>
      <w:r>
        <w:rPr>
          <w:i/>
          <w:iCs/>
          <w:spacing w:val="1"/>
          <w:sz w:val="24"/>
          <w:szCs w:val="24"/>
          <w:lang w:val="es-ES" w:eastAsia="es-ES"/>
        </w:rPr>
        <w:t xml:space="preserve"> salvo que aquellos sean, a su vez, actos con efecto propio; y 2.- el artículo 18 de la Ley Reguladora de la Jurisdicción Contencioso Administrativa que admite</w:t>
      </w:r>
      <w:r>
        <w:rPr>
          <w:i/>
          <w:iCs/>
          <w:spacing w:val="1"/>
          <w:sz w:val="24"/>
          <w:szCs w:val="24"/>
          <w:lang w:val="es-ES" w:eastAsia="es-ES"/>
        </w:rPr>
        <w:t xml:space="preserve"> únicamente la impugnación de los actos "definitivos" o los de "trámite", pero, en este último caso, si y solo sí, deciden directa o indirectamente el fondo del asunto, de tal modo que ponga término a la vía administrativa o hagan imposible o suspendan su </w:t>
      </w:r>
      <w:r>
        <w:rPr>
          <w:i/>
          <w:iCs/>
          <w:spacing w:val="1"/>
          <w:sz w:val="24"/>
          <w:szCs w:val="24"/>
          <w:lang w:val="es-ES" w:eastAsia="es-ES"/>
        </w:rPr>
        <w:t>continuación (...)" (Sentencia N° 00237, de las quince horas del veinticinco de agosto del dos mil) (Lo resaltado no pertenece al original)</w:t>
      </w:r>
    </w:p>
    <w:p w:rsidR="00000000" w:rsidRDefault="00581449">
      <w:pPr>
        <w:widowControl/>
        <w:rPr>
          <w:sz w:val="24"/>
          <w:szCs w:val="24"/>
        </w:rPr>
        <w:sectPr w:rsidR="00000000">
          <w:pgSz w:w="12134" w:h="15840"/>
          <w:pgMar w:top="1400" w:right="1444" w:bottom="584" w:left="1690" w:header="720" w:footer="720" w:gutter="0"/>
          <w:cols w:space="720"/>
          <w:noEndnote/>
        </w:sectPr>
      </w:pPr>
    </w:p>
    <w:p w:rsidR="00000000" w:rsidRDefault="00581449">
      <w:pPr>
        <w:widowControl/>
        <w:rPr>
          <w:sz w:val="24"/>
          <w:szCs w:val="24"/>
        </w:rPr>
        <w:sectPr w:rsidR="00000000">
          <w:type w:val="continuous"/>
          <w:pgSz w:w="12134" w:h="15840"/>
          <w:pgMar w:top="1400" w:right="1444" w:bottom="584" w:left="8803" w:header="720" w:footer="720" w:gutter="0"/>
          <w:cols w:space="720"/>
          <w:noEndnote/>
        </w:sectPr>
      </w:pPr>
    </w:p>
    <w:p w:rsidR="00000000" w:rsidRDefault="00581449">
      <w:pPr>
        <w:kinsoku w:val="0"/>
        <w:overflowPunct w:val="0"/>
        <w:autoSpaceDE/>
        <w:autoSpaceDN/>
        <w:adjustRightInd/>
        <w:spacing w:line="264" w:lineRule="exact"/>
        <w:ind w:right="864"/>
        <w:jc w:val="both"/>
        <w:textAlignment w:val="baseline"/>
        <w:rPr>
          <w:spacing w:val="8"/>
          <w:sz w:val="22"/>
          <w:szCs w:val="22"/>
          <w:lang w:val="es-ES" w:eastAsia="es-ES"/>
        </w:rPr>
      </w:pPr>
      <w:r>
        <w:rPr>
          <w:spacing w:val="8"/>
          <w:sz w:val="22"/>
          <w:szCs w:val="22"/>
          <w:lang w:val="es-ES" w:eastAsia="es-ES"/>
        </w:rPr>
        <w:lastRenderedPageBreak/>
        <w:t>En cuanto al aspecto de la nulidad planteada, tanto por la accesoriedad de la misma, como por el hecho de que este Tribunal no observa la existencia de algún vicio sustancial en el acto administrativo dictado, ni se determina alguna infracción al debido pr</w:t>
      </w:r>
      <w:r>
        <w:rPr>
          <w:spacing w:val="8"/>
          <w:sz w:val="22"/>
          <w:szCs w:val="22"/>
          <w:lang w:val="es-ES" w:eastAsia="es-ES"/>
        </w:rPr>
        <w:t>ocedimiento administrativo, la misma deberá de rechazarse.</w:t>
      </w:r>
    </w:p>
    <w:p w:rsidR="00000000" w:rsidRDefault="00581449">
      <w:pPr>
        <w:kinsoku w:val="0"/>
        <w:overflowPunct w:val="0"/>
        <w:autoSpaceDE/>
        <w:autoSpaceDN/>
        <w:adjustRightInd/>
        <w:spacing w:before="635" w:line="264" w:lineRule="exact"/>
        <w:jc w:val="center"/>
        <w:textAlignment w:val="baseline"/>
        <w:rPr>
          <w:b/>
          <w:bCs/>
          <w:spacing w:val="5"/>
          <w:sz w:val="22"/>
          <w:szCs w:val="22"/>
          <w:lang w:val="es-ES" w:eastAsia="es-ES"/>
        </w:rPr>
      </w:pPr>
      <w:r>
        <w:rPr>
          <w:b/>
          <w:bCs/>
          <w:spacing w:val="5"/>
          <w:sz w:val="22"/>
          <w:szCs w:val="22"/>
          <w:lang w:val="es-ES" w:eastAsia="es-ES"/>
        </w:rPr>
        <w:t>POR TANTO:</w:t>
      </w:r>
    </w:p>
    <w:p w:rsidR="00000000" w:rsidRDefault="00581449">
      <w:pPr>
        <w:tabs>
          <w:tab w:val="left" w:pos="648"/>
        </w:tabs>
        <w:kinsoku w:val="0"/>
        <w:overflowPunct w:val="0"/>
        <w:autoSpaceDE/>
        <w:autoSpaceDN/>
        <w:adjustRightInd/>
        <w:spacing w:before="500" w:line="308" w:lineRule="exact"/>
        <w:ind w:right="864"/>
        <w:jc w:val="both"/>
        <w:textAlignment w:val="baseline"/>
        <w:rPr>
          <w:b/>
          <w:bCs/>
          <w:sz w:val="22"/>
          <w:szCs w:val="22"/>
          <w:lang w:val="es-ES" w:eastAsia="es-ES"/>
        </w:rPr>
      </w:pPr>
      <w:r w:rsidRPr="00581449">
        <w:rPr>
          <w:b/>
          <w:sz w:val="22"/>
          <w:szCs w:val="22"/>
          <w:lang w:val="es-ES" w:eastAsia="es-ES"/>
        </w:rPr>
        <w:t>I</w:t>
      </w:r>
      <w:r w:rsidRPr="00581449">
        <w:rPr>
          <w:b/>
          <w:sz w:val="22"/>
          <w:szCs w:val="22"/>
          <w:lang w:val="es-ES" w:eastAsia="es-ES"/>
        </w:rPr>
        <w:t>.-</w:t>
      </w:r>
      <w:r>
        <w:rPr>
          <w:sz w:val="22"/>
          <w:szCs w:val="22"/>
          <w:lang w:val="es-ES" w:eastAsia="es-ES"/>
        </w:rPr>
        <w:tab/>
        <w:t xml:space="preserve">Se declara </w:t>
      </w:r>
      <w:r>
        <w:rPr>
          <w:b/>
          <w:bCs/>
          <w:sz w:val="22"/>
          <w:szCs w:val="22"/>
          <w:lang w:val="es-ES" w:eastAsia="es-ES"/>
        </w:rPr>
        <w:t xml:space="preserve">Sin Lugar el RECURSO DE APELACIÓN EN SUBSIDIO E INCIDENTE DE NULIDAD, </w:t>
      </w:r>
      <w:r>
        <w:rPr>
          <w:sz w:val="22"/>
          <w:szCs w:val="22"/>
          <w:lang w:val="es-ES" w:eastAsia="es-ES"/>
        </w:rPr>
        <w:t xml:space="preserve">interpuesto por </w:t>
      </w:r>
      <w:r>
        <w:rPr>
          <w:b/>
          <w:bCs/>
          <w:sz w:val="22"/>
          <w:szCs w:val="22"/>
          <w:lang w:val="es-ES" w:eastAsia="es-ES"/>
        </w:rPr>
        <w:t>E.E.G.R.</w:t>
      </w:r>
      <w:r>
        <w:rPr>
          <w:b/>
          <w:bCs/>
          <w:sz w:val="22"/>
          <w:szCs w:val="22"/>
          <w:lang w:val="es-ES" w:eastAsia="es-ES"/>
        </w:rPr>
        <w:t xml:space="preserve">, </w:t>
      </w:r>
      <w:r>
        <w:rPr>
          <w:sz w:val="22"/>
          <w:szCs w:val="22"/>
          <w:lang w:val="es-ES" w:eastAsia="es-ES"/>
        </w:rPr>
        <w:t>cédula de identidad …</w:t>
      </w:r>
      <w:r>
        <w:rPr>
          <w:sz w:val="22"/>
          <w:szCs w:val="22"/>
          <w:lang w:val="es-ES" w:eastAsia="es-ES"/>
        </w:rPr>
        <w:t>, en contra del Artículo 7.5.1</w:t>
      </w:r>
      <w:r>
        <w:rPr>
          <w:sz w:val="22"/>
          <w:szCs w:val="22"/>
          <w:lang w:val="es-ES" w:eastAsia="es-ES"/>
        </w:rPr>
        <w:t xml:space="preserve"> de la Sesión Ordinaria </w:t>
      </w:r>
      <w:r>
        <w:rPr>
          <w:b/>
          <w:bCs/>
          <w:sz w:val="22"/>
          <w:szCs w:val="22"/>
          <w:lang w:val="es-ES" w:eastAsia="es-ES"/>
        </w:rPr>
        <w:t xml:space="preserve">56-2014 del 2 </w:t>
      </w:r>
      <w:r>
        <w:rPr>
          <w:sz w:val="22"/>
          <w:szCs w:val="22"/>
          <w:lang w:val="es-ES" w:eastAsia="es-ES"/>
        </w:rPr>
        <w:t xml:space="preserve">de octubre del 2014, adoptado por la Junta </w:t>
      </w:r>
      <w:r>
        <w:rPr>
          <w:b/>
          <w:bCs/>
          <w:sz w:val="22"/>
          <w:szCs w:val="22"/>
          <w:lang w:val="es-ES" w:eastAsia="es-ES"/>
        </w:rPr>
        <w:t xml:space="preserve">Directiva </w:t>
      </w:r>
      <w:r>
        <w:rPr>
          <w:sz w:val="22"/>
          <w:szCs w:val="22"/>
          <w:lang w:val="es-ES" w:eastAsia="es-ES"/>
        </w:rPr>
        <w:t xml:space="preserve">del Consejo de Transporte </w:t>
      </w:r>
      <w:r>
        <w:rPr>
          <w:b/>
          <w:bCs/>
          <w:sz w:val="22"/>
          <w:szCs w:val="22"/>
          <w:lang w:val="es-ES" w:eastAsia="es-ES"/>
        </w:rPr>
        <w:t>Público.</w:t>
      </w:r>
    </w:p>
    <w:p w:rsidR="00000000" w:rsidRDefault="00581449">
      <w:pPr>
        <w:tabs>
          <w:tab w:val="left" w:pos="648"/>
        </w:tabs>
        <w:kinsoku w:val="0"/>
        <w:overflowPunct w:val="0"/>
        <w:autoSpaceDE/>
        <w:autoSpaceDN/>
        <w:adjustRightInd/>
        <w:spacing w:before="305" w:after="866" w:line="317" w:lineRule="exact"/>
        <w:ind w:right="864"/>
        <w:jc w:val="both"/>
        <w:textAlignment w:val="baseline"/>
        <w:rPr>
          <w:b/>
          <w:bCs/>
          <w:i/>
          <w:iCs/>
          <w:sz w:val="22"/>
          <w:szCs w:val="22"/>
          <w:lang w:val="es-ES" w:eastAsia="es-ES"/>
        </w:rPr>
      </w:pPr>
      <w:r w:rsidRPr="00581449">
        <w:rPr>
          <w:b/>
          <w:sz w:val="22"/>
          <w:szCs w:val="22"/>
          <w:lang w:val="es-ES" w:eastAsia="es-ES"/>
        </w:rPr>
        <w:t>II.-</w:t>
      </w:r>
      <w:r>
        <w:rPr>
          <w:sz w:val="22"/>
          <w:szCs w:val="22"/>
          <w:lang w:val="es-ES" w:eastAsia="es-ES"/>
        </w:rPr>
        <w:tab/>
        <w:t xml:space="preserve">Por carecer la presente resolución de ulterior recurso </w:t>
      </w:r>
      <w:r>
        <w:rPr>
          <w:b/>
          <w:bCs/>
          <w:sz w:val="22"/>
          <w:szCs w:val="22"/>
          <w:lang w:val="es-ES" w:eastAsia="es-ES"/>
        </w:rPr>
        <w:t xml:space="preserve">en </w:t>
      </w:r>
      <w:r>
        <w:rPr>
          <w:sz w:val="22"/>
          <w:szCs w:val="22"/>
          <w:lang w:val="es-ES" w:eastAsia="es-ES"/>
        </w:rPr>
        <w:t xml:space="preserve">sede administrativa, de conformidad con los </w:t>
      </w:r>
      <w:r>
        <w:rPr>
          <w:b/>
          <w:bCs/>
          <w:sz w:val="22"/>
          <w:szCs w:val="22"/>
          <w:lang w:val="es-ES" w:eastAsia="es-ES"/>
        </w:rPr>
        <w:t xml:space="preserve">artículos 16 </w:t>
      </w:r>
      <w:r>
        <w:rPr>
          <w:sz w:val="22"/>
          <w:szCs w:val="22"/>
          <w:lang w:val="es-ES" w:eastAsia="es-ES"/>
        </w:rPr>
        <w:t xml:space="preserve">y 22 incisos c) de la Ley 7969, </w:t>
      </w:r>
      <w:r>
        <w:rPr>
          <w:i/>
          <w:iCs/>
          <w:sz w:val="22"/>
          <w:szCs w:val="22"/>
          <w:lang w:val="es-ES" w:eastAsia="es-ES"/>
        </w:rPr>
        <w:t xml:space="preserve">se da por agotada la vía administrativa. </w:t>
      </w:r>
      <w:r>
        <w:rPr>
          <w:b/>
          <w:bCs/>
          <w:i/>
          <w:iCs/>
          <w:sz w:val="22"/>
          <w:szCs w:val="22"/>
          <w:lang w:val="es-ES" w:eastAsia="es-ES"/>
        </w:rPr>
        <w:t>NOTIFIQUESE.</w:t>
      </w:r>
      <w:r>
        <w:rPr>
          <w:b/>
          <w:bCs/>
          <w:i/>
          <w:iCs/>
          <w:sz w:val="22"/>
          <w:szCs w:val="22"/>
          <w:lang w:val="es-ES" w:eastAsia="es-ES"/>
        </w:rPr>
        <w:noBreakHyphen/>
      </w:r>
    </w:p>
    <w:p w:rsidR="00581449" w:rsidRPr="006321DC" w:rsidRDefault="00581449" w:rsidP="00581449">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581449" w:rsidRPr="00233E71" w:rsidRDefault="00581449" w:rsidP="00581449">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81449" w:rsidRDefault="00581449" w:rsidP="00581449">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581449" w:rsidRDefault="00581449">
      <w:pPr>
        <w:tabs>
          <w:tab w:val="left" w:pos="648"/>
        </w:tabs>
        <w:kinsoku w:val="0"/>
        <w:overflowPunct w:val="0"/>
        <w:autoSpaceDE/>
        <w:autoSpaceDN/>
        <w:adjustRightInd/>
        <w:spacing w:before="305" w:after="866" w:line="317" w:lineRule="exact"/>
        <w:ind w:right="864"/>
        <w:jc w:val="both"/>
        <w:textAlignment w:val="baseline"/>
        <w:rPr>
          <w:sz w:val="24"/>
          <w:szCs w:val="24"/>
          <w:lang w:eastAsia="en-US"/>
        </w:rPr>
      </w:pPr>
      <w:bookmarkStart w:id="0" w:name="_GoBack"/>
      <w:bookmarkEnd w:id="0"/>
    </w:p>
    <w:p w:rsidR="00000000" w:rsidRDefault="00581449">
      <w:pPr>
        <w:widowControl/>
        <w:rPr>
          <w:sz w:val="24"/>
          <w:szCs w:val="24"/>
        </w:rPr>
        <w:sectPr w:rsidR="00000000">
          <w:pgSz w:w="12134" w:h="15840"/>
          <w:pgMar w:top="2180" w:right="1013" w:bottom="224" w:left="1661" w:header="720" w:footer="720" w:gutter="0"/>
          <w:cols w:space="720"/>
          <w:noEndnote/>
        </w:sectPr>
      </w:pPr>
    </w:p>
    <w:p w:rsidR="00000000" w:rsidRDefault="00581449" w:rsidP="00581449">
      <w:pPr>
        <w:kinsoku w:val="0"/>
        <w:overflowPunct w:val="0"/>
        <w:autoSpaceDE/>
        <w:autoSpaceDN/>
        <w:adjustRightInd/>
        <w:spacing w:line="229" w:lineRule="exact"/>
        <w:ind w:right="72"/>
        <w:jc w:val="right"/>
        <w:textAlignment w:val="baseline"/>
        <w:rPr>
          <w:spacing w:val="-21"/>
          <w:sz w:val="22"/>
          <w:szCs w:val="22"/>
          <w:lang w:val="es-ES" w:eastAsia="es-ES"/>
        </w:rPr>
      </w:pPr>
    </w:p>
    <w:p w:rsidR="00581449" w:rsidRDefault="00581449" w:rsidP="00581449">
      <w:pPr>
        <w:kinsoku w:val="0"/>
        <w:overflowPunct w:val="0"/>
        <w:autoSpaceDE/>
        <w:autoSpaceDN/>
        <w:adjustRightInd/>
        <w:spacing w:line="229" w:lineRule="exact"/>
        <w:ind w:right="72"/>
        <w:jc w:val="right"/>
        <w:textAlignment w:val="baseline"/>
        <w:rPr>
          <w:spacing w:val="-21"/>
          <w:sz w:val="22"/>
          <w:szCs w:val="22"/>
          <w:lang w:val="es-ES" w:eastAsia="es-ES"/>
        </w:rPr>
      </w:pPr>
    </w:p>
    <w:sectPr w:rsidR="00581449">
      <w:type w:val="continuous"/>
      <w:pgSz w:w="12134" w:h="15840"/>
      <w:pgMar w:top="2180" w:right="1694" w:bottom="224" w:left="86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43"/>
    <w:rsid w:val="00581449"/>
    <w:rsid w:val="00640B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4697C"/>
  <w14:defaultImageDpi w14:val="0"/>
  <w15:docId w15:val="{74F2FF79-3584-4A23-850D-56677BB4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81449"/>
    <w:rPr>
      <w:lang w:val="es-CR"/>
    </w:rPr>
  </w:style>
  <w:style w:type="character" w:customStyle="1" w:styleId="CharacterStyle1">
    <w:name w:val="Character Style 1"/>
    <w:uiPriority w:val="99"/>
    <w:rsid w:val="005814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7297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2016-05-04T15:33:00Z</dcterms:created>
  <dcterms:modified xsi:type="dcterms:W3CDTF">2016-05-04T15:33:00Z</dcterms:modified>
</cp:coreProperties>
</file>