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87A65" w:rsidRDefault="0067441D">
      <w:pPr>
        <w:kinsoku w:val="0"/>
        <w:overflowPunct w:val="0"/>
        <w:autoSpaceDE/>
        <w:autoSpaceDN/>
        <w:adjustRightInd/>
        <w:spacing w:line="254" w:lineRule="exact"/>
        <w:ind w:left="72"/>
        <w:jc w:val="center"/>
        <w:textAlignment w:val="baseline"/>
        <w:rPr>
          <w:b/>
          <w:spacing w:val="10"/>
          <w:sz w:val="22"/>
          <w:szCs w:val="22"/>
          <w:lang w:val="es-ES" w:eastAsia="es-ES"/>
        </w:rPr>
      </w:pPr>
      <w:r w:rsidRPr="00A87A65">
        <w:rPr>
          <w:b/>
          <w:spacing w:val="10"/>
          <w:sz w:val="22"/>
          <w:szCs w:val="22"/>
          <w:lang w:val="es-ES" w:eastAsia="es-ES"/>
        </w:rPr>
        <w:t>RESOLUCION TAT-N° 2583-2015</w:t>
      </w:r>
    </w:p>
    <w:p w:rsidR="00000000" w:rsidRDefault="0067441D">
      <w:pPr>
        <w:kinsoku w:val="0"/>
        <w:overflowPunct w:val="0"/>
        <w:autoSpaceDE/>
        <w:autoSpaceDN/>
        <w:adjustRightInd/>
        <w:spacing w:before="516" w:line="314" w:lineRule="exact"/>
        <w:ind w:left="72"/>
        <w:jc w:val="both"/>
        <w:textAlignment w:val="baseline"/>
        <w:rPr>
          <w:sz w:val="22"/>
          <w:szCs w:val="22"/>
          <w:lang w:val="es-ES" w:eastAsia="es-ES"/>
        </w:rPr>
      </w:pPr>
      <w:r w:rsidRPr="00A87A65">
        <w:rPr>
          <w:b/>
          <w:sz w:val="22"/>
          <w:szCs w:val="22"/>
          <w:lang w:val="es-ES" w:eastAsia="es-ES"/>
        </w:rPr>
        <w:t>TRIBUNAL ADMINISTRATIVO DE TRANSPORTE</w:t>
      </w:r>
      <w:r>
        <w:rPr>
          <w:sz w:val="22"/>
          <w:szCs w:val="22"/>
          <w:lang w:val="es-ES" w:eastAsia="es-ES"/>
        </w:rPr>
        <w:t>. Curridabat, a las once horas con cincuenta y cinco minutos del veintidós de mayo del año dos mil quince.</w:t>
      </w:r>
    </w:p>
    <w:p w:rsidR="00000000" w:rsidRPr="00A87A65" w:rsidRDefault="0067441D">
      <w:pPr>
        <w:kinsoku w:val="0"/>
        <w:overflowPunct w:val="0"/>
        <w:autoSpaceDE/>
        <w:autoSpaceDN/>
        <w:adjustRightInd/>
        <w:spacing w:before="653" w:line="272" w:lineRule="exact"/>
        <w:ind w:left="72"/>
        <w:jc w:val="both"/>
        <w:textAlignment w:val="baseline"/>
        <w:rPr>
          <w:b/>
          <w:spacing w:val="5"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 xml:space="preserve">Se conoce </w:t>
      </w:r>
      <w:r w:rsidRPr="00A87A65">
        <w:rPr>
          <w:b/>
          <w:spacing w:val="5"/>
          <w:sz w:val="19"/>
          <w:szCs w:val="19"/>
          <w:lang w:val="es-ES" w:eastAsia="es-ES"/>
        </w:rPr>
        <w:t xml:space="preserve">RECURSO DE APELACIÓN EN </w:t>
      </w:r>
      <w:r w:rsidRPr="00A87A65">
        <w:rPr>
          <w:b/>
          <w:spacing w:val="5"/>
          <w:sz w:val="22"/>
          <w:szCs w:val="22"/>
          <w:lang w:val="es-ES" w:eastAsia="es-ES"/>
        </w:rPr>
        <w:t xml:space="preserve">SUBSIDIO, </w:t>
      </w:r>
      <w:r w:rsidRPr="00A87A65">
        <w:rPr>
          <w:b/>
          <w:spacing w:val="5"/>
          <w:sz w:val="19"/>
          <w:szCs w:val="19"/>
          <w:lang w:val="es-ES" w:eastAsia="es-ES"/>
        </w:rPr>
        <w:t xml:space="preserve">ACCIÓN NULIDAD CONCOMITANTE </w:t>
      </w:r>
      <w:r w:rsidRPr="00A87A65">
        <w:rPr>
          <w:b/>
          <w:spacing w:val="5"/>
          <w:sz w:val="22"/>
          <w:szCs w:val="22"/>
          <w:lang w:val="es-ES" w:eastAsia="es-ES"/>
        </w:rPr>
        <w:t xml:space="preserve">E </w:t>
      </w:r>
      <w:r w:rsidRPr="00A87A65">
        <w:rPr>
          <w:b/>
          <w:spacing w:val="5"/>
          <w:sz w:val="19"/>
          <w:szCs w:val="19"/>
          <w:lang w:val="es-ES" w:eastAsia="es-ES"/>
        </w:rPr>
        <w:t>INCIDENTE DE SUSPENSIÓN</w:t>
      </w:r>
      <w:r>
        <w:rPr>
          <w:spacing w:val="5"/>
          <w:sz w:val="19"/>
          <w:szCs w:val="19"/>
          <w:lang w:val="es-ES" w:eastAsia="es-ES"/>
        </w:rPr>
        <w:t xml:space="preserve">, </w:t>
      </w:r>
      <w:r>
        <w:rPr>
          <w:spacing w:val="5"/>
          <w:sz w:val="22"/>
          <w:szCs w:val="22"/>
          <w:lang w:val="es-ES" w:eastAsia="es-ES"/>
        </w:rPr>
        <w:t>interpuesto p</w:t>
      </w:r>
      <w:r>
        <w:rPr>
          <w:spacing w:val="5"/>
          <w:sz w:val="22"/>
          <w:szCs w:val="22"/>
          <w:lang w:val="es-ES" w:eastAsia="es-ES"/>
        </w:rPr>
        <w:t xml:space="preserve">or </w:t>
      </w:r>
      <w:r w:rsidRPr="00A87A65">
        <w:rPr>
          <w:b/>
          <w:spacing w:val="5"/>
          <w:sz w:val="19"/>
          <w:szCs w:val="19"/>
          <w:lang w:val="es-ES" w:eastAsia="es-ES"/>
        </w:rPr>
        <w:t>Y</w:t>
      </w:r>
      <w:r w:rsidR="00A87A65">
        <w:rPr>
          <w:b/>
          <w:spacing w:val="5"/>
          <w:sz w:val="19"/>
          <w:szCs w:val="19"/>
          <w:lang w:val="es-ES" w:eastAsia="es-ES"/>
        </w:rPr>
        <w:t>.B.V.</w:t>
      </w:r>
      <w:r>
        <w:rPr>
          <w:spacing w:val="5"/>
          <w:sz w:val="19"/>
          <w:szCs w:val="19"/>
          <w:lang w:val="es-ES" w:eastAsia="es-ES"/>
        </w:rPr>
        <w:t xml:space="preserve">, </w:t>
      </w:r>
      <w:r>
        <w:rPr>
          <w:spacing w:val="5"/>
          <w:sz w:val="22"/>
          <w:szCs w:val="22"/>
          <w:lang w:val="es-ES" w:eastAsia="es-ES"/>
        </w:rPr>
        <w:t xml:space="preserve">cédula de identidad número </w:t>
      </w:r>
      <w:r w:rsidR="00A87A65">
        <w:rPr>
          <w:spacing w:val="5"/>
          <w:sz w:val="22"/>
          <w:szCs w:val="22"/>
          <w:lang w:val="es-ES" w:eastAsia="es-ES"/>
        </w:rPr>
        <w:t>…</w:t>
      </w:r>
      <w:r>
        <w:rPr>
          <w:spacing w:val="5"/>
          <w:sz w:val="22"/>
          <w:szCs w:val="22"/>
          <w:lang w:val="es-ES" w:eastAsia="es-ES"/>
        </w:rPr>
        <w:t>, contra el Artículo 5.5.21 de la Sesión Ordinaria 15-2013 del 21 de febrero del 2013, celebrada por la Junta Directiva del Consejo de Transporte Público y que se tramita en este Despacho bajo</w:t>
      </w:r>
      <w:r>
        <w:rPr>
          <w:spacing w:val="5"/>
          <w:sz w:val="22"/>
          <w:szCs w:val="22"/>
          <w:lang w:val="es-ES" w:eastAsia="es-ES"/>
        </w:rPr>
        <w:t xml:space="preserve"> el </w:t>
      </w:r>
      <w:r w:rsidRPr="00A87A65">
        <w:rPr>
          <w:b/>
          <w:spacing w:val="5"/>
          <w:sz w:val="22"/>
          <w:szCs w:val="22"/>
          <w:lang w:val="es-ES" w:eastAsia="es-ES"/>
        </w:rPr>
        <w:t>Expediente Administrativo N° TAT-168-15.</w:t>
      </w:r>
    </w:p>
    <w:p w:rsidR="00000000" w:rsidRDefault="0067441D">
      <w:pPr>
        <w:kinsoku w:val="0"/>
        <w:overflowPunct w:val="0"/>
        <w:autoSpaceDE/>
        <w:autoSpaceDN/>
        <w:adjustRightInd/>
        <w:spacing w:before="556" w:line="264" w:lineRule="exact"/>
        <w:ind w:left="72"/>
        <w:jc w:val="center"/>
        <w:textAlignment w:val="baseline"/>
        <w:rPr>
          <w:spacing w:val="13"/>
          <w:sz w:val="22"/>
          <w:szCs w:val="22"/>
          <w:lang w:val="es-ES" w:eastAsia="es-ES"/>
        </w:rPr>
      </w:pPr>
      <w:r>
        <w:rPr>
          <w:spacing w:val="13"/>
          <w:sz w:val="22"/>
          <w:szCs w:val="22"/>
          <w:lang w:val="es-ES" w:eastAsia="es-ES"/>
        </w:rPr>
        <w:t>RESULTANDO</w:t>
      </w:r>
    </w:p>
    <w:p w:rsidR="00000000" w:rsidRDefault="0067441D">
      <w:pPr>
        <w:kinsoku w:val="0"/>
        <w:overflowPunct w:val="0"/>
        <w:autoSpaceDE/>
        <w:autoSpaceDN/>
        <w:adjustRightInd/>
        <w:spacing w:before="541" w:line="266" w:lineRule="exact"/>
        <w:ind w:left="72"/>
        <w:jc w:val="both"/>
        <w:textAlignment w:val="baseline"/>
        <w:rPr>
          <w:sz w:val="22"/>
          <w:szCs w:val="22"/>
          <w:lang w:val="es-ES" w:eastAsia="es-ES"/>
        </w:rPr>
      </w:pPr>
      <w:r w:rsidRPr="00A87A65">
        <w:rPr>
          <w:b/>
          <w:sz w:val="22"/>
          <w:szCs w:val="22"/>
          <w:lang w:val="es-ES" w:eastAsia="es-ES"/>
        </w:rPr>
        <w:t>PRIMERO.-</w:t>
      </w:r>
      <w:r>
        <w:rPr>
          <w:sz w:val="22"/>
          <w:szCs w:val="22"/>
          <w:lang w:val="es-ES" w:eastAsia="es-ES"/>
        </w:rPr>
        <w:t xml:space="preserve"> La Junta Directiva del Consejo de Transporte Público en el Artículo 7.4 de la Sesión Ordinaria 59-2014 del 15 de octubre del 2014, conoció el informe DAJ-2014-00437 emitido por la Dirección </w:t>
      </w:r>
      <w:r>
        <w:rPr>
          <w:sz w:val="22"/>
          <w:szCs w:val="22"/>
          <w:lang w:val="es-ES" w:eastAsia="es-ES"/>
        </w:rPr>
        <w:t xml:space="preserve">de Asuntos Jurídicos del 6 de febrero del 2014 que "recomienda acoger el recurso de revocatoria", y en consecuencia, la Junta Directiva acogió la recomendación y declaró con lugar el Recurso de Revocatoria presentado por </w:t>
      </w:r>
      <w:r w:rsidRPr="00A87A65">
        <w:rPr>
          <w:b/>
          <w:sz w:val="22"/>
          <w:szCs w:val="22"/>
          <w:lang w:val="es-ES" w:eastAsia="es-ES"/>
        </w:rPr>
        <w:t>Y</w:t>
      </w:r>
      <w:r w:rsidR="00A87A65">
        <w:rPr>
          <w:b/>
          <w:sz w:val="22"/>
          <w:szCs w:val="22"/>
          <w:lang w:val="es-ES" w:eastAsia="es-ES"/>
        </w:rPr>
        <w:t>.B.V.</w:t>
      </w:r>
      <w:r>
        <w:rPr>
          <w:sz w:val="22"/>
          <w:szCs w:val="22"/>
          <w:lang w:val="es-ES" w:eastAsia="es-ES"/>
        </w:rPr>
        <w:t xml:space="preserve">, cédula de </w:t>
      </w:r>
      <w:r>
        <w:rPr>
          <w:sz w:val="22"/>
          <w:szCs w:val="22"/>
          <w:lang w:val="es-ES" w:eastAsia="es-ES"/>
        </w:rPr>
        <w:t xml:space="preserve">identidad número </w:t>
      </w:r>
      <w:r w:rsidR="00A87A65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>, contra el Artículo 5.5.21 de la Sesión Ordinaria 15-2013 del 21 de febrero del 2013.</w:t>
      </w:r>
    </w:p>
    <w:p w:rsidR="00000000" w:rsidRPr="00A87A65" w:rsidRDefault="0067441D">
      <w:pPr>
        <w:kinsoku w:val="0"/>
        <w:overflowPunct w:val="0"/>
        <w:autoSpaceDE/>
        <w:autoSpaceDN/>
        <w:adjustRightInd/>
        <w:spacing w:before="267" w:line="272" w:lineRule="exact"/>
        <w:ind w:left="72"/>
        <w:textAlignment w:val="baseline"/>
        <w:rPr>
          <w:b/>
          <w:spacing w:val="14"/>
          <w:sz w:val="22"/>
          <w:szCs w:val="22"/>
          <w:lang w:val="es-ES" w:eastAsia="es-ES"/>
        </w:rPr>
      </w:pPr>
      <w:r w:rsidRPr="00A87A65">
        <w:rPr>
          <w:b/>
          <w:spacing w:val="14"/>
          <w:sz w:val="22"/>
          <w:szCs w:val="22"/>
          <w:lang w:val="es-ES" w:eastAsia="es-ES"/>
        </w:rPr>
        <w:t>REDACTA EL JUEZ PORTUGUEZ MÉNDEZ,</w:t>
      </w:r>
    </w:p>
    <w:p w:rsidR="00000000" w:rsidRPr="00A87A65" w:rsidRDefault="0067441D">
      <w:pPr>
        <w:kinsoku w:val="0"/>
        <w:overflowPunct w:val="0"/>
        <w:autoSpaceDE/>
        <w:autoSpaceDN/>
        <w:adjustRightInd/>
        <w:spacing w:before="540" w:line="264" w:lineRule="exact"/>
        <w:ind w:left="72"/>
        <w:jc w:val="center"/>
        <w:textAlignment w:val="baseline"/>
        <w:rPr>
          <w:b/>
          <w:spacing w:val="13"/>
          <w:sz w:val="22"/>
          <w:szCs w:val="22"/>
          <w:lang w:val="es-ES" w:eastAsia="es-ES"/>
        </w:rPr>
      </w:pPr>
      <w:r w:rsidRPr="00A87A65">
        <w:rPr>
          <w:b/>
          <w:spacing w:val="13"/>
          <w:sz w:val="22"/>
          <w:szCs w:val="22"/>
          <w:lang w:val="es-ES" w:eastAsia="es-ES"/>
        </w:rPr>
        <w:t>CONSIDERANDO</w:t>
      </w:r>
    </w:p>
    <w:p w:rsidR="00000000" w:rsidRDefault="0067441D">
      <w:pPr>
        <w:kinsoku w:val="0"/>
        <w:overflowPunct w:val="0"/>
        <w:autoSpaceDE/>
        <w:autoSpaceDN/>
        <w:adjustRightInd/>
        <w:spacing w:before="538" w:after="1145" w:line="276" w:lineRule="exact"/>
        <w:ind w:left="72"/>
        <w:jc w:val="both"/>
        <w:textAlignment w:val="baseline"/>
        <w:rPr>
          <w:spacing w:val="4"/>
          <w:sz w:val="22"/>
          <w:szCs w:val="22"/>
          <w:lang w:val="es-ES" w:eastAsia="es-ES"/>
        </w:rPr>
      </w:pPr>
      <w:r w:rsidRPr="00A87A65">
        <w:rPr>
          <w:b/>
          <w:spacing w:val="4"/>
          <w:sz w:val="22"/>
          <w:szCs w:val="22"/>
          <w:lang w:val="es-ES" w:eastAsia="es-ES"/>
        </w:rPr>
        <w:t>Ú</w:t>
      </w:r>
      <w:r w:rsidRPr="00A87A65">
        <w:rPr>
          <w:b/>
          <w:spacing w:val="4"/>
          <w:sz w:val="22"/>
          <w:szCs w:val="22"/>
          <w:lang w:val="es-ES" w:eastAsia="es-ES"/>
        </w:rPr>
        <w:t>NICO.-</w:t>
      </w:r>
      <w:r>
        <w:rPr>
          <w:spacing w:val="4"/>
          <w:sz w:val="22"/>
          <w:szCs w:val="22"/>
          <w:lang w:val="es-ES" w:eastAsia="es-ES"/>
        </w:rPr>
        <w:t xml:space="preserve"> El Tribunal Administrativo de Transporte es el competente para conocer y resolver los recursos de apelación interpuestos contra los actos y resoluciones emitidos por la Junta Directiva del Consejo de Transporte Público, de conformidad con el artícul</w:t>
      </w:r>
      <w:r>
        <w:rPr>
          <w:spacing w:val="4"/>
          <w:sz w:val="22"/>
          <w:szCs w:val="22"/>
          <w:lang w:val="es-ES" w:eastAsia="es-ES"/>
        </w:rPr>
        <w:t>o 22 de la Ley Reguladora del Servicio Público de Transporte Remunerado de Personas en Vehículos en la Modalidad de Taxi, N° 7969 del 22 de diciembre de 1999, sus reformas y modificaciones vigentes.</w:t>
      </w:r>
    </w:p>
    <w:p w:rsidR="00000000" w:rsidRDefault="0067441D">
      <w:pPr>
        <w:widowControl/>
        <w:rPr>
          <w:sz w:val="24"/>
          <w:szCs w:val="24"/>
        </w:rPr>
        <w:sectPr w:rsidR="00000000">
          <w:pgSz w:w="12134" w:h="15840"/>
          <w:pgMar w:top="2120" w:right="1914" w:bottom="180" w:left="1520" w:header="720" w:footer="720" w:gutter="0"/>
          <w:cols w:space="720"/>
          <w:noEndnote/>
        </w:sectPr>
      </w:pPr>
    </w:p>
    <w:p w:rsidR="00000000" w:rsidRDefault="0067441D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2120" w:right="1977" w:bottom="180" w:left="7997" w:header="720" w:footer="720" w:gutter="0"/>
          <w:cols w:space="720"/>
          <w:noEndnote/>
        </w:sectPr>
      </w:pPr>
    </w:p>
    <w:p w:rsidR="00000000" w:rsidRDefault="0067441D">
      <w:pPr>
        <w:kinsoku w:val="0"/>
        <w:overflowPunct w:val="0"/>
        <w:autoSpaceDE/>
        <w:autoSpaceDN/>
        <w:adjustRightInd/>
        <w:spacing w:before="4" w:line="266" w:lineRule="exact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lastRenderedPageBreak/>
        <w:t xml:space="preserve">De conformidad con el artículo 347 inciso 3) de la Ley N° 6227 "Ley General de la Administración Pública", el Recurso de Apelación se tramita una vez </w:t>
      </w:r>
      <w:r>
        <w:rPr>
          <w:i/>
          <w:iCs/>
          <w:sz w:val="23"/>
          <w:szCs w:val="23"/>
          <w:u w:val="single"/>
          <w:lang w:val="es-ES" w:eastAsia="es-ES"/>
        </w:rPr>
        <w:t>denegado</w:t>
      </w:r>
      <w:r>
        <w:rPr>
          <w:sz w:val="23"/>
          <w:szCs w:val="23"/>
          <w:lang w:val="es-ES" w:eastAsia="es-ES"/>
        </w:rPr>
        <w:t xml:space="preserve"> el recurso de revocatoria:</w:t>
      </w:r>
    </w:p>
    <w:p w:rsidR="00000000" w:rsidRDefault="0067441D">
      <w:pPr>
        <w:kinsoku w:val="0"/>
        <w:overflowPunct w:val="0"/>
        <w:autoSpaceDE/>
        <w:autoSpaceDN/>
        <w:adjustRightInd/>
        <w:spacing w:before="220" w:line="226" w:lineRule="exact"/>
        <w:ind w:left="864"/>
        <w:textAlignment w:val="baseline"/>
        <w:rPr>
          <w:sz w:val="24"/>
          <w:szCs w:val="24"/>
          <w:lang w:eastAsia="en-US"/>
        </w:rPr>
      </w:pPr>
      <w:r>
        <w:rPr>
          <w:spacing w:val="5"/>
          <w:sz w:val="18"/>
          <w:szCs w:val="18"/>
          <w:lang w:val="es-ES" w:eastAsia="es-ES"/>
        </w:rPr>
        <w:t>"Artículo 347.</w:t>
      </w:r>
      <w:r>
        <w:rPr>
          <w:spacing w:val="5"/>
          <w:sz w:val="18"/>
          <w:szCs w:val="18"/>
          <w:lang w:val="es-ES" w:eastAsia="es-ES"/>
        </w:rPr>
        <w:noBreakHyphen/>
      </w:r>
    </w:p>
    <w:p w:rsidR="00000000" w:rsidRDefault="0067441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3" w:line="215" w:lineRule="exact"/>
        <w:ind w:right="864"/>
        <w:textAlignment w:val="baseline"/>
        <w:rPr>
          <w:sz w:val="18"/>
          <w:szCs w:val="18"/>
          <w:lang w:val="es-ES" w:eastAsia="es-ES"/>
        </w:rPr>
      </w:pPr>
      <w:r>
        <w:rPr>
          <w:sz w:val="18"/>
          <w:szCs w:val="18"/>
          <w:lang w:val="es-ES" w:eastAsia="es-ES"/>
        </w:rPr>
        <w:t>Los recursos podrán tambié</w:t>
      </w:r>
      <w:r>
        <w:rPr>
          <w:sz w:val="18"/>
          <w:szCs w:val="18"/>
          <w:lang w:val="es-ES" w:eastAsia="es-ES"/>
        </w:rPr>
        <w:t>n interponerse haciéndolo constar en el acta de la notificación respectiva.</w:t>
      </w:r>
    </w:p>
    <w:p w:rsidR="00000000" w:rsidRDefault="0067441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8" w:line="226" w:lineRule="exact"/>
        <w:ind w:right="864"/>
        <w:textAlignment w:val="baseline"/>
        <w:rPr>
          <w:sz w:val="18"/>
          <w:szCs w:val="18"/>
          <w:lang w:val="es-ES" w:eastAsia="es-ES"/>
        </w:rPr>
      </w:pPr>
      <w:r>
        <w:rPr>
          <w:sz w:val="18"/>
          <w:szCs w:val="18"/>
          <w:lang w:val="es-ES" w:eastAsia="es-ES"/>
        </w:rPr>
        <w:t>Es potestativo usar ambos recursos ordinarios o uno solo de ellos, pero será inadmisible el que se interponga pasados los términos fijados en el artículo anterior.</w:t>
      </w:r>
    </w:p>
    <w:p w:rsidR="00000000" w:rsidRDefault="0067441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25" w:lineRule="exact"/>
        <w:ind w:right="864"/>
        <w:textAlignment w:val="baseline"/>
        <w:rPr>
          <w:sz w:val="18"/>
          <w:szCs w:val="18"/>
          <w:lang w:val="es-ES" w:eastAsia="es-ES"/>
        </w:rPr>
      </w:pPr>
      <w:r>
        <w:rPr>
          <w:sz w:val="18"/>
          <w:szCs w:val="18"/>
          <w:lang w:val="es-ES" w:eastAsia="es-ES"/>
        </w:rPr>
        <w:t>Si se interponen</w:t>
      </w:r>
      <w:r>
        <w:rPr>
          <w:sz w:val="18"/>
          <w:szCs w:val="18"/>
          <w:lang w:val="es-ES" w:eastAsia="es-ES"/>
        </w:rPr>
        <w:t xml:space="preserve"> ambos recursos a la vez, se tramitará la apelación una vez declarada sin lugar la revocatoria."</w:t>
      </w:r>
    </w:p>
    <w:p w:rsidR="00000000" w:rsidRDefault="0067441D">
      <w:pPr>
        <w:kinsoku w:val="0"/>
        <w:overflowPunct w:val="0"/>
        <w:autoSpaceDE/>
        <w:autoSpaceDN/>
        <w:adjustRightInd/>
        <w:spacing w:before="246" w:line="271" w:lineRule="exact"/>
        <w:ind w:right="72"/>
        <w:jc w:val="both"/>
        <w:textAlignment w:val="baseline"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>Sin embargo, este Tribunal observa que la Junta Directiva del Consejo de Transporte Público, en el Artículo 7.4 de la Sesió</w:t>
      </w:r>
      <w:r>
        <w:rPr>
          <w:spacing w:val="2"/>
          <w:sz w:val="23"/>
          <w:szCs w:val="23"/>
          <w:lang w:val="es-ES" w:eastAsia="es-ES"/>
        </w:rPr>
        <w:t xml:space="preserve">n Ordinaria 59-2014 del 15 de octubre del 2014, conoció el informe DAJ-2014-00437 emitido por la Dirección de Asuntos Jurídicos el 6 de febrero del 2014, y acogió el </w:t>
      </w:r>
      <w:r>
        <w:rPr>
          <w:b/>
          <w:bCs/>
          <w:spacing w:val="2"/>
          <w:sz w:val="18"/>
          <w:szCs w:val="18"/>
          <w:lang w:val="es-ES" w:eastAsia="es-ES"/>
        </w:rPr>
        <w:t xml:space="preserve">RECURSO DE REVOCATORIA </w:t>
      </w:r>
      <w:r>
        <w:rPr>
          <w:spacing w:val="2"/>
          <w:sz w:val="23"/>
          <w:szCs w:val="23"/>
          <w:lang w:val="es-ES" w:eastAsia="es-ES"/>
        </w:rPr>
        <w:t xml:space="preserve">presentado por la señora </w:t>
      </w:r>
      <w:r>
        <w:rPr>
          <w:b/>
          <w:bCs/>
          <w:spacing w:val="2"/>
          <w:sz w:val="18"/>
          <w:szCs w:val="18"/>
          <w:lang w:val="es-ES" w:eastAsia="es-ES"/>
        </w:rPr>
        <w:t>Y</w:t>
      </w:r>
      <w:r w:rsidR="00A87A65">
        <w:rPr>
          <w:b/>
          <w:bCs/>
          <w:spacing w:val="2"/>
          <w:sz w:val="18"/>
          <w:szCs w:val="18"/>
          <w:lang w:val="es-ES" w:eastAsia="es-ES"/>
        </w:rPr>
        <w:t>.B.V.</w:t>
      </w:r>
      <w:r>
        <w:rPr>
          <w:b/>
          <w:bCs/>
          <w:spacing w:val="2"/>
          <w:sz w:val="18"/>
          <w:szCs w:val="18"/>
          <w:lang w:val="es-ES" w:eastAsia="es-ES"/>
        </w:rPr>
        <w:t xml:space="preserve">, </w:t>
      </w:r>
      <w:r>
        <w:rPr>
          <w:spacing w:val="2"/>
          <w:sz w:val="23"/>
          <w:szCs w:val="23"/>
          <w:lang w:val="es-ES" w:eastAsia="es-ES"/>
        </w:rPr>
        <w:t>de forma que al n</w:t>
      </w:r>
      <w:r>
        <w:rPr>
          <w:spacing w:val="2"/>
          <w:sz w:val="23"/>
          <w:szCs w:val="23"/>
          <w:lang w:val="es-ES" w:eastAsia="es-ES"/>
        </w:rPr>
        <w:t>o existir una denegatoria del recurso, este Tribunal no puede entrar a conocer el Recurso de Apelación presentado toda vez que la causa del mismo y que fuera motivo de disconformidad para la recurrente, ha sido removido por la Junta Directiva del Consejo d</w:t>
      </w:r>
      <w:r>
        <w:rPr>
          <w:spacing w:val="2"/>
          <w:sz w:val="23"/>
          <w:szCs w:val="23"/>
          <w:lang w:val="es-ES" w:eastAsia="es-ES"/>
        </w:rPr>
        <w:t>e Transporte Público, durante el período en que mantenía la competencia para pronunciarse sobre el mismo, pues si hubiese declarado una denegatoria, habría perdido la competencia para pronunciarse o variar de cual forma el acto administrativo que conociera</w:t>
      </w:r>
      <w:r>
        <w:rPr>
          <w:spacing w:val="2"/>
          <w:sz w:val="23"/>
          <w:szCs w:val="23"/>
          <w:lang w:val="es-ES" w:eastAsia="es-ES"/>
        </w:rPr>
        <w:t xml:space="preserve"> la revocatoria, lo que no sucedió en la realidad.</w:t>
      </w:r>
    </w:p>
    <w:p w:rsidR="00000000" w:rsidRDefault="0067441D">
      <w:pPr>
        <w:kinsoku w:val="0"/>
        <w:overflowPunct w:val="0"/>
        <w:autoSpaceDE/>
        <w:autoSpaceDN/>
        <w:adjustRightInd/>
        <w:spacing w:before="227" w:line="266" w:lineRule="exact"/>
        <w:textAlignment w:val="baseline"/>
        <w:rPr>
          <w:spacing w:val="1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En razón de lo anterior, el recurso fue mal elevado ante este Tribunal y así debe declararse.</w:t>
      </w:r>
    </w:p>
    <w:p w:rsidR="00000000" w:rsidRDefault="0067441D">
      <w:pPr>
        <w:kinsoku w:val="0"/>
        <w:overflowPunct w:val="0"/>
        <w:autoSpaceDE/>
        <w:autoSpaceDN/>
        <w:adjustRightInd/>
        <w:spacing w:before="835" w:line="242" w:lineRule="exact"/>
        <w:jc w:val="center"/>
        <w:textAlignment w:val="baseline"/>
        <w:rPr>
          <w:b/>
          <w:bCs/>
          <w:spacing w:val="30"/>
          <w:sz w:val="18"/>
          <w:szCs w:val="18"/>
          <w:lang w:val="es-ES" w:eastAsia="es-ES"/>
        </w:rPr>
      </w:pPr>
      <w:r>
        <w:rPr>
          <w:b/>
          <w:bCs/>
          <w:spacing w:val="30"/>
          <w:sz w:val="18"/>
          <w:szCs w:val="18"/>
          <w:lang w:val="es-ES" w:eastAsia="es-ES"/>
        </w:rPr>
        <w:t>POR TANTO</w:t>
      </w:r>
    </w:p>
    <w:p w:rsidR="00A87A65" w:rsidRDefault="0067441D" w:rsidP="00A87A65">
      <w:pPr>
        <w:kinsoku w:val="0"/>
        <w:overflowPunct w:val="0"/>
        <w:autoSpaceDE/>
        <w:autoSpaceDN/>
        <w:adjustRightInd/>
        <w:spacing w:before="250" w:after="310" w:line="309" w:lineRule="exact"/>
        <w:jc w:val="both"/>
        <w:textAlignment w:val="baseline"/>
        <w:rPr>
          <w:spacing w:val="7"/>
          <w:sz w:val="23"/>
          <w:szCs w:val="23"/>
          <w:lang w:val="es-ES" w:eastAsia="es-ES"/>
        </w:rPr>
      </w:pPr>
      <w:r>
        <w:rPr>
          <w:b/>
          <w:bCs/>
          <w:spacing w:val="7"/>
          <w:sz w:val="18"/>
          <w:szCs w:val="18"/>
          <w:lang w:val="es-ES" w:eastAsia="es-ES"/>
        </w:rPr>
        <w:t xml:space="preserve">I.- </w:t>
      </w:r>
      <w:r>
        <w:rPr>
          <w:spacing w:val="7"/>
          <w:sz w:val="23"/>
          <w:szCs w:val="23"/>
          <w:lang w:val="es-ES" w:eastAsia="es-ES"/>
        </w:rPr>
        <w:t xml:space="preserve">Se declara </w:t>
      </w:r>
      <w:r>
        <w:rPr>
          <w:b/>
          <w:bCs/>
          <w:spacing w:val="7"/>
          <w:sz w:val="18"/>
          <w:szCs w:val="18"/>
          <w:lang w:val="es-ES" w:eastAsia="es-ES"/>
        </w:rPr>
        <w:t xml:space="preserve">MAL ELEVADO </w:t>
      </w:r>
      <w:r>
        <w:rPr>
          <w:spacing w:val="7"/>
          <w:sz w:val="23"/>
          <w:szCs w:val="23"/>
          <w:lang w:val="es-ES" w:eastAsia="es-ES"/>
        </w:rPr>
        <w:t xml:space="preserve">el </w:t>
      </w:r>
      <w:r>
        <w:rPr>
          <w:b/>
          <w:bCs/>
          <w:spacing w:val="7"/>
          <w:sz w:val="18"/>
          <w:szCs w:val="18"/>
          <w:lang w:val="es-ES" w:eastAsia="es-ES"/>
        </w:rPr>
        <w:t>RECURSO DE APELACIÓN EN SUBSIDIO, ACCIÓN NULIDAD CONCOMITANTE E INCIDEN</w:t>
      </w:r>
      <w:r>
        <w:rPr>
          <w:b/>
          <w:bCs/>
          <w:spacing w:val="7"/>
          <w:sz w:val="18"/>
          <w:szCs w:val="18"/>
          <w:lang w:val="es-ES" w:eastAsia="es-ES"/>
        </w:rPr>
        <w:t xml:space="preserve">TE DE SUSPENSIÓN, </w:t>
      </w:r>
      <w:r>
        <w:rPr>
          <w:spacing w:val="7"/>
          <w:sz w:val="23"/>
          <w:szCs w:val="23"/>
          <w:lang w:val="es-ES" w:eastAsia="es-ES"/>
        </w:rPr>
        <w:t xml:space="preserve">interpuesto por </w:t>
      </w:r>
      <w:r>
        <w:rPr>
          <w:b/>
          <w:bCs/>
          <w:spacing w:val="7"/>
          <w:sz w:val="18"/>
          <w:szCs w:val="18"/>
          <w:lang w:val="es-ES" w:eastAsia="es-ES"/>
        </w:rPr>
        <w:t>Y</w:t>
      </w:r>
      <w:r w:rsidR="00A87A65">
        <w:rPr>
          <w:b/>
          <w:bCs/>
          <w:spacing w:val="7"/>
          <w:sz w:val="18"/>
          <w:szCs w:val="18"/>
          <w:lang w:val="es-ES" w:eastAsia="es-ES"/>
        </w:rPr>
        <w:t>.B.V.</w:t>
      </w:r>
      <w:r>
        <w:rPr>
          <w:b/>
          <w:bCs/>
          <w:spacing w:val="7"/>
          <w:sz w:val="18"/>
          <w:szCs w:val="18"/>
          <w:lang w:val="es-ES" w:eastAsia="es-ES"/>
        </w:rPr>
        <w:t xml:space="preserve">, </w:t>
      </w:r>
      <w:r>
        <w:rPr>
          <w:spacing w:val="7"/>
          <w:sz w:val="23"/>
          <w:szCs w:val="23"/>
          <w:lang w:val="es-ES" w:eastAsia="es-ES"/>
        </w:rPr>
        <w:t xml:space="preserve">cédula de identidad número </w:t>
      </w:r>
      <w:r w:rsidR="00A87A65">
        <w:rPr>
          <w:spacing w:val="7"/>
          <w:sz w:val="23"/>
          <w:szCs w:val="23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>, contra el Artículo 5.5.21 de la Sesión Ordinaria 15-2013 del 21 de febrero del 2013, celebrada por la Junta Directiva del Consejo de Transporte Público.</w:t>
      </w:r>
    </w:p>
    <w:p w:rsidR="00A87A65" w:rsidRPr="006321DC" w:rsidRDefault="00A87A65" w:rsidP="00A87A65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7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r w:rsidRPr="006321DC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A87A65" w:rsidRPr="00233E71" w:rsidRDefault="00A87A65" w:rsidP="00A87A65">
      <w:pPr>
        <w:pStyle w:val="Style1"/>
        <w:kinsoku w:val="0"/>
        <w:overflowPunct w:val="0"/>
        <w:autoSpaceDE/>
        <w:autoSpaceDN/>
        <w:adjustRightInd/>
        <w:spacing w:before="100" w:beforeAutospacing="1" w:after="100" w:afterAutospacing="1" w:line="288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A87A65" w:rsidRDefault="00A87A65" w:rsidP="00A87A65">
      <w:pPr>
        <w:tabs>
          <w:tab w:val="left" w:pos="720"/>
        </w:tabs>
        <w:kinsoku w:val="0"/>
        <w:overflowPunct w:val="0"/>
        <w:autoSpaceDE/>
        <w:autoSpaceDN/>
        <w:adjustRightInd/>
        <w:spacing w:before="100" w:beforeAutospacing="1" w:after="100" w:afterAutospacing="1" w:line="523" w:lineRule="exact"/>
        <w:ind w:left="72"/>
        <w:jc w:val="center"/>
        <w:textAlignment w:val="baseline"/>
        <w:rPr>
          <w:b/>
          <w:bCs/>
          <w:i/>
          <w:iCs/>
          <w:sz w:val="23"/>
          <w:szCs w:val="23"/>
          <w:lang w:val="es-ES" w:eastAsia="es-ES"/>
        </w:rPr>
      </w:pPr>
      <w:r w:rsidRPr="006321DC">
        <w:rPr>
          <w:rStyle w:val="CharacterStyle1"/>
          <w:i/>
          <w:iCs/>
          <w:spacing w:val="5"/>
          <w:sz w:val="26"/>
          <w:szCs w:val="26"/>
        </w:rPr>
        <w:t xml:space="preserve">Licda. Marta Luz Pérez Peláez    </w:t>
      </w:r>
      <w:r>
        <w:rPr>
          <w:rStyle w:val="CharacterStyle1"/>
          <w:i/>
          <w:iCs/>
          <w:spacing w:val="5"/>
          <w:sz w:val="26"/>
          <w:szCs w:val="26"/>
        </w:rPr>
        <w:t xml:space="preserve">          </w:t>
      </w:r>
      <w:r w:rsidRPr="006321DC">
        <w:rPr>
          <w:rStyle w:val="CharacterStyle1"/>
          <w:i/>
          <w:iCs/>
          <w:spacing w:val="5"/>
          <w:sz w:val="26"/>
          <w:szCs w:val="26"/>
        </w:rPr>
        <w:t xml:space="preserve">  </w:t>
      </w:r>
      <w:r>
        <w:rPr>
          <w:rStyle w:val="CharacterStyle1"/>
          <w:i/>
          <w:iCs/>
          <w:spacing w:val="5"/>
          <w:sz w:val="26"/>
          <w:szCs w:val="26"/>
        </w:rPr>
        <w:t xml:space="preserve"> </w:t>
      </w:r>
      <w:r w:rsidRPr="006321DC">
        <w:rPr>
          <w:rStyle w:val="CharacterStyle1"/>
          <w:i/>
          <w:iCs/>
          <w:spacing w:val="5"/>
          <w:sz w:val="26"/>
          <w:szCs w:val="26"/>
        </w:rPr>
        <w:t>Lic. Mario Quesada Aguirre</w:t>
      </w:r>
      <w:r w:rsidRPr="00867D8B">
        <w:rPr>
          <w:rStyle w:val="CharacterStyle1"/>
          <w:i/>
          <w:iCs/>
          <w:spacing w:val="5"/>
          <w:sz w:val="26"/>
          <w:szCs w:val="26"/>
        </w:rPr>
        <w:t xml:space="preserve"> </w:t>
      </w:r>
      <w:r>
        <w:rPr>
          <w:rStyle w:val="CharacterStyle1"/>
          <w:i/>
          <w:iCs/>
          <w:spacing w:val="5"/>
          <w:sz w:val="26"/>
          <w:szCs w:val="26"/>
        </w:rPr>
        <w:t xml:space="preserve">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   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>J</w:t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ueza                    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</w:t>
      </w:r>
      <w:r>
        <w:rPr>
          <w:rStyle w:val="CharacterStyle1"/>
          <w:b/>
          <w:i/>
          <w:iCs/>
          <w:spacing w:val="5"/>
          <w:sz w:val="26"/>
          <w:szCs w:val="26"/>
        </w:rPr>
        <w:t>uez</w:t>
      </w:r>
    </w:p>
    <w:p w:rsidR="00000000" w:rsidRDefault="00A87A65" w:rsidP="00A87A65">
      <w:pPr>
        <w:kinsoku w:val="0"/>
        <w:overflowPunct w:val="0"/>
        <w:autoSpaceDE/>
        <w:autoSpaceDN/>
        <w:adjustRightInd/>
        <w:spacing w:before="250" w:after="310" w:line="309" w:lineRule="exact"/>
        <w:jc w:val="both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000000" w:rsidRDefault="0067441D">
      <w:pPr>
        <w:widowControl/>
        <w:rPr>
          <w:sz w:val="24"/>
          <w:szCs w:val="24"/>
        </w:rPr>
        <w:sectPr w:rsidR="00000000">
          <w:pgSz w:w="12134" w:h="15840"/>
          <w:pgMar w:top="2160" w:right="1836" w:bottom="160" w:left="1598" w:header="720" w:footer="720" w:gutter="0"/>
          <w:cols w:space="720"/>
          <w:noEndnote/>
        </w:sectPr>
      </w:pPr>
    </w:p>
    <w:p w:rsidR="0067441D" w:rsidRDefault="0067441D" w:rsidP="00A87A65">
      <w:pPr>
        <w:kinsoku w:val="0"/>
        <w:overflowPunct w:val="0"/>
        <w:autoSpaceDE/>
        <w:autoSpaceDN/>
        <w:adjustRightInd/>
        <w:spacing w:line="262" w:lineRule="exact"/>
        <w:textAlignment w:val="baseline"/>
        <w:rPr>
          <w:spacing w:val="4"/>
          <w:sz w:val="23"/>
          <w:szCs w:val="23"/>
          <w:lang w:val="es-ES" w:eastAsia="es-ES"/>
        </w:rPr>
      </w:pPr>
    </w:p>
    <w:sectPr w:rsidR="0067441D">
      <w:type w:val="continuous"/>
      <w:pgSz w:w="12134" w:h="15840"/>
      <w:pgMar w:top="2160" w:right="1979" w:bottom="160" w:left="79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5BC0"/>
    <w:multiLevelType w:val="singleLevel"/>
    <w:tmpl w:val="1280A258"/>
    <w:lvl w:ilvl="0">
      <w:start w:val="1"/>
      <w:numFmt w:val="decimal"/>
      <w:lvlText w:val="%1."/>
      <w:lvlJc w:val="left"/>
      <w:pPr>
        <w:tabs>
          <w:tab w:val="num" w:pos="1368"/>
        </w:tabs>
        <w:ind w:left="864" w:firstLine="288"/>
      </w:pPr>
      <w:rPr>
        <w:snapToGrid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65"/>
    <w:rsid w:val="0067441D"/>
    <w:rsid w:val="00A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4D72C"/>
  <w14:defaultImageDpi w14:val="0"/>
  <w15:docId w15:val="{00B635DC-AC3D-4EAA-956C-1DB2BE8E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87A65"/>
    <w:rPr>
      <w:lang w:val="es-CR"/>
    </w:rPr>
  </w:style>
  <w:style w:type="character" w:customStyle="1" w:styleId="CharacterStyle1">
    <w:name w:val="Character Style 1"/>
    <w:uiPriority w:val="99"/>
    <w:rsid w:val="00A87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2016-05-04T15:40:00Z</dcterms:created>
  <dcterms:modified xsi:type="dcterms:W3CDTF">2016-05-04T15:40:00Z</dcterms:modified>
</cp:coreProperties>
</file>