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25E71" w:rsidRDefault="000C4EFC">
      <w:pPr>
        <w:kinsoku w:val="0"/>
        <w:overflowPunct w:val="0"/>
        <w:autoSpaceDE/>
        <w:autoSpaceDN/>
        <w:adjustRightInd/>
        <w:spacing w:line="251" w:lineRule="exact"/>
        <w:ind w:left="72"/>
        <w:jc w:val="center"/>
        <w:textAlignment w:val="baseline"/>
        <w:rPr>
          <w:b/>
          <w:spacing w:val="10"/>
          <w:sz w:val="22"/>
          <w:szCs w:val="22"/>
          <w:lang w:val="es-ES" w:eastAsia="es-ES"/>
        </w:rPr>
      </w:pPr>
      <w:r w:rsidRPr="00A25E71">
        <w:rPr>
          <w:b/>
          <w:spacing w:val="10"/>
          <w:sz w:val="22"/>
          <w:szCs w:val="22"/>
          <w:lang w:val="es-ES" w:eastAsia="es-ES"/>
        </w:rPr>
        <w:t>RESOLUCION N° TAT- 2584-2015</w:t>
      </w:r>
    </w:p>
    <w:p w:rsidR="00000000" w:rsidRDefault="000C4EFC">
      <w:pPr>
        <w:kinsoku w:val="0"/>
        <w:overflowPunct w:val="0"/>
        <w:autoSpaceDE/>
        <w:autoSpaceDN/>
        <w:adjustRightInd/>
        <w:spacing w:before="330" w:line="293" w:lineRule="exact"/>
        <w:ind w:left="72"/>
        <w:jc w:val="both"/>
        <w:textAlignment w:val="baseline"/>
        <w:rPr>
          <w:sz w:val="22"/>
          <w:szCs w:val="22"/>
          <w:lang w:val="es-ES" w:eastAsia="es-ES"/>
        </w:rPr>
      </w:pPr>
      <w:r w:rsidRPr="00A25E71">
        <w:rPr>
          <w:b/>
          <w:sz w:val="22"/>
          <w:szCs w:val="22"/>
          <w:lang w:val="es-ES" w:eastAsia="es-ES"/>
        </w:rPr>
        <w:t>TRIBUNAL ADMINISTRATIVO DE TRANSPORTE</w:t>
      </w:r>
      <w:r>
        <w:rPr>
          <w:sz w:val="22"/>
          <w:szCs w:val="22"/>
          <w:lang w:val="es-ES" w:eastAsia="es-ES"/>
        </w:rPr>
        <w:t>. Curridabat, a las doce horas del veintidó</w:t>
      </w:r>
      <w:r>
        <w:rPr>
          <w:sz w:val="22"/>
          <w:szCs w:val="22"/>
          <w:lang w:val="es-ES" w:eastAsia="es-ES"/>
        </w:rPr>
        <w:t>s de mayo del año dos mil quince.</w:t>
      </w:r>
    </w:p>
    <w:p w:rsidR="00000000" w:rsidRPr="00A25E71" w:rsidRDefault="000C4EFC">
      <w:pPr>
        <w:kinsoku w:val="0"/>
        <w:overflowPunct w:val="0"/>
        <w:autoSpaceDE/>
        <w:autoSpaceDN/>
        <w:adjustRightInd/>
        <w:spacing w:before="344" w:line="273" w:lineRule="exact"/>
        <w:ind w:left="72"/>
        <w:jc w:val="both"/>
        <w:textAlignment w:val="baseline"/>
        <w:rPr>
          <w:b/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 xml:space="preserve">Se conoce </w:t>
      </w:r>
      <w:r w:rsidRPr="00A25E71">
        <w:rPr>
          <w:b/>
          <w:spacing w:val="9"/>
          <w:sz w:val="19"/>
          <w:szCs w:val="19"/>
          <w:lang w:val="es-ES" w:eastAsia="es-ES"/>
        </w:rPr>
        <w:t>RECURSO DE APELACIÓN EN SUBSIDIO, ACCIÓN NULIDAD CONCOMITANTE E INCIDENTE DE SUSPENSIÓN</w:t>
      </w:r>
      <w:r>
        <w:rPr>
          <w:spacing w:val="9"/>
          <w:sz w:val="19"/>
          <w:szCs w:val="19"/>
          <w:lang w:val="es-ES" w:eastAsia="es-ES"/>
        </w:rPr>
        <w:t xml:space="preserve">, </w:t>
      </w:r>
      <w:r>
        <w:rPr>
          <w:spacing w:val="9"/>
          <w:sz w:val="22"/>
          <w:szCs w:val="22"/>
          <w:lang w:val="es-ES" w:eastAsia="es-ES"/>
        </w:rPr>
        <w:t xml:space="preserve">interpuesto por </w:t>
      </w:r>
      <w:r w:rsidRPr="00A25E71">
        <w:rPr>
          <w:b/>
          <w:spacing w:val="9"/>
          <w:sz w:val="19"/>
          <w:szCs w:val="19"/>
          <w:lang w:val="es-ES" w:eastAsia="es-ES"/>
        </w:rPr>
        <w:t>G</w:t>
      </w:r>
      <w:r w:rsidR="00A25E71">
        <w:rPr>
          <w:b/>
          <w:spacing w:val="9"/>
          <w:sz w:val="19"/>
          <w:szCs w:val="19"/>
          <w:lang w:val="es-ES" w:eastAsia="es-ES"/>
        </w:rPr>
        <w:t>.M.A.A.</w:t>
      </w:r>
      <w:r>
        <w:rPr>
          <w:spacing w:val="9"/>
          <w:sz w:val="19"/>
          <w:szCs w:val="19"/>
          <w:lang w:val="es-ES" w:eastAsia="es-ES"/>
        </w:rPr>
        <w:t xml:space="preserve">, </w:t>
      </w:r>
      <w:r>
        <w:rPr>
          <w:spacing w:val="9"/>
          <w:sz w:val="22"/>
          <w:szCs w:val="22"/>
          <w:lang w:val="es-ES" w:eastAsia="es-ES"/>
        </w:rPr>
        <w:t xml:space="preserve">cédula de identidad número </w:t>
      </w:r>
      <w:r w:rsidR="00A25E71">
        <w:rPr>
          <w:spacing w:val="9"/>
          <w:sz w:val="22"/>
          <w:szCs w:val="22"/>
          <w:lang w:val="es-ES" w:eastAsia="es-ES"/>
        </w:rPr>
        <w:t>…</w:t>
      </w:r>
      <w:r>
        <w:rPr>
          <w:spacing w:val="9"/>
          <w:sz w:val="22"/>
          <w:szCs w:val="22"/>
          <w:lang w:val="es-ES" w:eastAsia="es-ES"/>
        </w:rPr>
        <w:t>, contra el Artículo 7.19 (7.19.10) de l</w:t>
      </w:r>
      <w:r>
        <w:rPr>
          <w:spacing w:val="9"/>
          <w:sz w:val="22"/>
          <w:szCs w:val="22"/>
          <w:lang w:val="es-ES" w:eastAsia="es-ES"/>
        </w:rPr>
        <w:t xml:space="preserve">a Sesión Ordinaria 59-2014 del 15 de octubre del 2014, celebrada por la Junta Directiva del Consejo de Transporte Público y que se tramita en este Despacho bajo el Expediente Administrativo N° </w:t>
      </w:r>
      <w:r w:rsidRPr="00A25E71">
        <w:rPr>
          <w:b/>
          <w:spacing w:val="9"/>
          <w:sz w:val="22"/>
          <w:szCs w:val="22"/>
          <w:lang w:val="es-ES" w:eastAsia="es-ES"/>
        </w:rPr>
        <w:t>TAT-174-15.</w:t>
      </w:r>
    </w:p>
    <w:p w:rsidR="00000000" w:rsidRPr="00A25E71" w:rsidRDefault="000C4EFC">
      <w:pPr>
        <w:kinsoku w:val="0"/>
        <w:overflowPunct w:val="0"/>
        <w:autoSpaceDE/>
        <w:autoSpaceDN/>
        <w:adjustRightInd/>
        <w:spacing w:before="283" w:line="262" w:lineRule="exact"/>
        <w:ind w:left="72"/>
        <w:jc w:val="center"/>
        <w:textAlignment w:val="baseline"/>
        <w:rPr>
          <w:b/>
          <w:spacing w:val="13"/>
          <w:sz w:val="22"/>
          <w:szCs w:val="22"/>
          <w:lang w:val="es-ES" w:eastAsia="es-ES"/>
        </w:rPr>
      </w:pPr>
      <w:r w:rsidRPr="00A25E71">
        <w:rPr>
          <w:b/>
          <w:spacing w:val="13"/>
          <w:sz w:val="22"/>
          <w:szCs w:val="22"/>
          <w:lang w:val="es-ES" w:eastAsia="es-ES"/>
        </w:rPr>
        <w:t>RESULTANDO</w:t>
      </w:r>
    </w:p>
    <w:p w:rsidR="00000000" w:rsidRDefault="000C4EFC">
      <w:pPr>
        <w:kinsoku w:val="0"/>
        <w:overflowPunct w:val="0"/>
        <w:autoSpaceDE/>
        <w:autoSpaceDN/>
        <w:adjustRightInd/>
        <w:spacing w:before="261" w:line="270" w:lineRule="exact"/>
        <w:ind w:left="72"/>
        <w:jc w:val="both"/>
        <w:textAlignment w:val="baseline"/>
        <w:rPr>
          <w:spacing w:val="6"/>
          <w:sz w:val="22"/>
          <w:szCs w:val="22"/>
          <w:lang w:val="es-ES" w:eastAsia="es-ES"/>
        </w:rPr>
      </w:pPr>
      <w:r w:rsidRPr="00A25E71">
        <w:rPr>
          <w:b/>
          <w:spacing w:val="6"/>
          <w:sz w:val="22"/>
          <w:szCs w:val="22"/>
          <w:lang w:val="es-ES" w:eastAsia="es-ES"/>
        </w:rPr>
        <w:t>PRIMERO.-</w:t>
      </w:r>
      <w:r>
        <w:rPr>
          <w:spacing w:val="6"/>
          <w:sz w:val="22"/>
          <w:szCs w:val="22"/>
          <w:lang w:val="es-ES" w:eastAsia="es-ES"/>
        </w:rPr>
        <w:t xml:space="preserve"> La Junta Directiva del Consejo</w:t>
      </w:r>
      <w:r>
        <w:rPr>
          <w:spacing w:val="6"/>
          <w:sz w:val="22"/>
          <w:szCs w:val="22"/>
          <w:lang w:val="es-ES" w:eastAsia="es-ES"/>
        </w:rPr>
        <w:t xml:space="preserve"> de Transporte Público en el Artículo 7.19.10 de la Sesión Ordinaria 59-2014 del 15 de octubre del 2014 conoció la recomendación de la solicitud de autorización de traspaso monis causa de la concesión administrativa modalidad taxi, referente al causante </w:t>
      </w:r>
      <w:r w:rsidRPr="00A25E71">
        <w:rPr>
          <w:b/>
          <w:i/>
          <w:iCs/>
          <w:spacing w:val="6"/>
          <w:sz w:val="22"/>
          <w:szCs w:val="22"/>
          <w:lang w:val="es-ES" w:eastAsia="es-ES"/>
        </w:rPr>
        <w:t>F</w:t>
      </w:r>
      <w:r w:rsidR="00A25E71">
        <w:rPr>
          <w:b/>
          <w:i/>
          <w:iCs/>
          <w:spacing w:val="6"/>
          <w:sz w:val="22"/>
          <w:szCs w:val="22"/>
          <w:lang w:val="es-ES" w:eastAsia="es-ES"/>
        </w:rPr>
        <w:t>.A.C.</w:t>
      </w:r>
      <w:r>
        <w:rPr>
          <w:i/>
          <w:iCs/>
          <w:spacing w:val="6"/>
          <w:sz w:val="22"/>
          <w:szCs w:val="22"/>
          <w:lang w:val="es-ES" w:eastAsia="es-ES"/>
        </w:rPr>
        <w:t xml:space="preserve"> </w:t>
      </w:r>
      <w:r>
        <w:rPr>
          <w:spacing w:val="6"/>
          <w:sz w:val="22"/>
          <w:szCs w:val="22"/>
          <w:lang w:val="es-ES" w:eastAsia="es-ES"/>
        </w:rPr>
        <w:t>y atendiendo las recomendaciones del informe DAJ 2014-001448 emitido por la Dirección de Asuntos Jurídicos ordena archivar la solicitud.</w:t>
      </w:r>
    </w:p>
    <w:p w:rsidR="00000000" w:rsidRDefault="000C4EFC">
      <w:pPr>
        <w:kinsoku w:val="0"/>
        <w:overflowPunct w:val="0"/>
        <w:autoSpaceDE/>
        <w:autoSpaceDN/>
        <w:adjustRightInd/>
        <w:spacing w:before="268" w:line="269" w:lineRule="exact"/>
        <w:ind w:left="72"/>
        <w:jc w:val="both"/>
        <w:textAlignment w:val="baseline"/>
        <w:rPr>
          <w:spacing w:val="6"/>
          <w:sz w:val="22"/>
          <w:szCs w:val="22"/>
          <w:lang w:val="es-ES" w:eastAsia="es-ES"/>
        </w:rPr>
      </w:pPr>
      <w:r w:rsidRPr="00A25E71">
        <w:rPr>
          <w:b/>
          <w:spacing w:val="6"/>
          <w:sz w:val="22"/>
          <w:szCs w:val="22"/>
          <w:lang w:val="es-ES" w:eastAsia="es-ES"/>
        </w:rPr>
        <w:t>SEGUNDO.-</w:t>
      </w:r>
      <w:r>
        <w:rPr>
          <w:spacing w:val="6"/>
          <w:sz w:val="22"/>
          <w:szCs w:val="22"/>
          <w:lang w:val="es-ES" w:eastAsia="es-ES"/>
        </w:rPr>
        <w:t xml:space="preserve"> El 5 de diciembre del 2014, se presenta ante el Consejo de Transporte Público el </w:t>
      </w:r>
      <w:r w:rsidRPr="00A25E71">
        <w:rPr>
          <w:b/>
          <w:spacing w:val="6"/>
          <w:sz w:val="19"/>
          <w:szCs w:val="19"/>
          <w:lang w:val="es-ES" w:eastAsia="es-ES"/>
        </w:rPr>
        <w:t>RECURSO</w:t>
      </w:r>
      <w:r w:rsidRPr="00A25E71">
        <w:rPr>
          <w:b/>
          <w:spacing w:val="6"/>
          <w:sz w:val="19"/>
          <w:szCs w:val="19"/>
          <w:lang w:val="es-ES" w:eastAsia="es-ES"/>
        </w:rPr>
        <w:t xml:space="preserve"> DE APELACIÓN EN SUBSIDIO, ACCIÓN NULIDAD CONCOMITANTE E INCIDENTE DE SUSPENSIÓN</w:t>
      </w:r>
      <w:r>
        <w:rPr>
          <w:spacing w:val="6"/>
          <w:sz w:val="19"/>
          <w:szCs w:val="19"/>
          <w:lang w:val="es-ES" w:eastAsia="es-ES"/>
        </w:rPr>
        <w:t xml:space="preserve">, </w:t>
      </w:r>
      <w:r>
        <w:rPr>
          <w:spacing w:val="6"/>
          <w:sz w:val="22"/>
          <w:szCs w:val="22"/>
          <w:lang w:val="es-ES" w:eastAsia="es-ES"/>
        </w:rPr>
        <w:t xml:space="preserve">interpuesto por </w:t>
      </w:r>
      <w:r w:rsidRPr="00A25E71">
        <w:rPr>
          <w:b/>
          <w:spacing w:val="6"/>
          <w:sz w:val="19"/>
          <w:szCs w:val="19"/>
          <w:lang w:val="es-ES" w:eastAsia="es-ES"/>
        </w:rPr>
        <w:t>G</w:t>
      </w:r>
      <w:r w:rsidR="00A25E71">
        <w:rPr>
          <w:b/>
          <w:spacing w:val="6"/>
          <w:sz w:val="19"/>
          <w:szCs w:val="19"/>
          <w:lang w:val="es-ES" w:eastAsia="es-ES"/>
        </w:rPr>
        <w:t>.M.A.A.</w:t>
      </w:r>
      <w:r>
        <w:rPr>
          <w:spacing w:val="6"/>
          <w:sz w:val="19"/>
          <w:szCs w:val="19"/>
          <w:lang w:val="es-ES" w:eastAsia="es-ES"/>
        </w:rPr>
        <w:t xml:space="preserve">, </w:t>
      </w:r>
      <w:r>
        <w:rPr>
          <w:spacing w:val="6"/>
          <w:sz w:val="22"/>
          <w:szCs w:val="22"/>
          <w:lang w:val="es-ES" w:eastAsia="es-ES"/>
        </w:rPr>
        <w:t xml:space="preserve">cédula de identidad número </w:t>
      </w:r>
      <w:r w:rsidR="00A25E71">
        <w:rPr>
          <w:spacing w:val="6"/>
          <w:sz w:val="22"/>
          <w:szCs w:val="22"/>
          <w:lang w:val="es-ES" w:eastAsia="es-ES"/>
        </w:rPr>
        <w:t>…</w:t>
      </w:r>
      <w:r>
        <w:rPr>
          <w:spacing w:val="6"/>
          <w:sz w:val="22"/>
          <w:szCs w:val="22"/>
          <w:lang w:val="es-ES" w:eastAsia="es-ES"/>
        </w:rPr>
        <w:t>, contra el Artículo 7.19 (7.19.10) de la Sesión Ordinaria 59-2014 del 15 de octubre del 20</w:t>
      </w:r>
      <w:r>
        <w:rPr>
          <w:spacing w:val="6"/>
          <w:sz w:val="22"/>
          <w:szCs w:val="22"/>
          <w:lang w:val="es-ES" w:eastAsia="es-ES"/>
        </w:rPr>
        <w:t>14, celebrada por la Junta Directiva del Consejo de Transporte Público.</w:t>
      </w:r>
    </w:p>
    <w:p w:rsidR="00000000" w:rsidRDefault="000C4EFC">
      <w:pPr>
        <w:kinsoku w:val="0"/>
        <w:overflowPunct w:val="0"/>
        <w:autoSpaceDE/>
        <w:autoSpaceDN/>
        <w:adjustRightInd/>
        <w:spacing w:before="288" w:line="263" w:lineRule="exact"/>
        <w:ind w:left="72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En el escrito no consta la firma de la recurrente, únicamente la firma del Notario Público autenticante Lic. Manuel Monge Díaz, carné N° 5274. (Léanse los folios del 4 al 8 del expedie</w:t>
      </w:r>
      <w:r>
        <w:rPr>
          <w:sz w:val="22"/>
          <w:szCs w:val="22"/>
          <w:lang w:val="es-ES" w:eastAsia="es-ES"/>
        </w:rPr>
        <w:t>nte administrativo TAT-174-15)</w:t>
      </w:r>
    </w:p>
    <w:p w:rsidR="00000000" w:rsidRDefault="000C4EFC">
      <w:pPr>
        <w:kinsoku w:val="0"/>
        <w:overflowPunct w:val="0"/>
        <w:autoSpaceDE/>
        <w:autoSpaceDN/>
        <w:adjustRightInd/>
        <w:spacing w:before="267" w:line="277" w:lineRule="exact"/>
        <w:ind w:left="72"/>
        <w:jc w:val="both"/>
        <w:textAlignment w:val="baseline"/>
        <w:rPr>
          <w:spacing w:val="5"/>
          <w:sz w:val="22"/>
          <w:szCs w:val="22"/>
          <w:lang w:val="es-ES" w:eastAsia="es-ES"/>
        </w:rPr>
      </w:pPr>
      <w:r w:rsidRPr="00BD2EE2">
        <w:rPr>
          <w:b/>
          <w:spacing w:val="5"/>
          <w:sz w:val="22"/>
          <w:szCs w:val="22"/>
          <w:lang w:val="es-ES" w:eastAsia="es-ES"/>
        </w:rPr>
        <w:t>TERCERO.-</w:t>
      </w:r>
      <w:r>
        <w:rPr>
          <w:spacing w:val="5"/>
          <w:sz w:val="22"/>
          <w:szCs w:val="22"/>
          <w:lang w:val="es-ES" w:eastAsia="es-ES"/>
        </w:rPr>
        <w:t xml:space="preserve"> La Junta Directiva del Consejo de Transporte Público conoce y rechaza el Recurso de Revocatoria y sus incidencias debido a la falta de firma de la acción recursiva</w:t>
      </w:r>
      <w:r>
        <w:rPr>
          <w:spacing w:val="5"/>
          <w:sz w:val="22"/>
          <w:szCs w:val="22"/>
          <w:lang w:val="es-ES" w:eastAsia="es-ES"/>
        </w:rPr>
        <w:t xml:space="preserve"> y eleva ante el Tribunal Administrativo de Transporte el Recurso de Apelación en Subsidio mediante el Artículo 7.3 (7.3.1) de la Sesión Ordinaria 11-2015 del 26 de febrero del 2015. (Léanse los folios del 1 al 3 del expediente administrativo TAT-174-15)</w:t>
      </w:r>
    </w:p>
    <w:p w:rsidR="00000000" w:rsidRDefault="000C4EFC">
      <w:pPr>
        <w:kinsoku w:val="0"/>
        <w:overflowPunct w:val="0"/>
        <w:autoSpaceDE/>
        <w:autoSpaceDN/>
        <w:adjustRightInd/>
        <w:spacing w:before="547" w:after="636" w:line="262" w:lineRule="exact"/>
        <w:ind w:left="72"/>
        <w:textAlignment w:val="baseline"/>
        <w:rPr>
          <w:spacing w:val="6"/>
          <w:sz w:val="22"/>
          <w:szCs w:val="22"/>
          <w:lang w:val="es-ES" w:eastAsia="es-ES"/>
        </w:rPr>
      </w:pPr>
      <w:r w:rsidRPr="00BD2EE2">
        <w:rPr>
          <w:b/>
          <w:spacing w:val="6"/>
          <w:sz w:val="22"/>
          <w:szCs w:val="22"/>
          <w:lang w:val="es-ES" w:eastAsia="es-ES"/>
        </w:rPr>
        <w:t>C</w:t>
      </w:r>
      <w:r w:rsidRPr="00BD2EE2">
        <w:rPr>
          <w:b/>
          <w:spacing w:val="6"/>
          <w:sz w:val="22"/>
          <w:szCs w:val="22"/>
          <w:lang w:val="es-ES" w:eastAsia="es-ES"/>
        </w:rPr>
        <w:t>UARTO.-</w:t>
      </w:r>
      <w:r>
        <w:rPr>
          <w:spacing w:val="6"/>
          <w:sz w:val="22"/>
          <w:szCs w:val="22"/>
          <w:lang w:val="es-ES" w:eastAsia="es-ES"/>
        </w:rPr>
        <w:t xml:space="preserve"> En los procedimientos se han seguido las prescripciones de ley.</w:t>
      </w:r>
    </w:p>
    <w:p w:rsidR="00000000" w:rsidRDefault="000C4EFC">
      <w:pPr>
        <w:widowControl/>
        <w:rPr>
          <w:sz w:val="24"/>
          <w:szCs w:val="24"/>
        </w:rPr>
        <w:sectPr w:rsidR="00000000">
          <w:pgSz w:w="12134" w:h="15840"/>
          <w:pgMar w:top="2100" w:right="1958" w:bottom="200" w:left="1516" w:header="720" w:footer="720" w:gutter="0"/>
          <w:cols w:space="720"/>
          <w:noEndnote/>
        </w:sectPr>
      </w:pPr>
    </w:p>
    <w:p w:rsidR="00000000" w:rsidRDefault="000C4EFC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2100" w:right="2040" w:bottom="200" w:left="7934" w:header="720" w:footer="720" w:gutter="0"/>
          <w:cols w:space="720"/>
          <w:noEndnote/>
        </w:sectPr>
      </w:pPr>
    </w:p>
    <w:p w:rsidR="00000000" w:rsidRPr="00BD2EE2" w:rsidRDefault="000C4EFC">
      <w:pPr>
        <w:kinsoku w:val="0"/>
        <w:overflowPunct w:val="0"/>
        <w:autoSpaceDE/>
        <w:autoSpaceDN/>
        <w:adjustRightInd/>
        <w:spacing w:line="264" w:lineRule="exact"/>
        <w:textAlignment w:val="baseline"/>
        <w:rPr>
          <w:b/>
          <w:spacing w:val="13"/>
          <w:sz w:val="22"/>
          <w:szCs w:val="22"/>
          <w:lang w:val="es-ES" w:eastAsia="es-ES"/>
        </w:rPr>
      </w:pPr>
      <w:r w:rsidRPr="00BD2EE2">
        <w:rPr>
          <w:b/>
          <w:spacing w:val="13"/>
          <w:sz w:val="22"/>
          <w:szCs w:val="22"/>
          <w:lang w:val="es-ES" w:eastAsia="es-ES"/>
        </w:rPr>
        <w:lastRenderedPageBreak/>
        <w:t>REDACTA EL JUEZ PORTUGUEZ MÉNDEZ,</w:t>
      </w:r>
    </w:p>
    <w:p w:rsidR="00000000" w:rsidRPr="00BD2EE2" w:rsidRDefault="000C4EFC">
      <w:pPr>
        <w:kinsoku w:val="0"/>
        <w:overflowPunct w:val="0"/>
        <w:autoSpaceDE/>
        <w:autoSpaceDN/>
        <w:adjustRightInd/>
        <w:spacing w:before="286" w:line="270" w:lineRule="exact"/>
        <w:jc w:val="center"/>
        <w:textAlignment w:val="baseline"/>
        <w:rPr>
          <w:b/>
          <w:spacing w:val="12"/>
          <w:sz w:val="22"/>
          <w:szCs w:val="22"/>
          <w:lang w:val="es-ES" w:eastAsia="es-ES"/>
        </w:rPr>
      </w:pPr>
      <w:r w:rsidRPr="00BD2EE2">
        <w:rPr>
          <w:b/>
          <w:spacing w:val="12"/>
          <w:sz w:val="22"/>
          <w:szCs w:val="22"/>
          <w:lang w:val="es-ES" w:eastAsia="es-ES"/>
        </w:rPr>
        <w:t>CONSIDERANDO</w:t>
      </w:r>
    </w:p>
    <w:p w:rsidR="00000000" w:rsidRDefault="000C4EFC">
      <w:pPr>
        <w:kinsoku w:val="0"/>
        <w:overflowPunct w:val="0"/>
        <w:autoSpaceDE/>
        <w:autoSpaceDN/>
        <w:adjustRightInd/>
        <w:spacing w:before="264" w:line="270" w:lineRule="exact"/>
        <w:ind w:left="288" w:right="72"/>
        <w:jc w:val="both"/>
        <w:textAlignment w:val="baseline"/>
        <w:rPr>
          <w:spacing w:val="7"/>
          <w:sz w:val="22"/>
          <w:szCs w:val="22"/>
          <w:lang w:val="es-ES" w:eastAsia="es-ES"/>
        </w:rPr>
      </w:pPr>
      <w:r w:rsidRPr="00BD2EE2">
        <w:rPr>
          <w:b/>
          <w:spacing w:val="7"/>
          <w:sz w:val="22"/>
          <w:szCs w:val="22"/>
          <w:lang w:val="es-ES" w:eastAsia="es-ES"/>
        </w:rPr>
        <w:t>ÚNICO.-</w:t>
      </w:r>
      <w:r>
        <w:rPr>
          <w:spacing w:val="7"/>
          <w:sz w:val="22"/>
          <w:szCs w:val="22"/>
          <w:lang w:val="es-ES" w:eastAsia="es-ES"/>
        </w:rPr>
        <w:t xml:space="preserve"> El Tribunal Administrativo de Transporte es el competente para cono</w:t>
      </w:r>
      <w:r>
        <w:rPr>
          <w:spacing w:val="7"/>
          <w:sz w:val="22"/>
          <w:szCs w:val="22"/>
          <w:lang w:val="es-ES" w:eastAsia="es-ES"/>
        </w:rPr>
        <w:t>cer y resolver los recursos de apelación interpuestos contra los actos y resoluciones emitidos por la Junta Directiva del Consejo de Transporte Público, de conformidad con el artículo 22 de la Ley Reguladora del Servicio Público de Transporte Remunerado de</w:t>
      </w:r>
      <w:r>
        <w:rPr>
          <w:spacing w:val="7"/>
          <w:sz w:val="22"/>
          <w:szCs w:val="22"/>
          <w:lang w:val="es-ES" w:eastAsia="es-ES"/>
        </w:rPr>
        <w:t xml:space="preserve"> Personas en Vehículos en la Modalidad de Taxi, N. 7969 del 22 de diciembre de 1999, sus reformas y modificaciones vigentes, y en razón de ello, se avoca este Órgano Colegiado al estudio de admisibilidad del presente recurso de apelación y sus incidencias,</w:t>
      </w:r>
      <w:r>
        <w:rPr>
          <w:spacing w:val="7"/>
          <w:sz w:val="22"/>
          <w:szCs w:val="22"/>
          <w:lang w:val="es-ES" w:eastAsia="es-ES"/>
        </w:rPr>
        <w:t xml:space="preserve"> en los presupuestos de tiempo y forma, conforme al artículo 11 de Ley Reguladora del Servicio Público de Transporte Remunerado de Personas en Vehículos en la modalidad de Taxi N. 7969, y los artículos 285 y 345 de la Ley General de Administración Pública </w:t>
      </w:r>
      <w:r>
        <w:rPr>
          <w:spacing w:val="7"/>
          <w:sz w:val="22"/>
          <w:szCs w:val="22"/>
          <w:lang w:val="es-ES" w:eastAsia="es-ES"/>
        </w:rPr>
        <w:t>N. 6227.</w:t>
      </w:r>
    </w:p>
    <w:p w:rsidR="00000000" w:rsidRDefault="000C4EFC">
      <w:pPr>
        <w:kinsoku w:val="0"/>
        <w:overflowPunct w:val="0"/>
        <w:autoSpaceDE/>
        <w:autoSpaceDN/>
        <w:adjustRightInd/>
        <w:spacing w:before="286" w:line="270" w:lineRule="exact"/>
        <w:ind w:left="288" w:right="72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Este Tribunal Administrativo de Transporte, con base en el estudio del expediente administrativo, ha podido verificar que el libelo de los </w:t>
      </w:r>
      <w:r>
        <w:rPr>
          <w:b/>
          <w:bCs/>
          <w:sz w:val="18"/>
          <w:szCs w:val="18"/>
          <w:lang w:val="es-ES" w:eastAsia="es-ES"/>
        </w:rPr>
        <w:t xml:space="preserve">RECURSOS </w:t>
      </w:r>
      <w:r w:rsidRPr="00BD2EE2">
        <w:rPr>
          <w:b/>
          <w:bCs/>
          <w:sz w:val="18"/>
          <w:szCs w:val="18"/>
          <w:lang w:val="es-ES" w:eastAsia="es-ES"/>
        </w:rPr>
        <w:t>DE REVOCATORIA CON APELACIÓN EN SUBSIDIO, ACCIÓN NULIDAD CONCOMITANTE E INCIDENTE DE SUSPENSIÓ</w:t>
      </w:r>
      <w:r w:rsidRPr="00BD2EE2">
        <w:rPr>
          <w:b/>
          <w:bCs/>
          <w:sz w:val="18"/>
          <w:szCs w:val="18"/>
          <w:lang w:val="es-ES" w:eastAsia="es-ES"/>
        </w:rPr>
        <w:t>N</w:t>
      </w:r>
      <w:r>
        <w:rPr>
          <w:sz w:val="22"/>
          <w:szCs w:val="22"/>
          <w:lang w:val="es-ES" w:eastAsia="es-ES"/>
        </w:rPr>
        <w:t xml:space="preserve">, interpuesto por </w:t>
      </w:r>
      <w:r w:rsidRPr="00BD2EE2">
        <w:rPr>
          <w:b/>
          <w:bCs/>
          <w:sz w:val="18"/>
          <w:szCs w:val="18"/>
          <w:lang w:val="es-ES" w:eastAsia="es-ES"/>
        </w:rPr>
        <w:t>G</w:t>
      </w:r>
      <w:r w:rsidR="00BD2EE2">
        <w:rPr>
          <w:b/>
          <w:bCs/>
          <w:sz w:val="18"/>
          <w:szCs w:val="18"/>
          <w:lang w:val="es-ES" w:eastAsia="es-ES"/>
        </w:rPr>
        <w:t>.M.A.A.</w:t>
      </w:r>
      <w:r>
        <w:rPr>
          <w:sz w:val="22"/>
          <w:szCs w:val="22"/>
          <w:lang w:val="es-ES" w:eastAsia="es-ES"/>
        </w:rPr>
        <w:t xml:space="preserve">, cédula de identidad número </w:t>
      </w:r>
      <w:r w:rsidR="00BD2EE2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>, presentados contra el Artículo 7.19 (7.19.10) de la Sesión Ordinaria 59-2014 del 15 de octubre del 2014, celebrada por la Junta Directiva del Consejo de Transporte Públ</w:t>
      </w:r>
      <w:r>
        <w:rPr>
          <w:sz w:val="22"/>
          <w:szCs w:val="22"/>
          <w:lang w:val="es-ES" w:eastAsia="es-ES"/>
        </w:rPr>
        <w:t xml:space="preserve">ico no ,se encuentra </w:t>
      </w:r>
      <w:r>
        <w:rPr>
          <w:i/>
          <w:iCs/>
          <w:sz w:val="22"/>
          <w:szCs w:val="22"/>
          <w:u w:val="single"/>
          <w:lang w:val="es-ES" w:eastAsia="es-ES"/>
        </w:rPr>
        <w:t>rubricado</w:t>
      </w:r>
      <w:r>
        <w:rPr>
          <w:sz w:val="22"/>
          <w:szCs w:val="22"/>
          <w:lang w:val="es-ES" w:eastAsia="es-ES"/>
        </w:rPr>
        <w:t xml:space="preserve"> por la recurrente, lo cual es un requisito en la presentación del recurso, de conformidad con lo estipulado en el artículo 285 de la Ley General de la Administración Pública:</w:t>
      </w:r>
    </w:p>
    <w:p w:rsidR="00000000" w:rsidRDefault="000C4EFC">
      <w:pPr>
        <w:kinsoku w:val="0"/>
        <w:overflowPunct w:val="0"/>
        <w:autoSpaceDE/>
        <w:autoSpaceDN/>
        <w:adjustRightInd/>
        <w:spacing w:before="226" w:line="270" w:lineRule="exact"/>
        <w:ind w:left="864"/>
        <w:textAlignment w:val="baseline"/>
        <w:rPr>
          <w:spacing w:val="-9"/>
          <w:sz w:val="22"/>
          <w:szCs w:val="22"/>
          <w:lang w:val="es-ES" w:eastAsia="es-ES"/>
        </w:rPr>
      </w:pPr>
      <w:r>
        <w:rPr>
          <w:spacing w:val="-9"/>
          <w:sz w:val="22"/>
          <w:szCs w:val="22"/>
          <w:lang w:val="es-ES" w:eastAsia="es-ES"/>
        </w:rPr>
        <w:t>"(...) Articulo 285.- 1. La petició</w:t>
      </w:r>
      <w:r>
        <w:rPr>
          <w:spacing w:val="-9"/>
          <w:sz w:val="22"/>
          <w:szCs w:val="22"/>
          <w:lang w:val="es-ES" w:eastAsia="es-ES"/>
        </w:rPr>
        <w:t>n de la parte deberá contener:</w:t>
      </w:r>
    </w:p>
    <w:p w:rsidR="00000000" w:rsidRDefault="000C4E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78" w:line="270" w:lineRule="exact"/>
        <w:textAlignment w:val="baseline"/>
        <w:rPr>
          <w:spacing w:val="-11"/>
          <w:sz w:val="22"/>
          <w:szCs w:val="22"/>
          <w:lang w:val="es-ES" w:eastAsia="es-ES"/>
        </w:rPr>
      </w:pPr>
      <w:r>
        <w:rPr>
          <w:spacing w:val="-11"/>
          <w:sz w:val="22"/>
          <w:szCs w:val="22"/>
          <w:lang w:val="es-ES" w:eastAsia="es-ES"/>
        </w:rPr>
        <w:t>Indicación de la oficina a que se dirige;</w:t>
      </w:r>
    </w:p>
    <w:p w:rsidR="00000000" w:rsidRDefault="000C4E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27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Nombre y apellidos, residencia y lugar para notificaciones de la parte y de quien la representa;</w:t>
      </w:r>
    </w:p>
    <w:p w:rsidR="00000000" w:rsidRDefault="000C4E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6" w:line="214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La pretensión, con indicación de los daños y perjuicios que se reclamen, y de su e</w:t>
      </w:r>
      <w:r>
        <w:rPr>
          <w:sz w:val="22"/>
          <w:szCs w:val="22"/>
          <w:lang w:val="es-ES" w:eastAsia="es-ES"/>
        </w:rPr>
        <w:t>stimación, origen y naturaleza;</w:t>
      </w:r>
    </w:p>
    <w:p w:rsidR="00000000" w:rsidRDefault="000C4EF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9" w:lineRule="exact"/>
        <w:jc w:val="both"/>
        <w:textAlignment w:val="baseline"/>
        <w:rPr>
          <w:spacing w:val="-6"/>
          <w:sz w:val="22"/>
          <w:szCs w:val="22"/>
          <w:lang w:val="es-ES" w:eastAsia="es-ES"/>
        </w:rPr>
      </w:pPr>
      <w:r>
        <w:rPr>
          <w:spacing w:val="-6"/>
          <w:sz w:val="18"/>
          <w:szCs w:val="18"/>
          <w:lang w:val="es-ES" w:eastAsia="es-ES"/>
        </w:rPr>
        <w:t xml:space="preserve">Los motivos </w:t>
      </w:r>
      <w:r>
        <w:rPr>
          <w:spacing w:val="-6"/>
          <w:sz w:val="22"/>
          <w:szCs w:val="22"/>
          <w:lang w:val="es-ES" w:eastAsia="es-ES"/>
        </w:rPr>
        <w:t>o fundamentos de hecho; y</w:t>
      </w:r>
    </w:p>
    <w:p w:rsidR="00000000" w:rsidRDefault="000C4E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2" w:lineRule="exact"/>
        <w:jc w:val="both"/>
        <w:textAlignment w:val="baseline"/>
        <w:rPr>
          <w:b/>
          <w:bCs/>
          <w:spacing w:val="-4"/>
          <w:sz w:val="18"/>
          <w:szCs w:val="18"/>
          <w:lang w:val="es-ES" w:eastAsia="es-ES"/>
        </w:rPr>
      </w:pPr>
      <w:r w:rsidRPr="00BD2EE2">
        <w:rPr>
          <w:b/>
          <w:spacing w:val="-4"/>
          <w:sz w:val="22"/>
          <w:szCs w:val="22"/>
          <w:lang w:val="es-ES" w:eastAsia="es-ES"/>
        </w:rPr>
        <w:t>Fecha</w:t>
      </w:r>
      <w:r>
        <w:rPr>
          <w:spacing w:val="-4"/>
          <w:sz w:val="22"/>
          <w:szCs w:val="22"/>
          <w:lang w:val="es-ES" w:eastAsia="es-ES"/>
        </w:rPr>
        <w:t xml:space="preserve"> y </w:t>
      </w:r>
      <w:r>
        <w:rPr>
          <w:b/>
          <w:bCs/>
          <w:spacing w:val="-4"/>
          <w:sz w:val="18"/>
          <w:szCs w:val="18"/>
          <w:lang w:val="es-ES" w:eastAsia="es-ES"/>
        </w:rPr>
        <w:t>firma.</w:t>
      </w:r>
    </w:p>
    <w:p w:rsidR="00000000" w:rsidRDefault="000C4EFC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14" w:line="226" w:lineRule="exact"/>
        <w:ind w:right="864"/>
        <w:jc w:val="both"/>
        <w:textAlignment w:val="baseline"/>
        <w:rPr>
          <w:spacing w:val="-7"/>
          <w:sz w:val="22"/>
          <w:szCs w:val="22"/>
          <w:lang w:val="es-ES" w:eastAsia="es-ES"/>
        </w:rPr>
      </w:pPr>
      <w:r>
        <w:rPr>
          <w:spacing w:val="-7"/>
          <w:sz w:val="18"/>
          <w:szCs w:val="18"/>
          <w:lang w:val="es-ES" w:eastAsia="es-ES"/>
        </w:rPr>
        <w:t xml:space="preserve">La ausencia </w:t>
      </w:r>
      <w:r>
        <w:rPr>
          <w:spacing w:val="-7"/>
          <w:sz w:val="22"/>
          <w:szCs w:val="22"/>
          <w:lang w:val="es-ES" w:eastAsia="es-ES"/>
        </w:rPr>
        <w:t xml:space="preserve">de los requisitos indicados en </w:t>
      </w:r>
      <w:r>
        <w:rPr>
          <w:spacing w:val="-7"/>
          <w:sz w:val="18"/>
          <w:szCs w:val="18"/>
          <w:lang w:val="es-ES" w:eastAsia="es-ES"/>
        </w:rPr>
        <w:t xml:space="preserve">los </w:t>
      </w:r>
      <w:r>
        <w:rPr>
          <w:spacing w:val="-7"/>
          <w:sz w:val="22"/>
          <w:szCs w:val="22"/>
          <w:lang w:val="es-ES" w:eastAsia="es-ES"/>
        </w:rPr>
        <w:t xml:space="preserve">numerales b) y c) obligará al </w:t>
      </w:r>
      <w:r>
        <w:rPr>
          <w:spacing w:val="-7"/>
          <w:sz w:val="18"/>
          <w:szCs w:val="18"/>
          <w:lang w:val="es-ES" w:eastAsia="es-ES"/>
        </w:rPr>
        <w:t xml:space="preserve">rechazo y archivo </w:t>
      </w:r>
      <w:r>
        <w:rPr>
          <w:spacing w:val="-7"/>
          <w:sz w:val="22"/>
          <w:szCs w:val="22"/>
          <w:lang w:val="es-ES" w:eastAsia="es-ES"/>
        </w:rPr>
        <w:t>de la petición, salvo que se puedan inferir claramente del escri</w:t>
      </w:r>
      <w:r>
        <w:rPr>
          <w:spacing w:val="-7"/>
          <w:sz w:val="22"/>
          <w:szCs w:val="22"/>
          <w:lang w:val="es-ES" w:eastAsia="es-ES"/>
        </w:rPr>
        <w:t xml:space="preserve">to o de los </w:t>
      </w:r>
      <w:r>
        <w:rPr>
          <w:spacing w:val="-7"/>
          <w:sz w:val="18"/>
          <w:szCs w:val="18"/>
          <w:lang w:val="es-ES" w:eastAsia="es-ES"/>
        </w:rPr>
        <w:t xml:space="preserve">documentos </w:t>
      </w:r>
      <w:r>
        <w:rPr>
          <w:spacing w:val="-7"/>
          <w:sz w:val="22"/>
          <w:szCs w:val="22"/>
          <w:lang w:val="es-ES" w:eastAsia="es-ES"/>
        </w:rPr>
        <w:t>anexos.</w:t>
      </w:r>
    </w:p>
    <w:p w:rsidR="00000000" w:rsidRDefault="000C4EFC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9" w:line="221" w:lineRule="exact"/>
        <w:ind w:right="1080"/>
        <w:textAlignment w:val="baseline"/>
        <w:rPr>
          <w:sz w:val="22"/>
          <w:szCs w:val="22"/>
          <w:lang w:val="es-ES" w:eastAsia="es-ES"/>
        </w:rPr>
      </w:pPr>
      <w:r w:rsidRPr="00BD2EE2">
        <w:rPr>
          <w:b/>
          <w:sz w:val="22"/>
          <w:szCs w:val="22"/>
          <w:lang w:val="es-ES" w:eastAsia="es-ES"/>
        </w:rPr>
        <w:t xml:space="preserve">La </w:t>
      </w:r>
      <w:r w:rsidRPr="00BD2EE2">
        <w:rPr>
          <w:b/>
          <w:bCs/>
          <w:sz w:val="18"/>
          <w:szCs w:val="18"/>
          <w:lang w:val="es-ES" w:eastAsia="es-ES"/>
        </w:rPr>
        <w:t>falta de firma</w:t>
      </w:r>
      <w:r>
        <w:rPr>
          <w:b/>
          <w:bCs/>
          <w:sz w:val="18"/>
          <w:szCs w:val="18"/>
          <w:lang w:val="es-ES" w:eastAsia="es-ES"/>
        </w:rPr>
        <w:t xml:space="preserve"> producirá necesariamente el rechazo y archivo de la petición. </w:t>
      </w:r>
      <w:r>
        <w:rPr>
          <w:sz w:val="18"/>
          <w:szCs w:val="18"/>
          <w:lang w:val="es-ES" w:eastAsia="es-ES"/>
        </w:rPr>
        <w:t xml:space="preserve">"(El Resaltado </w:t>
      </w:r>
      <w:r>
        <w:rPr>
          <w:sz w:val="22"/>
          <w:szCs w:val="22"/>
          <w:lang w:val="es-ES" w:eastAsia="es-ES"/>
        </w:rPr>
        <w:t>no es del original)</w:t>
      </w:r>
    </w:p>
    <w:p w:rsidR="00000000" w:rsidRDefault="000C4EFC">
      <w:pPr>
        <w:kinsoku w:val="0"/>
        <w:overflowPunct w:val="0"/>
        <w:autoSpaceDE/>
        <w:autoSpaceDN/>
        <w:adjustRightInd/>
        <w:spacing w:before="273" w:after="1009" w:line="270" w:lineRule="exact"/>
        <w:ind w:right="72"/>
        <w:jc w:val="both"/>
        <w:textAlignment w:val="baseline"/>
        <w:rPr>
          <w:spacing w:val="5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>El recurso de apelació</w:t>
      </w:r>
      <w:r>
        <w:rPr>
          <w:spacing w:val="5"/>
          <w:sz w:val="22"/>
          <w:szCs w:val="22"/>
          <w:lang w:val="es-ES" w:eastAsia="es-ES"/>
        </w:rPr>
        <w:t xml:space="preserve">n y sus incidencias ha sido presentado sin cumplir la formalidad requerida en el literal e) del numeral 1 del artículo 285 del citado cuerpo normativo, requisito que es </w:t>
      </w:r>
      <w:r>
        <w:rPr>
          <w:i/>
          <w:iCs/>
          <w:spacing w:val="5"/>
          <w:sz w:val="22"/>
          <w:szCs w:val="22"/>
          <w:u w:val="single"/>
          <w:lang w:val="es-ES" w:eastAsia="es-ES"/>
        </w:rPr>
        <w:t xml:space="preserve">insubsanable </w:t>
      </w:r>
      <w:r>
        <w:rPr>
          <w:spacing w:val="5"/>
          <w:sz w:val="22"/>
          <w:szCs w:val="22"/>
          <w:lang w:val="es-ES" w:eastAsia="es-ES"/>
        </w:rPr>
        <w:t xml:space="preserve"> por disposición del numeral 3 del mismo artículo, siendo procedente el re</w:t>
      </w:r>
      <w:r>
        <w:rPr>
          <w:spacing w:val="5"/>
          <w:sz w:val="22"/>
          <w:szCs w:val="22"/>
          <w:lang w:val="es-ES" w:eastAsia="es-ES"/>
        </w:rPr>
        <w:t>chazo del Recurso de apelación en Subsidio y debiendo ordenarse su archivo definitivo.</w:t>
      </w:r>
    </w:p>
    <w:p w:rsidR="00000000" w:rsidRDefault="000C4EFC">
      <w:pPr>
        <w:widowControl/>
        <w:rPr>
          <w:sz w:val="24"/>
          <w:szCs w:val="24"/>
        </w:rPr>
        <w:sectPr w:rsidR="00000000">
          <w:pgSz w:w="12134" w:h="15840"/>
          <w:pgMar w:top="2140" w:right="1905" w:bottom="180" w:left="1569" w:header="720" w:footer="720" w:gutter="0"/>
          <w:cols w:space="720"/>
          <w:noEndnote/>
        </w:sectPr>
      </w:pPr>
    </w:p>
    <w:p w:rsidR="00000000" w:rsidRDefault="000C4EFC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2140" w:right="2018" w:bottom="180" w:left="7956" w:header="720" w:footer="720" w:gutter="0"/>
          <w:cols w:space="720"/>
          <w:noEndnote/>
        </w:sectPr>
      </w:pPr>
    </w:p>
    <w:p w:rsidR="00000000" w:rsidRPr="00BD2EE2" w:rsidRDefault="000C4EFC">
      <w:pPr>
        <w:kinsoku w:val="0"/>
        <w:overflowPunct w:val="0"/>
        <w:autoSpaceDE/>
        <w:autoSpaceDN/>
        <w:adjustRightInd/>
        <w:spacing w:after="256" w:line="250" w:lineRule="exact"/>
        <w:jc w:val="center"/>
        <w:textAlignment w:val="baseline"/>
        <w:rPr>
          <w:b/>
          <w:spacing w:val="13"/>
          <w:sz w:val="22"/>
          <w:szCs w:val="22"/>
          <w:lang w:val="es-ES" w:eastAsia="es-ES"/>
        </w:rPr>
      </w:pPr>
      <w:r w:rsidRPr="00BD2EE2">
        <w:rPr>
          <w:b/>
          <w:spacing w:val="13"/>
          <w:sz w:val="22"/>
          <w:szCs w:val="22"/>
          <w:lang w:val="es-ES" w:eastAsia="es-ES"/>
        </w:rPr>
        <w:lastRenderedPageBreak/>
        <w:t>POR TANTO</w:t>
      </w:r>
    </w:p>
    <w:p w:rsidR="00000000" w:rsidRDefault="000C4EFC">
      <w:pPr>
        <w:widowControl/>
        <w:rPr>
          <w:sz w:val="24"/>
          <w:szCs w:val="24"/>
        </w:rPr>
        <w:sectPr w:rsidR="00000000">
          <w:pgSz w:w="12134" w:h="15840"/>
          <w:pgMar w:top="2460" w:right="5148" w:bottom="180" w:left="4826" w:header="720" w:footer="720" w:gutter="0"/>
          <w:cols w:space="720"/>
          <w:noEndnote/>
        </w:sectPr>
      </w:pPr>
    </w:p>
    <w:p w:rsidR="00000000" w:rsidRDefault="000C4EFC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68" w:lineRule="exact"/>
        <w:ind w:right="50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Se </w:t>
      </w:r>
      <w:r w:rsidRPr="00BD2EE2">
        <w:rPr>
          <w:b/>
          <w:sz w:val="22"/>
          <w:szCs w:val="22"/>
          <w:lang w:val="es-ES" w:eastAsia="es-ES"/>
        </w:rPr>
        <w:t xml:space="preserve">RECHAZA POR INADMISIBLE, el RECURSO DE APELACIÓN EN SUBSIDIO, ACCIÓN </w:t>
      </w:r>
      <w:r w:rsidRPr="00BD2EE2">
        <w:rPr>
          <w:b/>
          <w:sz w:val="22"/>
          <w:szCs w:val="22"/>
          <w:lang w:val="es-ES" w:eastAsia="es-ES"/>
        </w:rPr>
        <w:t xml:space="preserve">NULIDAD CONCOMITANTE E INCIDENTE DE SUSPENSIÓN, </w:t>
      </w:r>
      <w:r w:rsidRPr="00BD2EE2">
        <w:rPr>
          <w:sz w:val="22"/>
          <w:szCs w:val="22"/>
          <w:lang w:val="es-ES" w:eastAsia="es-ES"/>
        </w:rPr>
        <w:t>interpuesto por</w:t>
      </w:r>
      <w:r w:rsidRPr="00BD2EE2">
        <w:rPr>
          <w:b/>
          <w:sz w:val="22"/>
          <w:szCs w:val="22"/>
          <w:lang w:val="es-ES" w:eastAsia="es-ES"/>
        </w:rPr>
        <w:t xml:space="preserve"> G</w:t>
      </w:r>
      <w:r w:rsidR="00BD2EE2">
        <w:rPr>
          <w:b/>
          <w:sz w:val="22"/>
          <w:szCs w:val="22"/>
          <w:lang w:val="es-ES" w:eastAsia="es-ES"/>
        </w:rPr>
        <w:t>.M.A.A.</w:t>
      </w:r>
      <w:r>
        <w:rPr>
          <w:sz w:val="22"/>
          <w:szCs w:val="22"/>
          <w:lang w:val="es-ES" w:eastAsia="es-ES"/>
        </w:rPr>
        <w:t xml:space="preserve">, cédula de identidad número </w:t>
      </w:r>
      <w:r w:rsidR="00BD2EE2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>, presentado contra el Artículo 7.19 (7.19.10) de la Sesión Ordinaria 59-2014 del 15 de octubre del 2014, celebrada por la Ju</w:t>
      </w:r>
      <w:r>
        <w:rPr>
          <w:sz w:val="22"/>
          <w:szCs w:val="22"/>
          <w:lang w:val="es-ES" w:eastAsia="es-ES"/>
        </w:rPr>
        <w:t>nta Directiva del Consejo de Transporte Público y se ordena su archivo definitivo</w:t>
      </w:r>
    </w:p>
    <w:p w:rsidR="00000000" w:rsidRDefault="000C4EFC" w:rsidP="00BD2EE2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92" w:after="527" w:line="265" w:lineRule="exact"/>
        <w:ind w:right="504"/>
        <w:jc w:val="both"/>
        <w:textAlignment w:val="baseline"/>
        <w:rPr>
          <w:sz w:val="24"/>
          <w:szCs w:val="24"/>
        </w:rPr>
      </w:pPr>
      <w:r>
        <w:rPr>
          <w:spacing w:val="7"/>
          <w:sz w:val="22"/>
          <w:szCs w:val="22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i/>
          <w:iCs/>
          <w:spacing w:val="7"/>
          <w:sz w:val="22"/>
          <w:szCs w:val="22"/>
          <w:lang w:val="es-ES" w:eastAsia="es-ES"/>
        </w:rPr>
        <w:t>tiene por agotada la vía administr</w:t>
      </w:r>
      <w:r>
        <w:rPr>
          <w:i/>
          <w:iCs/>
          <w:spacing w:val="7"/>
          <w:sz w:val="22"/>
          <w:szCs w:val="22"/>
          <w:lang w:val="es-ES" w:eastAsia="es-ES"/>
        </w:rPr>
        <w:t xml:space="preserve">ativa. </w:t>
      </w:r>
      <w:bookmarkStart w:id="0" w:name="_GoBack"/>
      <w:r w:rsidRPr="004543A9">
        <w:rPr>
          <w:b/>
          <w:spacing w:val="7"/>
          <w:sz w:val="22"/>
          <w:szCs w:val="22"/>
          <w:lang w:val="es-ES" w:eastAsia="es-ES"/>
        </w:rPr>
        <w:t>NOTIFÍQUESE.</w:t>
      </w:r>
      <w:r w:rsidRPr="004543A9">
        <w:rPr>
          <w:b/>
          <w:spacing w:val="7"/>
          <w:sz w:val="22"/>
          <w:szCs w:val="22"/>
          <w:lang w:val="es-ES" w:eastAsia="es-ES"/>
        </w:rPr>
        <w:noBreakHyphen/>
      </w:r>
      <w:r w:rsidR="00BD2EE2">
        <w:rPr>
          <w:sz w:val="24"/>
          <w:szCs w:val="24"/>
        </w:rPr>
        <w:t xml:space="preserve"> </w:t>
      </w:r>
      <w:bookmarkEnd w:id="0"/>
    </w:p>
    <w:p w:rsidR="00BD2EE2" w:rsidRDefault="00BD2EE2" w:rsidP="00BD2EE2">
      <w:pPr>
        <w:kinsoku w:val="0"/>
        <w:overflowPunct w:val="0"/>
        <w:autoSpaceDE/>
        <w:autoSpaceDN/>
        <w:adjustRightInd/>
        <w:spacing w:before="292" w:after="527" w:line="265" w:lineRule="exact"/>
        <w:ind w:right="504"/>
        <w:jc w:val="both"/>
        <w:textAlignment w:val="baseline"/>
        <w:rPr>
          <w:sz w:val="24"/>
          <w:szCs w:val="24"/>
        </w:rPr>
      </w:pPr>
    </w:p>
    <w:p w:rsidR="00BD2EE2" w:rsidRPr="006321DC" w:rsidRDefault="00BD2EE2" w:rsidP="00BD2EE2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7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BD2EE2" w:rsidRPr="00233E71" w:rsidRDefault="00BD2EE2" w:rsidP="00BD2EE2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BD2EE2" w:rsidRDefault="00BD2EE2" w:rsidP="00BD2EE2">
      <w:pPr>
        <w:tabs>
          <w:tab w:val="left" w:pos="720"/>
        </w:tabs>
        <w:kinsoku w:val="0"/>
        <w:overflowPunct w:val="0"/>
        <w:autoSpaceDE/>
        <w:autoSpaceDN/>
        <w:adjustRightInd/>
        <w:spacing w:before="100" w:beforeAutospacing="1" w:after="100" w:afterAutospacing="1" w:line="523" w:lineRule="exact"/>
        <w:ind w:left="72"/>
        <w:jc w:val="center"/>
        <w:textAlignment w:val="baseline"/>
        <w:rPr>
          <w:b/>
          <w:bCs/>
          <w:i/>
          <w:iCs/>
          <w:sz w:val="23"/>
          <w:szCs w:val="23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 xml:space="preserve">Licda. Marta Luz Pérez Peláez   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</w:t>
      </w:r>
      <w:r w:rsidRPr="006321DC">
        <w:rPr>
          <w:rStyle w:val="CharacterStyle1"/>
          <w:i/>
          <w:iCs/>
          <w:spacing w:val="5"/>
          <w:sz w:val="26"/>
          <w:szCs w:val="26"/>
        </w:rPr>
        <w:t xml:space="preserve">  </w:t>
      </w:r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r w:rsidRPr="006321DC">
        <w:rPr>
          <w:rStyle w:val="CharacterStyle1"/>
          <w:i/>
          <w:iCs/>
          <w:spacing w:val="5"/>
          <w:sz w:val="26"/>
          <w:szCs w:val="26"/>
        </w:rPr>
        <w:t>Lic. Mario Quesada Aguirre</w:t>
      </w:r>
      <w:r w:rsidRPr="00867D8B">
        <w:rPr>
          <w:rStyle w:val="CharacterStyle1"/>
          <w:i/>
          <w:iCs/>
          <w:spacing w:val="5"/>
          <w:sz w:val="26"/>
          <w:szCs w:val="26"/>
        </w:rPr>
        <w:t xml:space="preserve">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>J</w:t>
      </w:r>
      <w:r>
        <w:rPr>
          <w:rStyle w:val="CharacterStyle1"/>
          <w:b/>
          <w:i/>
          <w:iCs/>
          <w:spacing w:val="5"/>
          <w:sz w:val="26"/>
          <w:szCs w:val="26"/>
        </w:rPr>
        <w:t>UEZ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JUEZ</w:t>
      </w:r>
    </w:p>
    <w:p w:rsidR="00BD2EE2" w:rsidRDefault="00BD2EE2" w:rsidP="00BD2EE2">
      <w:pPr>
        <w:kinsoku w:val="0"/>
        <w:overflowPunct w:val="0"/>
        <w:autoSpaceDE/>
        <w:autoSpaceDN/>
        <w:adjustRightInd/>
        <w:spacing w:before="292" w:after="527" w:line="265" w:lineRule="exact"/>
        <w:ind w:right="504"/>
        <w:jc w:val="both"/>
        <w:textAlignment w:val="baseline"/>
        <w:rPr>
          <w:sz w:val="24"/>
          <w:szCs w:val="24"/>
        </w:rPr>
        <w:sectPr w:rsidR="00BD2EE2">
          <w:type w:val="continuous"/>
          <w:pgSz w:w="12134" w:h="15840"/>
          <w:pgMar w:top="2460" w:right="1406" w:bottom="180" w:left="1608" w:header="720" w:footer="720" w:gutter="0"/>
          <w:cols w:space="720"/>
          <w:noEndnote/>
        </w:sectPr>
      </w:pPr>
    </w:p>
    <w:p w:rsidR="000C4EFC" w:rsidRDefault="000C4EFC" w:rsidP="00BD2EE2">
      <w:pPr>
        <w:kinsoku w:val="0"/>
        <w:overflowPunct w:val="0"/>
        <w:autoSpaceDE/>
        <w:autoSpaceDN/>
        <w:adjustRightInd/>
        <w:spacing w:line="248" w:lineRule="exact"/>
        <w:textAlignment w:val="baseline"/>
        <w:rPr>
          <w:spacing w:val="-8"/>
          <w:sz w:val="22"/>
          <w:szCs w:val="22"/>
          <w:lang w:val="es-ES" w:eastAsia="es-ES"/>
        </w:rPr>
      </w:pPr>
    </w:p>
    <w:sectPr w:rsidR="000C4EFC">
      <w:type w:val="continuous"/>
      <w:pgSz w:w="12134" w:h="15840"/>
      <w:pgMar w:top="2460" w:right="2015" w:bottom="180" w:left="7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BEB"/>
    <w:multiLevelType w:val="singleLevel"/>
    <w:tmpl w:val="1B8903CB"/>
    <w:lvl w:ilvl="0">
      <w:start w:val="2"/>
      <w:numFmt w:val="decimal"/>
      <w:lvlText w:val="%1."/>
      <w:lvlJc w:val="left"/>
      <w:pPr>
        <w:tabs>
          <w:tab w:val="num" w:pos="1152"/>
        </w:tabs>
        <w:ind w:left="1152" w:hanging="288"/>
      </w:pPr>
      <w:rPr>
        <w:snapToGrid/>
        <w:spacing w:val="-7"/>
        <w:sz w:val="18"/>
        <w:szCs w:val="18"/>
      </w:rPr>
    </w:lvl>
  </w:abstractNum>
  <w:abstractNum w:abstractNumId="1" w15:restartNumberingAfterBreak="0">
    <w:nsid w:val="04E43FFD"/>
    <w:multiLevelType w:val="singleLevel"/>
    <w:tmpl w:val="6874714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288"/>
      </w:pPr>
      <w:rPr>
        <w:snapToGrid/>
        <w:spacing w:val="-11"/>
        <w:sz w:val="22"/>
        <w:szCs w:val="22"/>
      </w:rPr>
    </w:lvl>
  </w:abstractNum>
  <w:abstractNum w:abstractNumId="2" w15:restartNumberingAfterBreak="0">
    <w:nsid w:val="06569A3D"/>
    <w:multiLevelType w:val="singleLevel"/>
    <w:tmpl w:val="76065B0C"/>
    <w:lvl w:ilvl="0">
      <w:start w:val="1"/>
      <w:numFmt w:val="upperRoman"/>
      <w:lvlText w:val="%1.-"/>
      <w:lvlJc w:val="left"/>
      <w:pPr>
        <w:tabs>
          <w:tab w:val="num" w:pos="360"/>
        </w:tabs>
      </w:pPr>
      <w:rPr>
        <w:b/>
        <w:snapToGrid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1152"/>
          </w:tabs>
          <w:ind w:left="1152" w:hanging="288"/>
        </w:pPr>
        <w:rPr>
          <w:snapToGrid/>
          <w:spacing w:val="-6"/>
          <w:sz w:val="18"/>
          <w:szCs w:val="18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1152"/>
          </w:tabs>
          <w:ind w:left="1152" w:hanging="288"/>
        </w:pPr>
        <w:rPr>
          <w:snapToGrid/>
          <w:sz w:val="22"/>
          <w:szCs w:val="22"/>
        </w:rPr>
      </w:lvl>
    </w:lvlOverride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</w:pPr>
        <w:rPr>
          <w:b/>
          <w:snapToGrid/>
          <w:spacing w:val="7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71"/>
    <w:rsid w:val="000C4EFC"/>
    <w:rsid w:val="004543A9"/>
    <w:rsid w:val="00A25E71"/>
    <w:rsid w:val="00B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F2BD8"/>
  <w14:defaultImageDpi w14:val="0"/>
  <w15:docId w15:val="{2FCD9FA1-E071-44DC-B2F5-AC5AEFB5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D2EE2"/>
    <w:rPr>
      <w:lang w:val="es-CR"/>
    </w:rPr>
  </w:style>
  <w:style w:type="character" w:customStyle="1" w:styleId="CharacterStyle1">
    <w:name w:val="Character Style 1"/>
    <w:uiPriority w:val="99"/>
    <w:rsid w:val="00BD2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2016-05-04T16:33:00Z</dcterms:created>
  <dcterms:modified xsi:type="dcterms:W3CDTF">2016-05-04T16:33:00Z</dcterms:modified>
</cp:coreProperties>
</file>