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3801D9" w:rsidRDefault="003801D9">
      <w:pPr>
        <w:kinsoku w:val="0"/>
        <w:overflowPunct w:val="0"/>
        <w:autoSpaceDE/>
        <w:autoSpaceDN/>
        <w:adjustRightInd/>
        <w:spacing w:line="250" w:lineRule="exact"/>
        <w:ind w:left="72"/>
        <w:jc w:val="center"/>
        <w:textAlignment w:val="baseline"/>
        <w:rPr>
          <w:b/>
          <w:spacing w:val="10"/>
          <w:sz w:val="22"/>
          <w:szCs w:val="22"/>
          <w:lang w:val="es-ES" w:eastAsia="es-ES"/>
        </w:rPr>
      </w:pPr>
      <w:r w:rsidRPr="003801D9">
        <w:rPr>
          <w:b/>
          <w:spacing w:val="10"/>
          <w:sz w:val="22"/>
          <w:szCs w:val="22"/>
          <w:lang w:val="es-ES" w:eastAsia="es-ES"/>
        </w:rPr>
        <w:t>RESOLUCION N° TAT- 2585-2015</w:t>
      </w:r>
    </w:p>
    <w:p w:rsidR="00000000" w:rsidRDefault="003801D9">
      <w:pPr>
        <w:kinsoku w:val="0"/>
        <w:overflowPunct w:val="0"/>
        <w:autoSpaceDE/>
        <w:autoSpaceDN/>
        <w:adjustRightInd/>
        <w:spacing w:before="265" w:line="300" w:lineRule="exact"/>
        <w:ind w:left="72"/>
        <w:jc w:val="both"/>
        <w:textAlignment w:val="baseline"/>
        <w:rPr>
          <w:sz w:val="22"/>
          <w:szCs w:val="22"/>
          <w:lang w:val="es-ES" w:eastAsia="es-ES"/>
        </w:rPr>
      </w:pPr>
      <w:r w:rsidRPr="003801D9">
        <w:rPr>
          <w:b/>
          <w:sz w:val="22"/>
          <w:szCs w:val="22"/>
          <w:lang w:val="es-ES" w:eastAsia="es-ES"/>
        </w:rPr>
        <w:t>TRIBUNAL ADMINISTRATIVO DE TRANSPORTE.</w:t>
      </w:r>
      <w:r>
        <w:rPr>
          <w:sz w:val="22"/>
          <w:szCs w:val="22"/>
          <w:lang w:val="es-ES" w:eastAsia="es-ES"/>
        </w:rPr>
        <w:t xml:space="preserve"> Curridabat, a las doce horas con diez minutos del veintidós de mayo del año dos mil quince.</w:t>
      </w:r>
    </w:p>
    <w:p w:rsidR="00000000" w:rsidRDefault="003801D9">
      <w:pPr>
        <w:kinsoku w:val="0"/>
        <w:overflowPunct w:val="0"/>
        <w:autoSpaceDE/>
        <w:autoSpaceDN/>
        <w:adjustRightInd/>
        <w:spacing w:before="360" w:line="270" w:lineRule="exact"/>
        <w:ind w:left="72"/>
        <w:jc w:val="both"/>
        <w:textAlignment w:val="baseline"/>
        <w:rPr>
          <w:spacing w:val="4"/>
          <w:sz w:val="22"/>
          <w:szCs w:val="22"/>
          <w:lang w:val="es-ES" w:eastAsia="es-ES"/>
        </w:rPr>
      </w:pPr>
      <w:r>
        <w:rPr>
          <w:spacing w:val="4"/>
          <w:sz w:val="22"/>
          <w:szCs w:val="22"/>
          <w:lang w:val="es-ES" w:eastAsia="es-ES"/>
        </w:rPr>
        <w:t xml:space="preserve">Se conoce SOLICITUD DE OBJECIÓN interpuesto por </w:t>
      </w:r>
      <w:r w:rsidRPr="003801D9">
        <w:rPr>
          <w:b/>
          <w:spacing w:val="4"/>
          <w:sz w:val="22"/>
          <w:szCs w:val="22"/>
          <w:lang w:val="es-ES" w:eastAsia="es-ES"/>
        </w:rPr>
        <w:t>A</w:t>
      </w:r>
      <w:r>
        <w:rPr>
          <w:b/>
          <w:spacing w:val="4"/>
          <w:sz w:val="22"/>
          <w:szCs w:val="22"/>
          <w:lang w:val="es-ES" w:eastAsia="es-ES"/>
        </w:rPr>
        <w:t>.Z.C.</w:t>
      </w:r>
      <w:r w:rsidRPr="003801D9">
        <w:rPr>
          <w:b/>
          <w:spacing w:val="4"/>
          <w:sz w:val="22"/>
          <w:szCs w:val="22"/>
          <w:lang w:val="es-ES" w:eastAsia="es-ES"/>
        </w:rPr>
        <w:t>,</w:t>
      </w:r>
      <w:r>
        <w:rPr>
          <w:spacing w:val="4"/>
          <w:sz w:val="22"/>
          <w:szCs w:val="22"/>
          <w:lang w:val="es-ES" w:eastAsia="es-ES"/>
        </w:rPr>
        <w:t xml:space="preserve"> cédula de identidad número …</w:t>
      </w:r>
      <w:r>
        <w:rPr>
          <w:spacing w:val="4"/>
          <w:sz w:val="22"/>
          <w:szCs w:val="22"/>
          <w:lang w:val="es-ES" w:eastAsia="es-ES"/>
        </w:rPr>
        <w:t>, contra el Ofici</w:t>
      </w:r>
      <w:r>
        <w:rPr>
          <w:spacing w:val="4"/>
          <w:sz w:val="22"/>
          <w:szCs w:val="22"/>
          <w:lang w:val="es-ES" w:eastAsia="es-ES"/>
        </w:rPr>
        <w:t xml:space="preserve">o DACP-2015-367 del 22 de enero del 2015, emitido por el Departamento de Concesiones y Permisos del Consejo de Transporte Público, que se tramita en este Despacho bajo el </w:t>
      </w:r>
      <w:r w:rsidRPr="003801D9">
        <w:rPr>
          <w:b/>
          <w:spacing w:val="4"/>
          <w:sz w:val="22"/>
          <w:szCs w:val="22"/>
          <w:lang w:val="es-ES" w:eastAsia="es-ES"/>
        </w:rPr>
        <w:t>Expediente Administrativo número TAT-189-15</w:t>
      </w:r>
      <w:r>
        <w:rPr>
          <w:spacing w:val="4"/>
          <w:sz w:val="22"/>
          <w:szCs w:val="22"/>
          <w:lang w:val="es-ES" w:eastAsia="es-ES"/>
        </w:rPr>
        <w:t>.</w:t>
      </w:r>
    </w:p>
    <w:p w:rsidR="00000000" w:rsidRPr="003801D9" w:rsidRDefault="003801D9">
      <w:pPr>
        <w:kinsoku w:val="0"/>
        <w:overflowPunct w:val="0"/>
        <w:autoSpaceDE/>
        <w:autoSpaceDN/>
        <w:adjustRightInd/>
        <w:spacing w:before="288" w:line="256" w:lineRule="exact"/>
        <w:ind w:left="72"/>
        <w:jc w:val="center"/>
        <w:textAlignment w:val="baseline"/>
        <w:rPr>
          <w:b/>
          <w:spacing w:val="12"/>
          <w:sz w:val="22"/>
          <w:szCs w:val="22"/>
          <w:lang w:val="es-ES" w:eastAsia="es-ES"/>
        </w:rPr>
      </w:pPr>
      <w:r w:rsidRPr="003801D9">
        <w:rPr>
          <w:b/>
          <w:spacing w:val="12"/>
          <w:sz w:val="22"/>
          <w:szCs w:val="22"/>
          <w:lang w:val="es-ES" w:eastAsia="es-ES"/>
        </w:rPr>
        <w:t>RESULTANDO</w:t>
      </w:r>
    </w:p>
    <w:p w:rsidR="00000000" w:rsidRDefault="003801D9">
      <w:pPr>
        <w:kinsoku w:val="0"/>
        <w:overflowPunct w:val="0"/>
        <w:autoSpaceDE/>
        <w:autoSpaceDN/>
        <w:adjustRightInd/>
        <w:spacing w:before="269" w:line="272" w:lineRule="exact"/>
        <w:ind w:left="72"/>
        <w:jc w:val="both"/>
        <w:textAlignment w:val="baseline"/>
        <w:rPr>
          <w:spacing w:val="6"/>
          <w:sz w:val="22"/>
          <w:szCs w:val="22"/>
          <w:lang w:val="es-ES" w:eastAsia="es-ES"/>
        </w:rPr>
      </w:pPr>
      <w:r w:rsidRPr="003801D9">
        <w:rPr>
          <w:b/>
          <w:spacing w:val="6"/>
          <w:sz w:val="22"/>
          <w:szCs w:val="22"/>
          <w:lang w:val="es-ES" w:eastAsia="es-ES"/>
        </w:rPr>
        <w:t>PRIMERO.-</w:t>
      </w:r>
      <w:r>
        <w:rPr>
          <w:spacing w:val="6"/>
          <w:sz w:val="22"/>
          <w:szCs w:val="22"/>
          <w:lang w:val="es-ES" w:eastAsia="es-ES"/>
        </w:rPr>
        <w:t xml:space="preserve"> El Departamento de </w:t>
      </w:r>
      <w:r>
        <w:rPr>
          <w:spacing w:val="6"/>
          <w:sz w:val="22"/>
          <w:szCs w:val="22"/>
          <w:lang w:val="es-ES" w:eastAsia="es-ES"/>
        </w:rPr>
        <w:t xml:space="preserve">Concesiones y Permisos del Consejo de Transporte Público, en el Oficio DACP-2015-367 del 22 de enero del 2015, le previene al señor </w:t>
      </w:r>
      <w:r w:rsidRPr="003801D9">
        <w:rPr>
          <w:b/>
          <w:spacing w:val="6"/>
          <w:sz w:val="22"/>
          <w:szCs w:val="22"/>
          <w:lang w:val="es-ES" w:eastAsia="es-ES"/>
        </w:rPr>
        <w:t>A</w:t>
      </w:r>
      <w:r>
        <w:rPr>
          <w:b/>
          <w:spacing w:val="6"/>
          <w:sz w:val="22"/>
          <w:szCs w:val="22"/>
          <w:lang w:val="es-ES" w:eastAsia="es-ES"/>
        </w:rPr>
        <w:t>.Z.C.</w:t>
      </w:r>
      <w:r>
        <w:rPr>
          <w:spacing w:val="6"/>
          <w:sz w:val="22"/>
          <w:szCs w:val="22"/>
          <w:lang w:val="es-ES" w:eastAsia="es-ES"/>
        </w:rPr>
        <w:t xml:space="preserve">, la presentación de una serie de requisitos para el otorgamiento del permiso público modalidad taxi, </w:t>
      </w:r>
      <w:r>
        <w:rPr>
          <w:spacing w:val="6"/>
          <w:sz w:val="22"/>
          <w:szCs w:val="22"/>
          <w:lang w:val="es-ES" w:eastAsia="es-ES"/>
        </w:rPr>
        <w:t>de conformidad con el artículo 7.2.1 de la Sesión Ordinaria 56-2014 del 2 de octubre del 2014, para lo cual le confiere un plazo perentorio e improrrogable de diez días hábiles. (Léanse los folios 5 y 6 del expediente administrativo TAT-189-15)</w:t>
      </w:r>
    </w:p>
    <w:p w:rsidR="00000000" w:rsidRDefault="003801D9">
      <w:pPr>
        <w:kinsoku w:val="0"/>
        <w:overflowPunct w:val="0"/>
        <w:autoSpaceDE/>
        <w:autoSpaceDN/>
        <w:adjustRightInd/>
        <w:spacing w:before="262" w:line="275" w:lineRule="exact"/>
        <w:ind w:left="72"/>
        <w:jc w:val="both"/>
        <w:textAlignment w:val="baseline"/>
        <w:rPr>
          <w:sz w:val="22"/>
          <w:szCs w:val="22"/>
          <w:lang w:val="es-ES" w:eastAsia="es-ES"/>
        </w:rPr>
      </w:pPr>
      <w:r w:rsidRPr="003801D9">
        <w:rPr>
          <w:b/>
          <w:sz w:val="22"/>
          <w:szCs w:val="22"/>
          <w:lang w:val="es-ES" w:eastAsia="es-ES"/>
        </w:rPr>
        <w:t>SEGUNDO.-</w:t>
      </w:r>
      <w:r>
        <w:rPr>
          <w:sz w:val="22"/>
          <w:szCs w:val="22"/>
          <w:lang w:val="es-ES" w:eastAsia="es-ES"/>
        </w:rPr>
        <w:t xml:space="preserve"> E</w:t>
      </w:r>
      <w:r>
        <w:rPr>
          <w:sz w:val="22"/>
          <w:szCs w:val="22"/>
          <w:lang w:val="es-ES" w:eastAsia="es-ES"/>
        </w:rPr>
        <w:t xml:space="preserve">l día 6 de marzo del 2015, el señor </w:t>
      </w:r>
      <w:r w:rsidRPr="003801D9">
        <w:rPr>
          <w:b/>
          <w:sz w:val="22"/>
          <w:szCs w:val="22"/>
          <w:lang w:val="es-ES" w:eastAsia="es-ES"/>
        </w:rPr>
        <w:t>A</w:t>
      </w:r>
      <w:r>
        <w:rPr>
          <w:b/>
          <w:sz w:val="22"/>
          <w:szCs w:val="22"/>
          <w:lang w:val="es-ES" w:eastAsia="es-ES"/>
        </w:rPr>
        <w:t>.Z.C.</w:t>
      </w:r>
      <w:r>
        <w:rPr>
          <w:sz w:val="22"/>
          <w:szCs w:val="22"/>
          <w:lang w:val="es-ES" w:eastAsia="es-ES"/>
        </w:rPr>
        <w:t xml:space="preserve">, interpone ante el Tribunal Administrativo de Transporte </w:t>
      </w:r>
      <w:r w:rsidRPr="003801D9">
        <w:rPr>
          <w:b/>
          <w:sz w:val="22"/>
          <w:szCs w:val="22"/>
          <w:lang w:val="es-ES" w:eastAsia="es-ES"/>
        </w:rPr>
        <w:t>SOLICITUD DE OBJECIÓN</w:t>
      </w:r>
      <w:r>
        <w:rPr>
          <w:sz w:val="22"/>
          <w:szCs w:val="22"/>
          <w:lang w:val="es-ES" w:eastAsia="es-ES"/>
        </w:rPr>
        <w:t xml:space="preserve"> contra el Oficio DACP-2015-367 del 22 de enero del 2015, emitido por el Departamento de Concesiones y Permisos del Con</w:t>
      </w:r>
      <w:r>
        <w:rPr>
          <w:sz w:val="22"/>
          <w:szCs w:val="22"/>
          <w:lang w:val="es-ES" w:eastAsia="es-ES"/>
        </w:rPr>
        <w:t>sejo de Transporte Público, alegando en resumen lo siguiente:</w:t>
      </w:r>
    </w:p>
    <w:p w:rsidR="00000000" w:rsidRDefault="003801D9">
      <w:pPr>
        <w:kinsoku w:val="0"/>
        <w:overflowPunct w:val="0"/>
        <w:autoSpaceDE/>
        <w:autoSpaceDN/>
        <w:adjustRightInd/>
        <w:spacing w:before="223" w:line="286" w:lineRule="exact"/>
        <w:ind w:left="720"/>
        <w:jc w:val="both"/>
        <w:textAlignment w:val="baseline"/>
        <w:rPr>
          <w:sz w:val="22"/>
          <w:szCs w:val="22"/>
          <w:lang w:val="es-ES" w:eastAsia="es-ES"/>
        </w:rPr>
      </w:pPr>
      <w:r>
        <w:rPr>
          <w:sz w:val="22"/>
          <w:szCs w:val="22"/>
          <w:lang w:val="es-ES" w:eastAsia="es-ES"/>
        </w:rPr>
        <w:t>Que el día 26 de enero del 2015, aparentemente le había notificado el oficio, pero de lo cual no tuvo conocimiento ni el recurrente ni su Abogado.</w:t>
      </w:r>
    </w:p>
    <w:p w:rsidR="00000000" w:rsidRDefault="003801D9">
      <w:pPr>
        <w:kinsoku w:val="0"/>
        <w:overflowPunct w:val="0"/>
        <w:autoSpaceDE/>
        <w:autoSpaceDN/>
        <w:adjustRightInd/>
        <w:spacing w:line="285" w:lineRule="exact"/>
        <w:ind w:left="720"/>
        <w:jc w:val="both"/>
        <w:textAlignment w:val="baseline"/>
        <w:rPr>
          <w:sz w:val="22"/>
          <w:szCs w:val="22"/>
          <w:lang w:val="es-ES" w:eastAsia="es-ES"/>
        </w:rPr>
      </w:pPr>
      <w:r>
        <w:rPr>
          <w:sz w:val="22"/>
          <w:szCs w:val="22"/>
          <w:lang w:val="es-ES" w:eastAsia="es-ES"/>
        </w:rPr>
        <w:t xml:space="preserve">Que el 4 de marzo le vuelven a notificar el citado oficio, y que le preocupa el plazo improrrogable de diez días hábiles, para la presentación de los requisitos 4 y 5, ya que es materialmente imposible cumplir con ese plazo para la adquisición y compra de </w:t>
      </w:r>
      <w:r>
        <w:rPr>
          <w:sz w:val="22"/>
          <w:szCs w:val="22"/>
          <w:lang w:val="es-ES" w:eastAsia="es-ES"/>
        </w:rPr>
        <w:t>un vehículo, atendiendo los requerimientos técnicos del mismo y el financiamiento para ello. Además del papeleo para la inscripción del mismo.</w:t>
      </w:r>
    </w:p>
    <w:p w:rsidR="00000000" w:rsidRDefault="003801D9">
      <w:pPr>
        <w:kinsoku w:val="0"/>
        <w:overflowPunct w:val="0"/>
        <w:autoSpaceDE/>
        <w:autoSpaceDN/>
        <w:adjustRightInd/>
        <w:spacing w:before="17" w:line="286" w:lineRule="exact"/>
        <w:ind w:left="720"/>
        <w:jc w:val="both"/>
        <w:textAlignment w:val="baseline"/>
        <w:rPr>
          <w:sz w:val="22"/>
          <w:szCs w:val="22"/>
          <w:lang w:val="es-ES" w:eastAsia="es-ES"/>
        </w:rPr>
      </w:pPr>
      <w:r>
        <w:rPr>
          <w:sz w:val="22"/>
          <w:szCs w:val="22"/>
          <w:lang w:val="es-ES" w:eastAsia="es-ES"/>
        </w:rPr>
        <w:t>Que la autorización del permiso de taxi se origina en el Transitorio X de la Ley 7969, en concordancia con el acu</w:t>
      </w:r>
      <w:r>
        <w:rPr>
          <w:sz w:val="22"/>
          <w:szCs w:val="22"/>
          <w:lang w:val="es-ES" w:eastAsia="es-ES"/>
        </w:rPr>
        <w:t>erdo 5.3 de la Sesión Ordinaria 58-2010 del 24 de noviembre del 2010, que establece un plazo de sesenta días hábiles a partir de la autorización para formalizar ante el Departamento de Concesiones y Permisos.</w:t>
      </w:r>
    </w:p>
    <w:p w:rsidR="00000000" w:rsidRDefault="003801D9">
      <w:pPr>
        <w:kinsoku w:val="0"/>
        <w:overflowPunct w:val="0"/>
        <w:autoSpaceDE/>
        <w:autoSpaceDN/>
        <w:adjustRightInd/>
        <w:spacing w:before="4" w:after="470" w:line="286" w:lineRule="exact"/>
        <w:ind w:left="720"/>
        <w:jc w:val="both"/>
        <w:textAlignment w:val="baseline"/>
        <w:rPr>
          <w:spacing w:val="-3"/>
          <w:sz w:val="22"/>
          <w:szCs w:val="22"/>
          <w:lang w:val="es-ES" w:eastAsia="es-ES"/>
        </w:rPr>
      </w:pPr>
      <w:r>
        <w:rPr>
          <w:spacing w:val="-3"/>
          <w:sz w:val="22"/>
          <w:szCs w:val="22"/>
          <w:lang w:val="es-ES" w:eastAsia="es-ES"/>
        </w:rPr>
        <w:t>Solicita se acoja la objeción y se le aplique e</w:t>
      </w:r>
      <w:r>
        <w:rPr>
          <w:spacing w:val="-3"/>
          <w:sz w:val="22"/>
          <w:szCs w:val="22"/>
          <w:lang w:val="es-ES" w:eastAsia="es-ES"/>
        </w:rPr>
        <w:t>l plazo de los sesenta días hábiles para la presentación de requisitos y formalización del permiso y por ende se giren las instrucciones</w:t>
      </w:r>
    </w:p>
    <w:p w:rsidR="00000000" w:rsidRDefault="003801D9">
      <w:pPr>
        <w:widowControl/>
        <w:rPr>
          <w:sz w:val="24"/>
          <w:szCs w:val="24"/>
        </w:rPr>
        <w:sectPr w:rsidR="00000000">
          <w:pgSz w:w="12134" w:h="15840"/>
          <w:pgMar w:top="2060" w:right="1934" w:bottom="200" w:left="1520" w:header="720" w:footer="720" w:gutter="0"/>
          <w:cols w:space="720"/>
          <w:noEndnote/>
        </w:sectPr>
      </w:pPr>
    </w:p>
    <w:p w:rsidR="00000000" w:rsidRDefault="003801D9">
      <w:pPr>
        <w:widowControl/>
        <w:rPr>
          <w:sz w:val="24"/>
          <w:szCs w:val="24"/>
        </w:rPr>
        <w:sectPr w:rsidR="00000000">
          <w:type w:val="continuous"/>
          <w:pgSz w:w="12134" w:h="15840"/>
          <w:pgMar w:top="2060" w:right="2025" w:bottom="200" w:left="7949" w:header="720" w:footer="720" w:gutter="0"/>
          <w:cols w:space="720"/>
          <w:noEndnote/>
        </w:sectPr>
      </w:pPr>
    </w:p>
    <w:p w:rsidR="00000000" w:rsidRDefault="003801D9">
      <w:pPr>
        <w:kinsoku w:val="0"/>
        <w:overflowPunct w:val="0"/>
        <w:autoSpaceDE/>
        <w:autoSpaceDN/>
        <w:adjustRightInd/>
        <w:spacing w:line="258" w:lineRule="exact"/>
        <w:ind w:left="720"/>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del caso a dicho Departamento. (Léanse los folios del 1 a</w:t>
      </w:r>
      <w:r>
        <w:rPr>
          <w:rFonts w:ascii="Garamond" w:hAnsi="Garamond" w:cs="Garamond"/>
          <w:sz w:val="24"/>
          <w:szCs w:val="24"/>
          <w:lang w:val="es-ES" w:eastAsia="es-ES"/>
        </w:rPr>
        <w:t>l 3 del expediente administrativo TAT-189-15)</w:t>
      </w:r>
    </w:p>
    <w:p w:rsidR="00000000" w:rsidRPr="003801D9" w:rsidRDefault="003801D9">
      <w:pPr>
        <w:kinsoku w:val="0"/>
        <w:overflowPunct w:val="0"/>
        <w:autoSpaceDE/>
        <w:autoSpaceDN/>
        <w:adjustRightInd/>
        <w:spacing w:before="62" w:line="567" w:lineRule="exact"/>
        <w:ind w:right="1296"/>
        <w:textAlignment w:val="baseline"/>
        <w:rPr>
          <w:rFonts w:ascii="Garamond" w:hAnsi="Garamond" w:cs="Garamond"/>
          <w:b/>
          <w:sz w:val="24"/>
          <w:szCs w:val="24"/>
          <w:lang w:val="es-ES" w:eastAsia="es-ES"/>
        </w:rPr>
      </w:pPr>
      <w:r w:rsidRPr="003801D9">
        <w:rPr>
          <w:rFonts w:ascii="Garamond" w:hAnsi="Garamond" w:cs="Garamond"/>
          <w:b/>
          <w:sz w:val="24"/>
          <w:szCs w:val="24"/>
          <w:lang w:val="es-ES" w:eastAsia="es-ES"/>
        </w:rPr>
        <w:t>TERCERO.-</w:t>
      </w:r>
      <w:r>
        <w:rPr>
          <w:rFonts w:ascii="Garamond" w:hAnsi="Garamond" w:cs="Garamond"/>
          <w:sz w:val="24"/>
          <w:szCs w:val="24"/>
          <w:lang w:val="es-ES" w:eastAsia="es-ES"/>
        </w:rPr>
        <w:t xml:space="preserve"> En los procedimientos se han seguido las prescripciones de ley. </w:t>
      </w:r>
      <w:r w:rsidRPr="003801D9">
        <w:rPr>
          <w:rFonts w:ascii="Garamond" w:hAnsi="Garamond" w:cs="Garamond"/>
          <w:b/>
          <w:sz w:val="24"/>
          <w:szCs w:val="24"/>
          <w:lang w:val="es-ES" w:eastAsia="es-ES"/>
        </w:rPr>
        <w:t>REDACTA EL JUEZ PORTUGUEZ MÉNDEZ:</w:t>
      </w:r>
    </w:p>
    <w:p w:rsidR="00000000" w:rsidRPr="003801D9" w:rsidRDefault="003801D9">
      <w:pPr>
        <w:kinsoku w:val="0"/>
        <w:overflowPunct w:val="0"/>
        <w:autoSpaceDE/>
        <w:autoSpaceDN/>
        <w:adjustRightInd/>
        <w:spacing w:before="689" w:line="253" w:lineRule="exact"/>
        <w:jc w:val="center"/>
        <w:textAlignment w:val="baseline"/>
        <w:rPr>
          <w:rFonts w:ascii="Garamond" w:hAnsi="Garamond" w:cs="Garamond"/>
          <w:b/>
          <w:spacing w:val="-2"/>
          <w:sz w:val="24"/>
          <w:szCs w:val="24"/>
          <w:lang w:val="es-ES" w:eastAsia="es-ES"/>
        </w:rPr>
      </w:pPr>
      <w:r w:rsidRPr="003801D9">
        <w:rPr>
          <w:rFonts w:ascii="Garamond" w:hAnsi="Garamond" w:cs="Garamond"/>
          <w:b/>
          <w:spacing w:val="-2"/>
          <w:sz w:val="24"/>
          <w:szCs w:val="24"/>
          <w:lang w:val="es-ES" w:eastAsia="es-ES"/>
        </w:rPr>
        <w:t>CONSIDERANDO</w:t>
      </w:r>
    </w:p>
    <w:p w:rsidR="00000000" w:rsidRDefault="003801D9">
      <w:pPr>
        <w:kinsoku w:val="0"/>
        <w:overflowPunct w:val="0"/>
        <w:autoSpaceDE/>
        <w:autoSpaceDN/>
        <w:adjustRightInd/>
        <w:spacing w:before="334" w:line="304" w:lineRule="exact"/>
        <w:jc w:val="both"/>
        <w:textAlignment w:val="baseline"/>
        <w:rPr>
          <w:rFonts w:ascii="Garamond" w:hAnsi="Garamond" w:cs="Garamond"/>
          <w:sz w:val="24"/>
          <w:szCs w:val="24"/>
          <w:lang w:val="es-ES" w:eastAsia="es-ES"/>
        </w:rPr>
      </w:pPr>
      <w:r w:rsidRPr="003801D9">
        <w:rPr>
          <w:rFonts w:ascii="Garamond" w:hAnsi="Garamond" w:cs="Garamond"/>
          <w:b/>
          <w:sz w:val="24"/>
          <w:szCs w:val="24"/>
          <w:lang w:val="es-ES" w:eastAsia="es-ES"/>
        </w:rPr>
        <w:t>ÚNICO.-</w:t>
      </w:r>
      <w:r>
        <w:rPr>
          <w:rFonts w:ascii="Garamond" w:hAnsi="Garamond" w:cs="Garamond"/>
          <w:sz w:val="24"/>
          <w:szCs w:val="24"/>
          <w:lang w:val="es-ES" w:eastAsia="es-ES"/>
        </w:rPr>
        <w:t xml:space="preserve"> En la especie se determina que ante lo particularmente dispuesto por Departamento</w:t>
      </w:r>
      <w:r>
        <w:rPr>
          <w:rFonts w:ascii="Garamond" w:hAnsi="Garamond" w:cs="Garamond"/>
          <w:sz w:val="24"/>
          <w:szCs w:val="24"/>
          <w:lang w:val="es-ES" w:eastAsia="es-ES"/>
        </w:rPr>
        <w:t xml:space="preserve"> de Concesiones y Permisos, mediante su oficio DACP-2015-367 del 22 de enero del 2015, ante el cual el recurrente interpone Solicitud de objeción, es necesario realizar algunas precisiones conceptuales.</w:t>
      </w:r>
    </w:p>
    <w:p w:rsidR="00000000" w:rsidRDefault="003801D9">
      <w:pPr>
        <w:kinsoku w:val="0"/>
        <w:overflowPunct w:val="0"/>
        <w:autoSpaceDE/>
        <w:autoSpaceDN/>
        <w:adjustRightInd/>
        <w:spacing w:before="366" w:line="268" w:lineRule="exact"/>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Si bien es cierto con ocasión de la Ley N°</w:t>
      </w:r>
      <w:r>
        <w:rPr>
          <w:rFonts w:ascii="Garamond" w:hAnsi="Garamond" w:cs="Garamond"/>
          <w:spacing w:val="3"/>
          <w:sz w:val="24"/>
          <w:szCs w:val="24"/>
          <w:lang w:val="es-ES" w:eastAsia="es-ES"/>
        </w:rPr>
        <w:t xml:space="preserve"> 7969 "Ley Reguladora del Servicio Público de Transporte Remunerado de Personas en Vehículos en la Modalidad de Taxi", se dio un proceso de licitación pública para la concesión de la explotación del servicio público de transporte remunerado de personas en </w:t>
      </w:r>
      <w:r>
        <w:rPr>
          <w:rFonts w:ascii="Garamond" w:hAnsi="Garamond" w:cs="Garamond"/>
          <w:spacing w:val="3"/>
          <w:sz w:val="24"/>
          <w:szCs w:val="24"/>
          <w:lang w:val="es-ES" w:eastAsia="es-ES"/>
        </w:rPr>
        <w:t>vehículos en la modalidad de taxi, lo cierto es que el planteamiento de una "OBJECIÓN" es una figura prevista en la Ley N° 7494 "Ley de Contratación Administrativa", específicamente en el artículo 81 del citado cuerpo normativo, y se dirige contra el carte</w:t>
      </w:r>
      <w:r>
        <w:rPr>
          <w:rFonts w:ascii="Garamond" w:hAnsi="Garamond" w:cs="Garamond"/>
          <w:spacing w:val="3"/>
          <w:sz w:val="24"/>
          <w:szCs w:val="24"/>
          <w:lang w:val="es-ES" w:eastAsia="es-ES"/>
        </w:rPr>
        <w:t>l de una licitación pública o abreviada, no aplicable en este caso.</w:t>
      </w:r>
    </w:p>
    <w:p w:rsidR="00000000" w:rsidRDefault="003801D9">
      <w:pPr>
        <w:kinsoku w:val="0"/>
        <w:overflowPunct w:val="0"/>
        <w:autoSpaceDE/>
        <w:autoSpaceDN/>
        <w:adjustRightInd/>
        <w:spacing w:before="295" w:line="268"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En el caso de entender la solicitud de objeción, como un recurso propiamente dicho, en aplicación del artículo 348 de la Ley N° 6227 "Ley General de la Administración Pública que señala:</w:t>
      </w:r>
    </w:p>
    <w:p w:rsidR="00000000" w:rsidRDefault="003801D9">
      <w:pPr>
        <w:kinsoku w:val="0"/>
        <w:overflowPunct w:val="0"/>
        <w:autoSpaceDE/>
        <w:autoSpaceDN/>
        <w:adjustRightInd/>
        <w:spacing w:before="276" w:line="220" w:lineRule="exact"/>
        <w:ind w:left="864" w:right="864"/>
        <w:jc w:val="both"/>
        <w:textAlignment w:val="baseline"/>
        <w:rPr>
          <w:rFonts w:ascii="Garamond" w:hAnsi="Garamond" w:cs="Garamond"/>
          <w:lang w:val="es-ES" w:eastAsia="es-ES"/>
        </w:rPr>
      </w:pPr>
      <w:r>
        <w:rPr>
          <w:rFonts w:ascii="Garamond" w:hAnsi="Garamond" w:cs="Garamond"/>
          <w:lang w:val="es-ES" w:eastAsia="es-ES"/>
        </w:rPr>
        <w:t>"</w:t>
      </w:r>
      <w:r>
        <w:rPr>
          <w:rFonts w:ascii="Garamond" w:hAnsi="Garamond" w:cs="Garamond"/>
          <w:lang w:val="es-ES" w:eastAsia="es-ES"/>
        </w:rPr>
        <w:t>Artículo 348.- Los recursos no requieren una redacción ni una pretensión especiales y bastará para su correcta formulación que de su texto se infiera claramente la petición de revisión."</w:t>
      </w:r>
    </w:p>
    <w:p w:rsidR="00000000" w:rsidRDefault="003801D9">
      <w:pPr>
        <w:kinsoku w:val="0"/>
        <w:overflowPunct w:val="0"/>
        <w:autoSpaceDE/>
        <w:autoSpaceDN/>
        <w:adjustRightInd/>
        <w:spacing w:before="239" w:line="271" w:lineRule="exact"/>
        <w:jc w:val="both"/>
        <w:textAlignment w:val="baseline"/>
        <w:rPr>
          <w:rFonts w:ascii="Garamond" w:hAnsi="Garamond" w:cs="Garamond"/>
          <w:i/>
          <w:iCs/>
          <w:spacing w:val="15"/>
          <w:lang w:val="es-ES" w:eastAsia="es-ES"/>
        </w:rPr>
      </w:pPr>
      <w:r>
        <w:rPr>
          <w:rFonts w:ascii="Garamond" w:hAnsi="Garamond" w:cs="Garamond"/>
          <w:spacing w:val="15"/>
          <w:sz w:val="24"/>
          <w:szCs w:val="24"/>
          <w:lang w:val="es-ES" w:eastAsia="es-ES"/>
        </w:rPr>
        <w:t>Vale acotar que conforme la estructura orgánica y la determinación le</w:t>
      </w:r>
      <w:r>
        <w:rPr>
          <w:rFonts w:ascii="Garamond" w:hAnsi="Garamond" w:cs="Garamond"/>
          <w:spacing w:val="15"/>
          <w:sz w:val="24"/>
          <w:szCs w:val="24"/>
          <w:lang w:val="es-ES" w:eastAsia="es-ES"/>
        </w:rPr>
        <w:t>gal de funciones que aplica en el ámbito del Consejo de Transporte Público, su único órgano decisor es su Junta Directiva y los demás órganos inferiores son órganos asesores de la misma y, en lo general, adolecen de potestad para dar respuesta de fondo a l</w:t>
      </w:r>
      <w:r>
        <w:rPr>
          <w:rFonts w:ascii="Garamond" w:hAnsi="Garamond" w:cs="Garamond"/>
          <w:spacing w:val="15"/>
          <w:sz w:val="24"/>
          <w:szCs w:val="24"/>
          <w:lang w:val="es-ES" w:eastAsia="es-ES"/>
        </w:rPr>
        <w:t xml:space="preserve">as gestiones o peticiones de los interesados, debiéndose canalizar ésta a través de la Junta Directiva del Consejo de Transporte Público </w:t>
      </w:r>
      <w:r>
        <w:rPr>
          <w:rFonts w:ascii="Garamond" w:hAnsi="Garamond" w:cs="Garamond"/>
          <w:i/>
          <w:iCs/>
          <w:spacing w:val="15"/>
          <w:lang w:val="es-ES" w:eastAsia="es-ES"/>
        </w:rPr>
        <w:t>(salvo delegación expresa, cuando ésta proceda).</w:t>
      </w:r>
    </w:p>
    <w:p w:rsidR="00000000" w:rsidRDefault="003801D9">
      <w:pPr>
        <w:kinsoku w:val="0"/>
        <w:overflowPunct w:val="0"/>
        <w:autoSpaceDE/>
        <w:autoSpaceDN/>
        <w:adjustRightInd/>
        <w:spacing w:before="535" w:after="499" w:line="278"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t>El Tribunal Administrativo de Transporte, tiene delimitada su competencia por la disposición del artículo 22 inciso a) de la Ley N° 7969 a conocer y resolver, en sede administrativa, los recursos de apelación que se interpongan contra cualquier acto o reso</w:t>
      </w:r>
      <w:r>
        <w:rPr>
          <w:rFonts w:ascii="Garamond" w:hAnsi="Garamond" w:cs="Garamond"/>
          <w:sz w:val="24"/>
          <w:szCs w:val="24"/>
          <w:lang w:val="es-ES" w:eastAsia="es-ES"/>
        </w:rPr>
        <w:t>lución del Consejo de Transporte Público, esto es emitido por su Junta Directiva, no así</w:t>
      </w:r>
    </w:p>
    <w:p w:rsidR="00000000" w:rsidRDefault="003801D9">
      <w:pPr>
        <w:widowControl/>
        <w:rPr>
          <w:sz w:val="24"/>
          <w:szCs w:val="24"/>
        </w:rPr>
        <w:sectPr w:rsidR="00000000">
          <w:pgSz w:w="12134" w:h="15840"/>
          <w:pgMar w:top="2160" w:right="1870" w:bottom="180" w:left="1584" w:header="720" w:footer="720" w:gutter="0"/>
          <w:cols w:space="720"/>
          <w:noEndnote/>
        </w:sectPr>
      </w:pPr>
    </w:p>
    <w:p w:rsidR="00000000" w:rsidRDefault="003801D9">
      <w:pPr>
        <w:widowControl/>
        <w:rPr>
          <w:sz w:val="24"/>
          <w:szCs w:val="24"/>
        </w:rPr>
        <w:sectPr w:rsidR="00000000">
          <w:type w:val="continuous"/>
          <w:pgSz w:w="12134" w:h="15840"/>
          <w:pgMar w:top="2160" w:right="2013" w:bottom="180" w:left="7961" w:header="720" w:footer="720" w:gutter="0"/>
          <w:cols w:space="720"/>
          <w:noEndnote/>
        </w:sectPr>
      </w:pPr>
    </w:p>
    <w:p w:rsidR="00000000" w:rsidRDefault="003801D9">
      <w:pPr>
        <w:kinsoku w:val="0"/>
        <w:overflowPunct w:val="0"/>
        <w:autoSpaceDE/>
        <w:autoSpaceDN/>
        <w:adjustRightInd/>
        <w:spacing w:before="16" w:line="267" w:lineRule="exact"/>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para los actos emitidos por los diferentes departamentos que, éste cómo órgano posee.</w:t>
      </w:r>
    </w:p>
    <w:p w:rsidR="00000000" w:rsidRDefault="003801D9">
      <w:pPr>
        <w:kinsoku w:val="0"/>
        <w:overflowPunct w:val="0"/>
        <w:autoSpaceDE/>
        <w:autoSpaceDN/>
        <w:adjustRightInd/>
        <w:spacing w:before="268" w:line="270" w:lineRule="exact"/>
        <w:ind w:right="79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Visto lo anterior, </w:t>
      </w:r>
      <w:r>
        <w:rPr>
          <w:rFonts w:ascii="Garamond" w:hAnsi="Garamond" w:cs="Garamond"/>
          <w:sz w:val="24"/>
          <w:szCs w:val="24"/>
          <w:lang w:val="es-ES" w:eastAsia="es-ES"/>
        </w:rPr>
        <w:t xml:space="preserve">es preclaro que la participación que pretende el petente de este Tribunal, es manifiestamente </w:t>
      </w:r>
      <w:r>
        <w:rPr>
          <w:rFonts w:ascii="Garamond" w:hAnsi="Garamond" w:cs="Garamond"/>
          <w:b/>
          <w:bCs/>
          <w:lang w:val="es-ES" w:eastAsia="es-ES"/>
        </w:rPr>
        <w:t xml:space="preserve">improcedente, </w:t>
      </w:r>
      <w:r>
        <w:rPr>
          <w:rFonts w:ascii="Garamond" w:hAnsi="Garamond" w:cs="Garamond"/>
          <w:sz w:val="24"/>
          <w:szCs w:val="24"/>
          <w:lang w:val="es-ES" w:eastAsia="es-ES"/>
        </w:rPr>
        <w:t xml:space="preserve">toda vez que el acto que se cuestiona es un acto de ejecución propio de </w:t>
      </w:r>
      <w:r>
        <w:rPr>
          <w:rFonts w:ascii="Garamond" w:hAnsi="Garamond" w:cs="Garamond"/>
          <w:b/>
          <w:bCs/>
          <w:lang w:val="es-ES" w:eastAsia="es-ES"/>
        </w:rPr>
        <w:t xml:space="preserve">un </w:t>
      </w:r>
      <w:r>
        <w:rPr>
          <w:rFonts w:ascii="Garamond" w:hAnsi="Garamond" w:cs="Garamond"/>
          <w:sz w:val="24"/>
          <w:szCs w:val="24"/>
          <w:lang w:val="es-ES" w:eastAsia="es-ES"/>
        </w:rPr>
        <w:t>órgano inferior dentro del ámbito orgánico del Consejo de Transporte Públ</w:t>
      </w:r>
      <w:r>
        <w:rPr>
          <w:rFonts w:ascii="Garamond" w:hAnsi="Garamond" w:cs="Garamond"/>
          <w:sz w:val="24"/>
          <w:szCs w:val="24"/>
          <w:lang w:val="es-ES" w:eastAsia="es-ES"/>
        </w:rPr>
        <w:t>ico, el cual adolece de instancia recursiva ante este Tribunal y cuyo conocimiento y resolución debida sólo compete a la Junta Directiva del referido Consejo.</w:t>
      </w:r>
    </w:p>
    <w:p w:rsidR="00000000" w:rsidRDefault="003801D9">
      <w:pPr>
        <w:kinsoku w:val="0"/>
        <w:overflowPunct w:val="0"/>
        <w:autoSpaceDE/>
        <w:autoSpaceDN/>
        <w:adjustRightInd/>
        <w:spacing w:before="265" w:line="265" w:lineRule="exact"/>
        <w:ind w:right="792"/>
        <w:jc w:val="both"/>
        <w:textAlignment w:val="baseline"/>
        <w:rPr>
          <w:rFonts w:ascii="Garamond" w:hAnsi="Garamond" w:cs="Garamond"/>
          <w:sz w:val="24"/>
          <w:szCs w:val="24"/>
          <w:lang w:val="es-ES" w:eastAsia="es-ES"/>
        </w:rPr>
      </w:pPr>
      <w:r>
        <w:rPr>
          <w:rFonts w:ascii="Garamond" w:hAnsi="Garamond" w:cs="Garamond"/>
          <w:sz w:val="24"/>
          <w:szCs w:val="24"/>
          <w:lang w:val="es-ES" w:eastAsia="es-ES"/>
        </w:rPr>
        <w:t>Se trata entonces, de una cuestión cuya definició</w:t>
      </w:r>
      <w:r>
        <w:rPr>
          <w:rFonts w:ascii="Garamond" w:hAnsi="Garamond" w:cs="Garamond"/>
          <w:sz w:val="24"/>
          <w:szCs w:val="24"/>
          <w:lang w:val="es-ES" w:eastAsia="es-ES"/>
        </w:rPr>
        <w:t xml:space="preserve">n, conforme la solicitud planteada, se debe agotar en el ámbito de la </w:t>
      </w:r>
      <w:r>
        <w:rPr>
          <w:rFonts w:ascii="Garamond" w:hAnsi="Garamond" w:cs="Garamond"/>
          <w:b/>
          <w:bCs/>
          <w:lang w:val="es-ES" w:eastAsia="es-ES"/>
        </w:rPr>
        <w:t xml:space="preserve">Junta </w:t>
      </w:r>
      <w:r>
        <w:rPr>
          <w:rFonts w:ascii="Garamond" w:hAnsi="Garamond" w:cs="Garamond"/>
          <w:sz w:val="24"/>
          <w:szCs w:val="24"/>
          <w:lang w:val="es-ES" w:eastAsia="es-ES"/>
        </w:rPr>
        <w:t>Directiva del referido Consejo de acuerdo a los términos por éste establecidos y de conformidad con la Ley N° 7969, y que éste Tribunal no es el órgano competente para conocer.</w:t>
      </w:r>
    </w:p>
    <w:p w:rsidR="00000000" w:rsidRDefault="003801D9">
      <w:pPr>
        <w:kinsoku w:val="0"/>
        <w:overflowPunct w:val="0"/>
        <w:autoSpaceDE/>
        <w:autoSpaceDN/>
        <w:adjustRightInd/>
        <w:spacing w:before="271" w:line="277" w:lineRule="exact"/>
        <w:ind w:right="792"/>
        <w:jc w:val="both"/>
        <w:textAlignment w:val="baseline"/>
        <w:rPr>
          <w:rFonts w:ascii="Garamond" w:hAnsi="Garamond" w:cs="Garamond"/>
          <w:spacing w:val="10"/>
          <w:sz w:val="24"/>
          <w:szCs w:val="24"/>
          <w:lang w:val="es-ES" w:eastAsia="es-ES"/>
        </w:rPr>
      </w:pPr>
      <w:r>
        <w:rPr>
          <w:rFonts w:ascii="Garamond" w:hAnsi="Garamond" w:cs="Garamond"/>
          <w:spacing w:val="10"/>
          <w:sz w:val="24"/>
          <w:szCs w:val="24"/>
          <w:lang w:val="es-ES" w:eastAsia="es-ES"/>
        </w:rPr>
        <w:t>Así</w:t>
      </w:r>
      <w:r>
        <w:rPr>
          <w:rFonts w:ascii="Garamond" w:hAnsi="Garamond" w:cs="Garamond"/>
          <w:spacing w:val="10"/>
          <w:sz w:val="24"/>
          <w:szCs w:val="24"/>
          <w:lang w:val="es-ES" w:eastAsia="es-ES"/>
        </w:rPr>
        <w:t xml:space="preserve"> las cosas, conforme a </w:t>
      </w:r>
      <w:r>
        <w:rPr>
          <w:rFonts w:ascii="Garamond" w:hAnsi="Garamond" w:cs="Garamond"/>
          <w:b/>
          <w:bCs/>
          <w:spacing w:val="10"/>
          <w:lang w:val="es-ES" w:eastAsia="es-ES"/>
        </w:rPr>
        <w:t xml:space="preserve">las </w:t>
      </w:r>
      <w:r>
        <w:rPr>
          <w:rFonts w:ascii="Garamond" w:hAnsi="Garamond" w:cs="Garamond"/>
          <w:spacing w:val="10"/>
          <w:sz w:val="24"/>
          <w:szCs w:val="24"/>
          <w:lang w:val="es-ES" w:eastAsia="es-ES"/>
        </w:rPr>
        <w:t xml:space="preserve">determinaciones del numeral 22 de la Ley N° 7969, el presente asunto escapa </w:t>
      </w:r>
      <w:r>
        <w:rPr>
          <w:rFonts w:ascii="Garamond" w:hAnsi="Garamond" w:cs="Garamond"/>
          <w:b/>
          <w:bCs/>
          <w:spacing w:val="10"/>
          <w:lang w:val="es-ES" w:eastAsia="es-ES"/>
        </w:rPr>
        <w:t xml:space="preserve">a nuestra </w:t>
      </w:r>
      <w:r>
        <w:rPr>
          <w:rFonts w:ascii="Garamond" w:hAnsi="Garamond" w:cs="Garamond"/>
          <w:i/>
          <w:iCs/>
          <w:spacing w:val="10"/>
          <w:sz w:val="24"/>
          <w:szCs w:val="24"/>
          <w:lang w:val="es-ES" w:eastAsia="es-ES"/>
        </w:rPr>
        <w:t xml:space="preserve">competencia material </w:t>
      </w:r>
      <w:r>
        <w:rPr>
          <w:rFonts w:ascii="Garamond" w:hAnsi="Garamond" w:cs="Garamond"/>
          <w:b/>
          <w:bCs/>
          <w:spacing w:val="10"/>
          <w:lang w:val="es-ES" w:eastAsia="es-ES"/>
        </w:rPr>
        <w:t xml:space="preserve">debida, </w:t>
      </w:r>
      <w:r>
        <w:rPr>
          <w:rFonts w:ascii="Garamond" w:hAnsi="Garamond" w:cs="Garamond"/>
          <w:spacing w:val="10"/>
          <w:sz w:val="24"/>
          <w:szCs w:val="24"/>
          <w:lang w:val="es-ES" w:eastAsia="es-ES"/>
        </w:rPr>
        <w:t xml:space="preserve">siendo improcedente e imposible atender </w:t>
      </w:r>
      <w:r>
        <w:rPr>
          <w:rFonts w:ascii="Garamond" w:hAnsi="Garamond" w:cs="Garamond"/>
          <w:b/>
          <w:bCs/>
          <w:spacing w:val="10"/>
          <w:lang w:val="es-ES" w:eastAsia="es-ES"/>
        </w:rPr>
        <w:t xml:space="preserve">la gestión </w:t>
      </w:r>
      <w:r>
        <w:rPr>
          <w:rFonts w:ascii="Garamond" w:hAnsi="Garamond" w:cs="Garamond"/>
          <w:spacing w:val="10"/>
          <w:sz w:val="24"/>
          <w:szCs w:val="24"/>
          <w:lang w:val="es-ES" w:eastAsia="es-ES"/>
        </w:rPr>
        <w:t>del recurrente ante esta instancia.</w:t>
      </w:r>
    </w:p>
    <w:p w:rsidR="00000000" w:rsidRDefault="003801D9">
      <w:pPr>
        <w:kinsoku w:val="0"/>
        <w:overflowPunct w:val="0"/>
        <w:autoSpaceDE/>
        <w:autoSpaceDN/>
        <w:adjustRightInd/>
        <w:spacing w:before="270" w:line="268" w:lineRule="exact"/>
        <w:ind w:right="792"/>
        <w:jc w:val="both"/>
        <w:textAlignment w:val="baseline"/>
        <w:rPr>
          <w:rFonts w:ascii="Garamond" w:hAnsi="Garamond" w:cs="Garamond"/>
          <w:spacing w:val="9"/>
          <w:sz w:val="24"/>
          <w:szCs w:val="24"/>
          <w:lang w:val="es-ES" w:eastAsia="es-ES"/>
        </w:rPr>
      </w:pPr>
      <w:r>
        <w:rPr>
          <w:rFonts w:ascii="Garamond" w:hAnsi="Garamond" w:cs="Garamond"/>
          <w:spacing w:val="9"/>
          <w:sz w:val="24"/>
          <w:szCs w:val="24"/>
          <w:lang w:val="es-ES" w:eastAsia="es-ES"/>
        </w:rPr>
        <w:t xml:space="preserve">Visto todo lo anterior y </w:t>
      </w:r>
      <w:r>
        <w:rPr>
          <w:rFonts w:ascii="Garamond" w:hAnsi="Garamond" w:cs="Garamond"/>
          <w:b/>
          <w:bCs/>
          <w:spacing w:val="9"/>
          <w:lang w:val="es-ES" w:eastAsia="es-ES"/>
        </w:rPr>
        <w:t>da</w:t>
      </w:r>
      <w:r>
        <w:rPr>
          <w:rFonts w:ascii="Garamond" w:hAnsi="Garamond" w:cs="Garamond"/>
          <w:b/>
          <w:bCs/>
          <w:spacing w:val="9"/>
          <w:lang w:val="es-ES" w:eastAsia="es-ES"/>
        </w:rPr>
        <w:t xml:space="preserve">do </w:t>
      </w:r>
      <w:r>
        <w:rPr>
          <w:rFonts w:ascii="Garamond" w:hAnsi="Garamond" w:cs="Garamond"/>
          <w:spacing w:val="9"/>
          <w:sz w:val="24"/>
          <w:szCs w:val="24"/>
          <w:lang w:val="es-ES" w:eastAsia="es-ES"/>
        </w:rPr>
        <w:t xml:space="preserve">el deber fundamental de justicia pronta y cumplida </w:t>
      </w:r>
      <w:r>
        <w:rPr>
          <w:rFonts w:ascii="Garamond" w:hAnsi="Garamond" w:cs="Garamond"/>
          <w:i/>
          <w:iCs/>
          <w:spacing w:val="9"/>
          <w:sz w:val="24"/>
          <w:szCs w:val="24"/>
          <w:lang w:val="es-ES" w:eastAsia="es-ES"/>
        </w:rPr>
        <w:t xml:space="preserve">(artículo 41 constitucional), </w:t>
      </w:r>
      <w:r>
        <w:rPr>
          <w:rFonts w:ascii="Garamond" w:hAnsi="Garamond" w:cs="Garamond"/>
          <w:b/>
          <w:bCs/>
          <w:spacing w:val="9"/>
          <w:lang w:val="es-ES" w:eastAsia="es-ES"/>
        </w:rPr>
        <w:t xml:space="preserve">el </w:t>
      </w:r>
      <w:r>
        <w:rPr>
          <w:rFonts w:ascii="Garamond" w:hAnsi="Garamond" w:cs="Garamond"/>
          <w:spacing w:val="9"/>
          <w:sz w:val="24"/>
          <w:szCs w:val="24"/>
          <w:lang w:val="es-ES" w:eastAsia="es-ES"/>
        </w:rPr>
        <w:t xml:space="preserve">presente asunto debe de devolverse </w:t>
      </w:r>
      <w:r>
        <w:rPr>
          <w:rFonts w:ascii="Garamond" w:hAnsi="Garamond" w:cs="Garamond"/>
          <w:i/>
          <w:iCs/>
          <w:spacing w:val="9"/>
          <w:sz w:val="24"/>
          <w:szCs w:val="24"/>
          <w:lang w:val="es-ES" w:eastAsia="es-ES"/>
        </w:rPr>
        <w:t>—a la brevedad-</w:t>
      </w:r>
      <w:r>
        <w:rPr>
          <w:rFonts w:ascii="Garamond" w:hAnsi="Garamond" w:cs="Garamond"/>
          <w:spacing w:val="9"/>
          <w:sz w:val="24"/>
          <w:szCs w:val="24"/>
          <w:lang w:val="es-ES" w:eastAsia="es-ES"/>
        </w:rPr>
        <w:t>ante la Junta Directiva del Consejo de Transporte Público, para su definición pertinente, procediendo contra lo que</w:t>
      </w:r>
      <w:r>
        <w:rPr>
          <w:rFonts w:ascii="Garamond" w:hAnsi="Garamond" w:cs="Garamond"/>
          <w:spacing w:val="9"/>
          <w:sz w:val="24"/>
          <w:szCs w:val="24"/>
          <w:lang w:val="es-ES" w:eastAsia="es-ES"/>
        </w:rPr>
        <w:t xml:space="preserve"> defina dicha Junta Directiva los recursos ordinarios de ley.</w:t>
      </w:r>
    </w:p>
    <w:p w:rsidR="00000000" w:rsidRDefault="003801D9">
      <w:pPr>
        <w:kinsoku w:val="0"/>
        <w:overflowPunct w:val="0"/>
        <w:autoSpaceDE/>
        <w:autoSpaceDN/>
        <w:adjustRightInd/>
        <w:spacing w:before="301" w:line="254" w:lineRule="exact"/>
        <w:jc w:val="center"/>
        <w:textAlignment w:val="baseline"/>
        <w:rPr>
          <w:rFonts w:ascii="Garamond" w:hAnsi="Garamond" w:cs="Garamond"/>
          <w:b/>
          <w:bCs/>
          <w:spacing w:val="10"/>
          <w:lang w:val="es-ES" w:eastAsia="es-ES"/>
        </w:rPr>
      </w:pPr>
      <w:r>
        <w:rPr>
          <w:rFonts w:ascii="Garamond" w:hAnsi="Garamond" w:cs="Garamond"/>
          <w:b/>
          <w:bCs/>
          <w:spacing w:val="10"/>
          <w:lang w:val="es-ES" w:eastAsia="es-ES"/>
        </w:rPr>
        <w:t>POR TANTO</w:t>
      </w:r>
    </w:p>
    <w:p w:rsidR="00000000" w:rsidRDefault="003801D9">
      <w:pPr>
        <w:numPr>
          <w:ilvl w:val="0"/>
          <w:numId w:val="1"/>
        </w:numPr>
        <w:kinsoku w:val="0"/>
        <w:overflowPunct w:val="0"/>
        <w:autoSpaceDE/>
        <w:autoSpaceDN/>
        <w:adjustRightInd/>
        <w:spacing w:before="280" w:line="269" w:lineRule="exact"/>
        <w:ind w:right="792"/>
        <w:jc w:val="both"/>
        <w:textAlignment w:val="baseline"/>
        <w:rPr>
          <w:rFonts w:ascii="Garamond" w:hAnsi="Garamond" w:cs="Garamond"/>
          <w:sz w:val="24"/>
          <w:szCs w:val="24"/>
          <w:lang w:val="es-ES" w:eastAsia="es-ES"/>
        </w:rPr>
      </w:pPr>
      <w:r>
        <w:rPr>
          <w:rFonts w:ascii="Garamond" w:hAnsi="Garamond" w:cs="Garamond"/>
          <w:b/>
          <w:bCs/>
          <w:lang w:val="es-ES" w:eastAsia="es-ES"/>
        </w:rPr>
        <w:t xml:space="preserve">Se RECHAZA POR INADMISIBLE, la SOLICITUD DE OBJECIÓN </w:t>
      </w:r>
      <w:r>
        <w:rPr>
          <w:rFonts w:ascii="Garamond" w:hAnsi="Garamond" w:cs="Garamond"/>
          <w:sz w:val="24"/>
          <w:szCs w:val="24"/>
          <w:lang w:val="es-ES" w:eastAsia="es-ES"/>
        </w:rPr>
        <w:t xml:space="preserve">interpuesto por </w:t>
      </w:r>
      <w:r>
        <w:rPr>
          <w:rFonts w:ascii="Garamond" w:hAnsi="Garamond" w:cs="Garamond"/>
          <w:b/>
          <w:bCs/>
          <w:lang w:val="es-ES" w:eastAsia="es-ES"/>
        </w:rPr>
        <w:t>A.Z.C.</w:t>
      </w:r>
      <w:r>
        <w:rPr>
          <w:rFonts w:ascii="Garamond" w:hAnsi="Garamond" w:cs="Garamond"/>
          <w:b/>
          <w:bCs/>
          <w:lang w:val="es-ES" w:eastAsia="es-ES"/>
        </w:rPr>
        <w:t>, cédula de identidad número …</w:t>
      </w:r>
      <w:r>
        <w:rPr>
          <w:rFonts w:ascii="Garamond" w:hAnsi="Garamond" w:cs="Garamond"/>
          <w:b/>
          <w:bCs/>
          <w:lang w:val="es-ES" w:eastAsia="es-ES"/>
        </w:rPr>
        <w:t xml:space="preserve">, contra el </w:t>
      </w:r>
      <w:r>
        <w:rPr>
          <w:rFonts w:ascii="Garamond" w:hAnsi="Garamond" w:cs="Garamond"/>
          <w:sz w:val="24"/>
          <w:szCs w:val="24"/>
          <w:lang w:val="es-ES" w:eastAsia="es-ES"/>
        </w:rPr>
        <w:t xml:space="preserve">Oficio DACP-2015-367 del 22 de enero </w:t>
      </w:r>
      <w:r>
        <w:rPr>
          <w:rFonts w:ascii="Garamond" w:hAnsi="Garamond" w:cs="Garamond"/>
          <w:b/>
          <w:bCs/>
          <w:lang w:val="es-ES" w:eastAsia="es-ES"/>
        </w:rPr>
        <w:t xml:space="preserve">del 2015, emitido por el Departamento de Concesiones </w:t>
      </w:r>
      <w:r>
        <w:rPr>
          <w:rFonts w:ascii="Garamond" w:hAnsi="Garamond" w:cs="Garamond"/>
          <w:sz w:val="24"/>
          <w:szCs w:val="24"/>
          <w:lang w:val="es-ES" w:eastAsia="es-ES"/>
        </w:rPr>
        <w:t xml:space="preserve">y Permisos del Consejo de Transporte </w:t>
      </w:r>
      <w:r>
        <w:rPr>
          <w:rFonts w:ascii="Garamond" w:hAnsi="Garamond" w:cs="Garamond"/>
          <w:b/>
          <w:bCs/>
          <w:lang w:val="es-ES" w:eastAsia="es-ES"/>
        </w:rPr>
        <w:t xml:space="preserve">Público y se ordena </w:t>
      </w:r>
      <w:r>
        <w:rPr>
          <w:rFonts w:ascii="Garamond" w:hAnsi="Garamond" w:cs="Garamond"/>
          <w:sz w:val="24"/>
          <w:szCs w:val="24"/>
          <w:lang w:val="es-ES" w:eastAsia="es-ES"/>
        </w:rPr>
        <w:t>su archivo definitivo.</w:t>
      </w:r>
    </w:p>
    <w:p w:rsidR="00000000" w:rsidRPr="003801D9" w:rsidRDefault="003801D9">
      <w:pPr>
        <w:numPr>
          <w:ilvl w:val="0"/>
          <w:numId w:val="2"/>
        </w:numPr>
        <w:kinsoku w:val="0"/>
        <w:overflowPunct w:val="0"/>
        <w:autoSpaceDE/>
        <w:autoSpaceDN/>
        <w:adjustRightInd/>
        <w:spacing w:before="269" w:line="272" w:lineRule="exact"/>
        <w:ind w:right="792"/>
        <w:jc w:val="both"/>
        <w:textAlignment w:val="baseline"/>
        <w:rPr>
          <w:rFonts w:ascii="Garamond" w:hAnsi="Garamond" w:cs="Garamond"/>
          <w:b/>
          <w:bCs/>
          <w:lang w:eastAsia="en-US"/>
        </w:rPr>
      </w:pPr>
      <w:r>
        <w:rPr>
          <w:noProof/>
          <w:lang w:val="es-CR"/>
        </w:rPr>
        <mc:AlternateContent>
          <mc:Choice Requires="wps">
            <w:drawing>
              <wp:anchor distT="0" distB="0" distL="0" distR="0" simplePos="0" relativeHeight="251663360" behindDoc="0" locked="0" layoutInCell="0" allowOverlap="1">
                <wp:simplePos x="0" y="0"/>
                <wp:positionH relativeFrom="page">
                  <wp:posOffset>5066030</wp:posOffset>
                </wp:positionH>
                <wp:positionV relativeFrom="page">
                  <wp:posOffset>9658985</wp:posOffset>
                </wp:positionV>
                <wp:extent cx="1368425" cy="10668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801D9">
                            <w:pPr>
                              <w:kinsoku w:val="0"/>
                              <w:overflowPunct w:val="0"/>
                              <w:autoSpaceDE/>
                              <w:autoSpaceDN/>
                              <w:adjustRightInd/>
                              <w:spacing w:line="153" w:lineRule="exact"/>
                              <w:textAlignment w:val="baseline"/>
                              <w:rPr>
                                <w:rFonts w:ascii="Garamond" w:hAnsi="Garamond" w:cs="Garamond"/>
                                <w:spacing w:val="-4"/>
                                <w:sz w:val="24"/>
                                <w:szCs w:val="24"/>
                                <w:lang w:val="es-ES" w:eastAsia="es-ES"/>
                              </w:rPr>
                            </w:pPr>
                            <w:r>
                              <w:rPr>
                                <w:rFonts w:ascii="Garamond" w:hAnsi="Garamond" w:cs="Garamond"/>
                                <w:b/>
                                <w:bCs/>
                                <w:spacing w:val="-4"/>
                                <w:lang w:val="es-ES" w:eastAsia="es-ES"/>
                              </w:rPr>
                              <w:t xml:space="preserve">Res N. TAT-2585-2015 </w:t>
                            </w:r>
                            <w:r>
                              <w:rPr>
                                <w:rFonts w:ascii="Garamond" w:hAnsi="Garamond" w:cs="Garamond"/>
                                <w:spacing w:val="-4"/>
                                <w:sz w:val="24"/>
                                <w:szCs w:val="24"/>
                                <w:lang w:val="es-ES" w:eastAsia="es-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8.9pt;margin-top:760.55pt;width:107.75pt;height:8.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" o:allowincell="f" stroked="f">
                <v:textbox inset="0,0,0,0">
                  <w:txbxContent>
                    <w:p w:rsidR="00000000" w:rsidRDefault="003801D9">
                      <w:pPr>
                        <w:kinsoku w:val="0"/>
                        <w:overflowPunct w:val="0"/>
                        <w:autoSpaceDE/>
                        <w:autoSpaceDN/>
                        <w:adjustRightInd/>
                        <w:spacing w:line="153" w:lineRule="exact"/>
                        <w:textAlignment w:val="baseline"/>
                        <w:rPr>
                          <w:rFonts w:ascii="Garamond" w:hAnsi="Garamond" w:cs="Garamond"/>
                          <w:spacing w:val="-4"/>
                          <w:sz w:val="24"/>
                          <w:szCs w:val="24"/>
                          <w:lang w:val="es-ES" w:eastAsia="es-ES"/>
                        </w:rPr>
                      </w:pPr>
                      <w:r>
                        <w:rPr>
                          <w:rFonts w:ascii="Garamond" w:hAnsi="Garamond" w:cs="Garamond"/>
                          <w:b/>
                          <w:bCs/>
                          <w:spacing w:val="-4"/>
                          <w:lang w:val="es-ES" w:eastAsia="es-ES"/>
                        </w:rPr>
                        <w:t xml:space="preserve">Res N. TAT-2585-2015 </w:t>
                      </w:r>
                      <w:r>
                        <w:rPr>
                          <w:rFonts w:ascii="Garamond" w:hAnsi="Garamond" w:cs="Garamond"/>
                          <w:spacing w:val="-4"/>
                          <w:sz w:val="24"/>
                          <w:szCs w:val="24"/>
                          <w:lang w:val="es-ES" w:eastAsia="es-ES"/>
                        </w:rPr>
                        <w:t>3</w:t>
                      </w:r>
                    </w:p>
                  </w:txbxContent>
                </v:textbox>
                <w10:wrap type="square" anchorx="page" anchory="page"/>
              </v:shape>
            </w:pict>
          </mc:Fallback>
        </mc:AlternateContent>
      </w:r>
      <w:r>
        <w:rPr>
          <w:rFonts w:ascii="Garamond" w:hAnsi="Garamond" w:cs="Garamond"/>
          <w:b/>
          <w:bCs/>
          <w:spacing w:val="7"/>
          <w:lang w:val="es-ES" w:eastAsia="es-ES"/>
        </w:rPr>
        <w:t xml:space="preserve">Se dispone la devolución de la SOLICITUD DE OBJECIÓN </w:t>
      </w:r>
      <w:r w:rsidRPr="003801D9">
        <w:rPr>
          <w:rFonts w:ascii="Garamond" w:hAnsi="Garamond" w:cs="Garamond"/>
          <w:bCs/>
          <w:spacing w:val="7"/>
          <w:lang w:val="es-ES" w:eastAsia="es-ES"/>
        </w:rPr>
        <w:t>interpuesta por</w:t>
      </w:r>
      <w:r>
        <w:rPr>
          <w:rFonts w:ascii="Garamond" w:hAnsi="Garamond" w:cs="Garamond"/>
          <w:b/>
          <w:bCs/>
          <w:spacing w:val="7"/>
          <w:lang w:val="es-ES" w:eastAsia="es-ES"/>
        </w:rPr>
        <w:t xml:space="preserve"> A.Z.C.</w:t>
      </w:r>
      <w:r>
        <w:rPr>
          <w:rFonts w:ascii="Garamond" w:hAnsi="Garamond" w:cs="Garamond"/>
          <w:b/>
          <w:bCs/>
          <w:spacing w:val="7"/>
          <w:lang w:val="es-ES" w:eastAsia="es-ES"/>
        </w:rPr>
        <w:t xml:space="preserve">, </w:t>
      </w:r>
      <w:r w:rsidRPr="003801D9">
        <w:rPr>
          <w:rFonts w:ascii="Garamond" w:hAnsi="Garamond" w:cs="Garamond"/>
          <w:bCs/>
          <w:spacing w:val="7"/>
          <w:lang w:val="es-ES" w:eastAsia="es-ES"/>
        </w:rPr>
        <w:t xml:space="preserve">cédula de identidad número </w:t>
      </w:r>
      <w:r>
        <w:rPr>
          <w:rFonts w:ascii="Garamond" w:hAnsi="Garamond" w:cs="Garamond"/>
          <w:bCs/>
          <w:spacing w:val="7"/>
          <w:lang w:val="es-ES" w:eastAsia="es-ES"/>
        </w:rPr>
        <w:t>…</w:t>
      </w:r>
      <w:r w:rsidRPr="003801D9">
        <w:rPr>
          <w:rFonts w:ascii="Garamond" w:hAnsi="Garamond" w:cs="Garamond"/>
          <w:bCs/>
          <w:spacing w:val="7"/>
          <w:lang w:val="es-ES" w:eastAsia="es-ES"/>
        </w:rPr>
        <w:t xml:space="preserve">, contra el Oficio DACP-2015-367 del 22 de enero del 2015 y sus antecedentes </w:t>
      </w:r>
      <w:r w:rsidRPr="003801D9">
        <w:rPr>
          <w:rFonts w:ascii="Garamond" w:hAnsi="Garamond" w:cs="Garamond"/>
          <w:bCs/>
          <w:iCs/>
          <w:spacing w:val="7"/>
          <w:lang w:val="es-ES" w:eastAsia="es-ES"/>
        </w:rPr>
        <w:t xml:space="preserve">-a la brevedad- </w:t>
      </w:r>
      <w:r w:rsidRPr="003801D9">
        <w:rPr>
          <w:rFonts w:ascii="Garamond" w:hAnsi="Garamond" w:cs="Garamond"/>
          <w:bCs/>
          <w:spacing w:val="7"/>
          <w:lang w:val="es-ES" w:eastAsia="es-ES"/>
        </w:rPr>
        <w:t>ante la Junta Directiva del Consejo de Transporte Público, para su definición pertinente, procediendo contra lo que defina dicha Junta Directiva los Recursos Ordinarios de Ley</w:t>
      </w:r>
      <w:r>
        <w:rPr>
          <w:rFonts w:ascii="Garamond" w:hAnsi="Garamond" w:cs="Garamond"/>
          <w:b/>
          <w:bCs/>
          <w:spacing w:val="7"/>
          <w:lang w:val="es-ES" w:eastAsia="es-ES"/>
        </w:rPr>
        <w:t>. NOTIFÍQUESE.</w:t>
      </w:r>
      <w:r>
        <w:rPr>
          <w:rFonts w:ascii="Garamond" w:hAnsi="Garamond" w:cs="Garamond"/>
          <w:b/>
          <w:bCs/>
          <w:spacing w:val="7"/>
          <w:lang w:val="es-ES" w:eastAsia="es-ES"/>
        </w:rPr>
        <w:noBreakHyphen/>
      </w:r>
    </w:p>
    <w:p w:rsidR="003801D9" w:rsidRPr="003801D9" w:rsidRDefault="003801D9" w:rsidP="003801D9">
      <w:pPr>
        <w:kinsoku w:val="0"/>
        <w:overflowPunct w:val="0"/>
        <w:autoSpaceDE/>
        <w:autoSpaceDN/>
        <w:adjustRightInd/>
        <w:spacing w:before="100" w:beforeAutospacing="1" w:after="100" w:afterAutospacing="1" w:line="320" w:lineRule="exact"/>
        <w:ind w:left="72" w:right="72"/>
        <w:textAlignment w:val="baseline"/>
        <w:rPr>
          <w:rStyle w:val="CharacterStyle1"/>
          <w:bCs/>
          <w:sz w:val="24"/>
          <w:szCs w:val="24"/>
          <w:lang w:val="es-ES" w:eastAsia="es-ES"/>
        </w:rPr>
      </w:pPr>
    </w:p>
    <w:p w:rsidR="003801D9" w:rsidRPr="006321DC" w:rsidRDefault="003801D9" w:rsidP="003801D9">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3801D9" w:rsidRPr="00233E71" w:rsidRDefault="003801D9" w:rsidP="003801D9">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3801D9" w:rsidRDefault="003801D9" w:rsidP="003801D9">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UEZA</w:t>
      </w:r>
      <w:r>
        <w:rPr>
          <w:rStyle w:val="CharacterStyle1"/>
          <w:b/>
          <w:i/>
          <w:iCs/>
          <w:spacing w:val="5"/>
          <w:sz w:val="26"/>
          <w:szCs w:val="26"/>
        </w:rPr>
        <w:t xml:space="preserve">                    </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Start w:id="0" w:name="_GoBack"/>
      <w:bookmarkEnd w:id="0"/>
    </w:p>
    <w:p w:rsidR="003801D9" w:rsidRDefault="003801D9" w:rsidP="003801D9">
      <w:pPr>
        <w:kinsoku w:val="0"/>
        <w:overflowPunct w:val="0"/>
        <w:autoSpaceDE/>
        <w:autoSpaceDN/>
        <w:adjustRightInd/>
        <w:spacing w:before="269" w:line="272" w:lineRule="exact"/>
        <w:ind w:right="792"/>
        <w:jc w:val="both"/>
        <w:textAlignment w:val="baseline"/>
        <w:rPr>
          <w:rFonts w:ascii="Garamond" w:hAnsi="Garamond" w:cs="Garamond"/>
          <w:b/>
          <w:bCs/>
          <w:lang w:eastAsia="en-US"/>
        </w:rPr>
      </w:pPr>
    </w:p>
    <w:sectPr w:rsidR="003801D9" w:rsidSect="003801D9">
      <w:pgSz w:w="12134" w:h="15840"/>
      <w:pgMar w:top="2160" w:right="1156" w:bottom="1135" w:left="16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AAA"/>
    <w:multiLevelType w:val="singleLevel"/>
    <w:tmpl w:val="0E1566A2"/>
    <w:lvl w:ilvl="0">
      <w:start w:val="1"/>
      <w:numFmt w:val="upperRoman"/>
      <w:lvlText w:val="%1.-"/>
      <w:lvlJc w:val="left"/>
      <w:pPr>
        <w:tabs>
          <w:tab w:val="num" w:pos="360"/>
        </w:tabs>
      </w:pPr>
      <w:rPr>
        <w:rFonts w:ascii="Garamond" w:hAnsi="Garamond" w:cs="Garamond"/>
        <w:b/>
        <w:bCs/>
        <w:snapToGrid/>
        <w:sz w:val="20"/>
        <w:szCs w:val="20"/>
      </w:rPr>
    </w:lvl>
  </w:abstractNum>
  <w:num w:numId="1">
    <w:abstractNumId w:val="0"/>
  </w:num>
  <w:num w:numId="2">
    <w:abstractNumId w:val="0"/>
    <w:lvlOverride w:ilvl="0">
      <w:lvl w:ilvl="0">
        <w:numFmt w:val="upperRoman"/>
        <w:lvlText w:val="%1.-"/>
        <w:lvlJc w:val="left"/>
        <w:pPr>
          <w:tabs>
            <w:tab w:val="num" w:pos="432"/>
          </w:tabs>
        </w:pPr>
        <w:rPr>
          <w:rFonts w:ascii="Garamond" w:hAnsi="Garamond" w:cs="Garamond"/>
          <w:snapToGrid/>
          <w:spacing w:val="7"/>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D9"/>
    <w:rsid w:val="003801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47EA8"/>
  <w14:defaultImageDpi w14:val="0"/>
  <w15:docId w15:val="{3FADCF2B-5F4A-4782-824C-D1593984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801D9"/>
    <w:rPr>
      <w:lang w:val="es-CR"/>
    </w:rPr>
  </w:style>
  <w:style w:type="character" w:customStyle="1" w:styleId="CharacterStyle1">
    <w:name w:val="Character Style 1"/>
    <w:uiPriority w:val="99"/>
    <w:rsid w:val="003801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2016-05-04T16:41:00Z</dcterms:created>
  <dcterms:modified xsi:type="dcterms:W3CDTF">2016-05-04T16:41:00Z</dcterms:modified>
</cp:coreProperties>
</file>