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D4BE1">
      <w:pPr>
        <w:kinsoku w:val="0"/>
        <w:overflowPunct w:val="0"/>
        <w:autoSpaceDE/>
        <w:autoSpaceDN/>
        <w:adjustRightInd/>
        <w:spacing w:line="230" w:lineRule="exact"/>
        <w:ind w:right="72"/>
        <w:jc w:val="center"/>
        <w:textAlignment w:val="baseline"/>
        <w:rPr>
          <w:b/>
          <w:bCs/>
          <w:spacing w:val="15"/>
          <w:sz w:val="21"/>
          <w:szCs w:val="21"/>
          <w:lang w:val="es-ES" w:eastAsia="es-ES"/>
        </w:rPr>
      </w:pPr>
      <w:r>
        <w:rPr>
          <w:b/>
          <w:bCs/>
          <w:spacing w:val="15"/>
          <w:sz w:val="21"/>
          <w:szCs w:val="21"/>
          <w:lang w:val="es-ES" w:eastAsia="es-ES"/>
        </w:rPr>
        <w:t>Resolución No. TAT-2633-2015</w:t>
      </w:r>
    </w:p>
    <w:p w:rsidR="00000000" w:rsidRDefault="004D4BE1">
      <w:pPr>
        <w:kinsoku w:val="0"/>
        <w:overflowPunct w:val="0"/>
        <w:autoSpaceDE/>
        <w:autoSpaceDN/>
        <w:adjustRightInd/>
        <w:spacing w:before="649" w:line="324" w:lineRule="exact"/>
        <w:ind w:left="144" w:right="72"/>
        <w:jc w:val="both"/>
        <w:textAlignment w:val="baseline"/>
        <w:rPr>
          <w:sz w:val="24"/>
          <w:szCs w:val="24"/>
          <w:lang w:val="es-ES" w:eastAsia="es-ES"/>
        </w:rPr>
      </w:pPr>
      <w:r>
        <w:rPr>
          <w:b/>
          <w:bCs/>
          <w:sz w:val="21"/>
          <w:szCs w:val="21"/>
          <w:lang w:val="es-ES" w:eastAsia="es-ES"/>
        </w:rPr>
        <w:t xml:space="preserve">TRIBUNAL ADMINISTRATIVO DE TRANSPORTE.- </w:t>
      </w:r>
      <w:r>
        <w:rPr>
          <w:sz w:val="24"/>
          <w:szCs w:val="24"/>
          <w:lang w:val="es-ES" w:eastAsia="es-ES"/>
        </w:rPr>
        <w:t xml:space="preserve">Curridabat, a las once horas con treinta </w:t>
      </w:r>
      <w:r>
        <w:rPr>
          <w:i/>
          <w:iCs/>
          <w:sz w:val="24"/>
          <w:szCs w:val="24"/>
          <w:lang w:val="es-ES" w:eastAsia="es-ES"/>
        </w:rPr>
        <w:t xml:space="preserve">y </w:t>
      </w:r>
      <w:r>
        <w:rPr>
          <w:sz w:val="24"/>
          <w:szCs w:val="24"/>
          <w:lang w:val="es-ES" w:eastAsia="es-ES"/>
        </w:rPr>
        <w:t>un minutos del treinta de junio del dos mil quince.</w:t>
      </w:r>
    </w:p>
    <w:p w:rsidR="00000000" w:rsidRDefault="004D4BE1">
      <w:pPr>
        <w:kinsoku w:val="0"/>
        <w:overflowPunct w:val="0"/>
        <w:autoSpaceDE/>
        <w:autoSpaceDN/>
        <w:adjustRightInd/>
        <w:spacing w:before="359" w:line="280" w:lineRule="exact"/>
        <w:ind w:left="144" w:right="72"/>
        <w:jc w:val="both"/>
        <w:textAlignment w:val="baseline"/>
        <w:rPr>
          <w:b/>
          <w:bCs/>
          <w:sz w:val="21"/>
          <w:szCs w:val="21"/>
          <w:lang w:val="es-ES" w:eastAsia="es-ES"/>
        </w:rPr>
      </w:pPr>
      <w:r>
        <w:rPr>
          <w:sz w:val="24"/>
          <w:szCs w:val="24"/>
          <w:lang w:val="es-ES" w:eastAsia="es-ES"/>
        </w:rPr>
        <w:t xml:space="preserve">Se conoce </w:t>
      </w:r>
      <w:r>
        <w:rPr>
          <w:b/>
          <w:bCs/>
          <w:sz w:val="21"/>
          <w:szCs w:val="21"/>
          <w:lang w:val="es-ES" w:eastAsia="es-ES"/>
        </w:rPr>
        <w:t xml:space="preserve">RECURSO DE REVOCATORIA CON APELACIÓN EN SUBSIDIO E INCIDENTE DE NULIDAD, </w:t>
      </w:r>
      <w:r>
        <w:rPr>
          <w:sz w:val="24"/>
          <w:szCs w:val="24"/>
          <w:lang w:val="es-ES" w:eastAsia="es-ES"/>
        </w:rPr>
        <w:t xml:space="preserve">interpuesto por </w:t>
      </w:r>
      <w:r>
        <w:rPr>
          <w:b/>
          <w:bCs/>
          <w:sz w:val="21"/>
          <w:szCs w:val="21"/>
          <w:lang w:val="es-ES" w:eastAsia="es-ES"/>
        </w:rPr>
        <w:t>M</w:t>
      </w:r>
      <w:r w:rsidR="00DE40A7">
        <w:rPr>
          <w:b/>
          <w:bCs/>
          <w:sz w:val="21"/>
          <w:szCs w:val="21"/>
          <w:lang w:val="es-ES" w:eastAsia="es-ES"/>
        </w:rPr>
        <w:t>.A.M.</w:t>
      </w:r>
      <w:r>
        <w:rPr>
          <w:b/>
          <w:bCs/>
          <w:sz w:val="21"/>
          <w:szCs w:val="21"/>
          <w:lang w:val="es-ES" w:eastAsia="es-ES"/>
        </w:rPr>
        <w:t xml:space="preserve">, </w:t>
      </w:r>
      <w:r>
        <w:rPr>
          <w:sz w:val="24"/>
          <w:szCs w:val="24"/>
          <w:lang w:val="es-ES" w:eastAsia="es-ES"/>
        </w:rPr>
        <w:t xml:space="preserve">cédula de identidad </w:t>
      </w:r>
      <w:r w:rsidR="00DE40A7">
        <w:rPr>
          <w:sz w:val="24"/>
          <w:szCs w:val="24"/>
          <w:lang w:val="es-ES" w:eastAsia="es-ES"/>
        </w:rPr>
        <w:t>…</w:t>
      </w:r>
      <w:r>
        <w:rPr>
          <w:sz w:val="24"/>
          <w:szCs w:val="24"/>
          <w:lang w:val="es-ES" w:eastAsia="es-ES"/>
        </w:rPr>
        <w:t xml:space="preserve"> en su carácter personal y como empresario turístico, </w:t>
      </w:r>
      <w:r>
        <w:rPr>
          <w:sz w:val="24"/>
          <w:szCs w:val="24"/>
          <w:lang w:val="es-ES" w:eastAsia="es-ES"/>
        </w:rPr>
        <w:t xml:space="preserve">nombre comercial </w:t>
      </w:r>
      <w:r>
        <w:rPr>
          <w:b/>
          <w:bCs/>
          <w:sz w:val="21"/>
          <w:szCs w:val="21"/>
          <w:lang w:val="es-ES" w:eastAsia="es-ES"/>
        </w:rPr>
        <w:t>T</w:t>
      </w:r>
      <w:r w:rsidR="00DE40A7">
        <w:rPr>
          <w:b/>
          <w:bCs/>
          <w:sz w:val="21"/>
          <w:szCs w:val="21"/>
          <w:lang w:val="es-ES" w:eastAsia="es-ES"/>
        </w:rPr>
        <w:t>.A.</w:t>
      </w:r>
      <w:r>
        <w:rPr>
          <w:b/>
          <w:bCs/>
          <w:sz w:val="21"/>
          <w:szCs w:val="21"/>
          <w:lang w:val="es-ES" w:eastAsia="es-ES"/>
        </w:rPr>
        <w:t xml:space="preserve">, </w:t>
      </w:r>
      <w:r>
        <w:rPr>
          <w:sz w:val="24"/>
          <w:szCs w:val="24"/>
          <w:lang w:val="es-ES" w:eastAsia="es-ES"/>
        </w:rPr>
        <w:t>en contra del Artículo 5.3 de la Sesión Ordinaria 15-2013 del 21 de febrero del 2013, emitida por la Junta Directiva del Consejo de Transporte Público, tramitado en este Despacho bajo el Expediente Administrativo número</w:t>
      </w:r>
      <w:r>
        <w:rPr>
          <w:sz w:val="24"/>
          <w:szCs w:val="24"/>
          <w:lang w:val="es-ES" w:eastAsia="es-ES"/>
        </w:rPr>
        <w:t xml:space="preserve"> </w:t>
      </w:r>
      <w:r>
        <w:rPr>
          <w:b/>
          <w:bCs/>
          <w:sz w:val="21"/>
          <w:szCs w:val="21"/>
          <w:lang w:val="es-ES" w:eastAsia="es-ES"/>
        </w:rPr>
        <w:t>TAT-204-15.</w:t>
      </w:r>
    </w:p>
    <w:p w:rsidR="00000000" w:rsidRDefault="004D4BE1">
      <w:pPr>
        <w:kinsoku w:val="0"/>
        <w:overflowPunct w:val="0"/>
        <w:autoSpaceDE/>
        <w:autoSpaceDN/>
        <w:adjustRightInd/>
        <w:spacing w:before="619" w:line="249" w:lineRule="exact"/>
        <w:ind w:right="72"/>
        <w:jc w:val="center"/>
        <w:textAlignment w:val="baseline"/>
        <w:rPr>
          <w:b/>
          <w:bCs/>
          <w:spacing w:val="18"/>
          <w:sz w:val="21"/>
          <w:szCs w:val="21"/>
          <w:lang w:val="es-ES" w:eastAsia="es-ES"/>
        </w:rPr>
      </w:pPr>
      <w:r>
        <w:rPr>
          <w:b/>
          <w:bCs/>
          <w:spacing w:val="18"/>
          <w:sz w:val="21"/>
          <w:szCs w:val="21"/>
          <w:lang w:val="es-ES" w:eastAsia="es-ES"/>
        </w:rPr>
        <w:t>RESULTANDO</w:t>
      </w:r>
    </w:p>
    <w:p w:rsidR="00000000" w:rsidRDefault="004D4BE1" w:rsidP="00DE40A7">
      <w:pPr>
        <w:kinsoku w:val="0"/>
        <w:overflowPunct w:val="0"/>
        <w:autoSpaceDE/>
        <w:autoSpaceDN/>
        <w:adjustRightInd/>
        <w:spacing w:before="572" w:line="324" w:lineRule="exact"/>
        <w:ind w:left="142" w:right="72"/>
        <w:jc w:val="both"/>
        <w:textAlignment w:val="baseline"/>
        <w:rPr>
          <w:sz w:val="24"/>
          <w:szCs w:val="24"/>
          <w:lang w:val="es-ES" w:eastAsia="es-ES"/>
        </w:rPr>
      </w:pPr>
      <w:r>
        <w:rPr>
          <w:b/>
          <w:bCs/>
          <w:sz w:val="21"/>
          <w:szCs w:val="21"/>
          <w:lang w:val="es-ES" w:eastAsia="es-ES"/>
        </w:rPr>
        <w:t xml:space="preserve">PRIMERO: </w:t>
      </w:r>
      <w:r>
        <w:rPr>
          <w:sz w:val="24"/>
          <w:szCs w:val="24"/>
          <w:lang w:val="es-ES" w:eastAsia="es-ES"/>
        </w:rPr>
        <w:t>La Junta Directiva del Consejo de Transporte Público, conoce el informe</w:t>
      </w:r>
      <w:r w:rsidR="00DE40A7">
        <w:rPr>
          <w:sz w:val="24"/>
          <w:szCs w:val="24"/>
          <w:lang w:val="es-ES" w:eastAsia="es-ES"/>
        </w:rPr>
        <w:t xml:space="preserve"> </w:t>
      </w:r>
      <w:r>
        <w:rPr>
          <w:sz w:val="24"/>
          <w:szCs w:val="24"/>
          <w:lang w:val="es-ES" w:eastAsia="es-ES"/>
        </w:rPr>
        <w:t>RZN-12-0514 del Consejo de Transporte Público, Regional Zona Norte, sobre la solicitud</w:t>
      </w:r>
      <w:r w:rsidR="00DE40A7">
        <w:rPr>
          <w:sz w:val="24"/>
          <w:szCs w:val="24"/>
          <w:lang w:val="es-ES" w:eastAsia="es-ES"/>
        </w:rPr>
        <w:t xml:space="preserve"> </w:t>
      </w:r>
      <w:r>
        <w:rPr>
          <w:sz w:val="24"/>
          <w:szCs w:val="24"/>
          <w:lang w:val="es-ES" w:eastAsia="es-ES"/>
        </w:rPr>
        <w:t xml:space="preserve">presentada por </w:t>
      </w:r>
      <w:r>
        <w:rPr>
          <w:b/>
          <w:bCs/>
          <w:sz w:val="21"/>
          <w:szCs w:val="21"/>
          <w:lang w:val="es-ES" w:eastAsia="es-ES"/>
        </w:rPr>
        <w:t>M</w:t>
      </w:r>
      <w:r w:rsidR="00DE40A7">
        <w:rPr>
          <w:b/>
          <w:bCs/>
          <w:sz w:val="21"/>
          <w:szCs w:val="21"/>
          <w:lang w:val="es-ES" w:eastAsia="es-ES"/>
        </w:rPr>
        <w:t>.A.M.</w:t>
      </w:r>
      <w:r>
        <w:rPr>
          <w:b/>
          <w:bCs/>
          <w:sz w:val="21"/>
          <w:szCs w:val="21"/>
          <w:lang w:val="es-ES" w:eastAsia="es-ES"/>
        </w:rPr>
        <w:t xml:space="preserve">, </w:t>
      </w:r>
      <w:r>
        <w:rPr>
          <w:sz w:val="24"/>
          <w:szCs w:val="24"/>
          <w:lang w:val="es-ES" w:eastAsia="es-ES"/>
        </w:rPr>
        <w:t>para el otorgamiento de permi</w:t>
      </w:r>
      <w:r>
        <w:rPr>
          <w:sz w:val="24"/>
          <w:szCs w:val="24"/>
          <w:lang w:val="es-ES" w:eastAsia="es-ES"/>
        </w:rPr>
        <w:t>so especial</w:t>
      </w:r>
      <w:r w:rsidR="00DE40A7">
        <w:rPr>
          <w:sz w:val="24"/>
          <w:szCs w:val="24"/>
          <w:lang w:val="es-ES" w:eastAsia="es-ES"/>
        </w:rPr>
        <w:t xml:space="preserve"> M</w:t>
      </w:r>
      <w:r>
        <w:rPr>
          <w:rFonts w:ascii="Verdana" w:hAnsi="Verdana" w:cs="Verdana"/>
          <w:sz w:val="18"/>
          <w:szCs w:val="18"/>
          <w:lang w:val="es-ES" w:eastAsia="es-ES"/>
        </w:rPr>
        <w:t xml:space="preserve">ODALIDAD TURISMO. </w:t>
      </w:r>
      <w:r>
        <w:rPr>
          <w:sz w:val="24"/>
          <w:szCs w:val="24"/>
          <w:lang w:val="es-ES" w:eastAsia="es-ES"/>
        </w:rPr>
        <w:t xml:space="preserve">No obstante, por moción del Director Jorge Arturo </w:t>
      </w:r>
      <w:r w:rsidR="00DE40A7">
        <w:rPr>
          <w:sz w:val="24"/>
          <w:szCs w:val="24"/>
          <w:lang w:val="es-ES" w:eastAsia="es-ES"/>
        </w:rPr>
        <w:t>H</w:t>
      </w:r>
      <w:r>
        <w:rPr>
          <w:sz w:val="24"/>
          <w:szCs w:val="24"/>
          <w:lang w:val="es-ES" w:eastAsia="es-ES"/>
        </w:rPr>
        <w:t>errera</w:t>
      </w:r>
      <w:r w:rsidR="00DE40A7">
        <w:rPr>
          <w:sz w:val="24"/>
          <w:szCs w:val="24"/>
          <w:lang w:val="es-ES" w:eastAsia="es-ES"/>
        </w:rPr>
        <w:t xml:space="preserve"> </w:t>
      </w:r>
      <w:r>
        <w:rPr>
          <w:sz w:val="24"/>
          <w:szCs w:val="24"/>
          <w:lang w:val="es-ES" w:eastAsia="es-ES"/>
        </w:rPr>
        <w:t>Campos, acogida por la Junta Directiva del Consejo de Transporte Público, en el Artículo 5.3 de la Sesión Ordinaria</w:t>
      </w:r>
      <w:r>
        <w:rPr>
          <w:sz w:val="24"/>
          <w:szCs w:val="24"/>
          <w:lang w:val="es-ES" w:eastAsia="es-ES"/>
        </w:rPr>
        <w:t xml:space="preserve"> </w:t>
      </w:r>
      <w:r w:rsidR="00DE40A7">
        <w:rPr>
          <w:sz w:val="24"/>
          <w:szCs w:val="24"/>
          <w:lang w:val="es-ES" w:eastAsia="es-ES"/>
        </w:rPr>
        <w:t xml:space="preserve">              </w:t>
      </w:r>
      <w:r>
        <w:rPr>
          <w:sz w:val="24"/>
          <w:szCs w:val="24"/>
          <w:lang w:val="es-ES" w:eastAsia="es-ES"/>
        </w:rPr>
        <w:t xml:space="preserve">15-2013 del 21 de febrero del 2013, pospone el conocimiento del informe, hasta tanto </w:t>
      </w:r>
      <w:r>
        <w:rPr>
          <w:b/>
          <w:bCs/>
          <w:sz w:val="21"/>
          <w:szCs w:val="21"/>
          <w:lang w:val="es-ES" w:eastAsia="es-ES"/>
        </w:rPr>
        <w:t xml:space="preserve">el </w:t>
      </w:r>
      <w:r>
        <w:rPr>
          <w:sz w:val="24"/>
          <w:szCs w:val="24"/>
          <w:lang w:val="es-ES" w:eastAsia="es-ES"/>
        </w:rPr>
        <w:t xml:space="preserve">Instituto Costarricense de Turismo presente un informe técnico que ampare la autorización de los permisos, informe que deberá demostrar la existencia de la demanda, a </w:t>
      </w:r>
      <w:r>
        <w:rPr>
          <w:sz w:val="24"/>
          <w:szCs w:val="24"/>
          <w:lang w:val="es-ES" w:eastAsia="es-ES"/>
        </w:rPr>
        <w:t>efectos de autorizarlos en forma racional. (Léanse los folios 18 y 19 del expediente administrativo TAT-204-15)</w:t>
      </w:r>
    </w:p>
    <w:p w:rsidR="00000000" w:rsidRDefault="004D4BE1" w:rsidP="00DE40A7">
      <w:pPr>
        <w:kinsoku w:val="0"/>
        <w:overflowPunct w:val="0"/>
        <w:autoSpaceDE/>
        <w:autoSpaceDN/>
        <w:adjustRightInd/>
        <w:spacing w:before="309" w:line="316" w:lineRule="exact"/>
        <w:ind w:left="144" w:right="72"/>
        <w:jc w:val="both"/>
        <w:textAlignment w:val="baseline"/>
        <w:rPr>
          <w:sz w:val="24"/>
          <w:szCs w:val="24"/>
          <w:lang w:val="es-ES" w:eastAsia="es-ES"/>
        </w:rPr>
      </w:pPr>
      <w:r>
        <w:rPr>
          <w:sz w:val="24"/>
          <w:szCs w:val="24"/>
          <w:lang w:val="es-ES" w:eastAsia="es-ES"/>
        </w:rPr>
        <w:t>A la comunicación del Acuerdo se le aplicó la notificación automática, por no estimar la Secretaria Ejecutiva del Consejo, que no es un medio vá</w:t>
      </w:r>
      <w:r>
        <w:rPr>
          <w:sz w:val="24"/>
          <w:szCs w:val="24"/>
          <w:lang w:val="es-ES" w:eastAsia="es-ES"/>
        </w:rPr>
        <w:t>lido, al no ser el número telefónico</w:t>
      </w:r>
      <w:r w:rsidR="00DE40A7">
        <w:rPr>
          <w:sz w:val="24"/>
          <w:szCs w:val="24"/>
          <w:lang w:val="es-ES" w:eastAsia="es-ES"/>
        </w:rPr>
        <w:t xml:space="preserve"> XXXX</w:t>
      </w:r>
      <w:r>
        <w:rPr>
          <w:b/>
          <w:bCs/>
          <w:sz w:val="21"/>
          <w:szCs w:val="21"/>
          <w:lang w:val="es-ES" w:eastAsia="es-ES"/>
        </w:rPr>
        <w:t>-</w:t>
      </w:r>
      <w:r w:rsidR="00DE40A7">
        <w:rPr>
          <w:b/>
          <w:bCs/>
          <w:sz w:val="21"/>
          <w:szCs w:val="21"/>
          <w:lang w:val="es-ES" w:eastAsia="es-ES"/>
        </w:rPr>
        <w:t>XXXX</w:t>
      </w:r>
      <w:r>
        <w:rPr>
          <w:b/>
          <w:bCs/>
          <w:sz w:val="21"/>
          <w:szCs w:val="21"/>
          <w:lang w:val="es-ES" w:eastAsia="es-ES"/>
        </w:rPr>
        <w:t xml:space="preserve"> </w:t>
      </w:r>
      <w:r>
        <w:rPr>
          <w:sz w:val="24"/>
          <w:szCs w:val="24"/>
          <w:lang w:val="es-ES" w:eastAsia="es-ES"/>
        </w:rPr>
        <w:t>un fax. El acta de notificación se realiza el día 21 de marzo del 2013. (Léase el folio 20 del expediente administrativo TAT-204-15)</w:t>
      </w:r>
    </w:p>
    <w:p w:rsidR="00000000" w:rsidRDefault="004D4BE1">
      <w:pPr>
        <w:kinsoku w:val="0"/>
        <w:overflowPunct w:val="0"/>
        <w:autoSpaceDE/>
        <w:autoSpaceDN/>
        <w:adjustRightInd/>
        <w:spacing w:before="1468" w:line="184" w:lineRule="exact"/>
        <w:ind w:right="72"/>
        <w:jc w:val="right"/>
        <w:textAlignment w:val="baseline"/>
        <w:rPr>
          <w:sz w:val="16"/>
          <w:szCs w:val="16"/>
          <w:lang w:val="es-ES" w:eastAsia="es-ES"/>
        </w:rPr>
      </w:pPr>
    </w:p>
    <w:p w:rsidR="00000000" w:rsidRPr="00DE40A7" w:rsidRDefault="004D4BE1" w:rsidP="00DE40A7">
      <w:pPr>
        <w:kinsoku w:val="0"/>
        <w:overflowPunct w:val="0"/>
        <w:autoSpaceDE/>
        <w:autoSpaceDN/>
        <w:adjustRightInd/>
        <w:spacing w:line="185" w:lineRule="exact"/>
        <w:ind w:right="72"/>
        <w:jc w:val="right"/>
        <w:textAlignment w:val="baseline"/>
        <w:rPr>
          <w:sz w:val="16"/>
          <w:szCs w:val="16"/>
          <w:lang w:val="es-ES" w:eastAsia="es-ES"/>
        </w:rPr>
        <w:sectPr w:rsidR="00000000" w:rsidRPr="00DE40A7">
          <w:pgSz w:w="12134" w:h="15840"/>
          <w:pgMar w:top="1400" w:right="1474" w:bottom="324" w:left="1520" w:header="720" w:footer="720" w:gutter="0"/>
          <w:cols w:space="720"/>
          <w:noEndnote/>
        </w:sectPr>
      </w:pPr>
    </w:p>
    <w:p w:rsidR="00000000" w:rsidRDefault="004D4BE1">
      <w:pPr>
        <w:kinsoku w:val="0"/>
        <w:overflowPunct w:val="0"/>
        <w:autoSpaceDE/>
        <w:autoSpaceDN/>
        <w:adjustRightInd/>
        <w:spacing w:line="278" w:lineRule="exact"/>
        <w:ind w:left="144" w:right="72"/>
        <w:jc w:val="both"/>
        <w:textAlignment w:val="baseline"/>
        <w:rPr>
          <w:rFonts w:ascii="Garamond" w:hAnsi="Garamond" w:cs="Garamond"/>
          <w:spacing w:val="6"/>
          <w:sz w:val="23"/>
          <w:szCs w:val="23"/>
          <w:lang w:val="es-ES" w:eastAsia="es-ES"/>
        </w:rPr>
      </w:pPr>
      <w:r w:rsidRPr="00DE40A7">
        <w:rPr>
          <w:rFonts w:ascii="Garamond" w:hAnsi="Garamond" w:cs="Garamond"/>
          <w:b/>
          <w:spacing w:val="6"/>
          <w:sz w:val="23"/>
          <w:szCs w:val="23"/>
          <w:lang w:val="es-ES" w:eastAsia="es-ES"/>
        </w:rPr>
        <w:lastRenderedPageBreak/>
        <w:t>SEGUNDO:</w:t>
      </w:r>
      <w:r>
        <w:rPr>
          <w:rFonts w:ascii="Garamond" w:hAnsi="Garamond" w:cs="Garamond"/>
          <w:spacing w:val="6"/>
          <w:sz w:val="23"/>
          <w:szCs w:val="23"/>
          <w:lang w:val="es-ES" w:eastAsia="es-ES"/>
        </w:rPr>
        <w:t xml:space="preserve"> El empresario </w:t>
      </w:r>
      <w:r w:rsidRPr="00DE40A7">
        <w:rPr>
          <w:rFonts w:ascii="Garamond" w:hAnsi="Garamond" w:cs="Garamond"/>
          <w:b/>
          <w:spacing w:val="6"/>
          <w:sz w:val="23"/>
          <w:szCs w:val="23"/>
          <w:lang w:val="es-ES" w:eastAsia="es-ES"/>
        </w:rPr>
        <w:t>M</w:t>
      </w:r>
      <w:r w:rsidR="00DE40A7" w:rsidRPr="00DE40A7">
        <w:rPr>
          <w:rFonts w:ascii="Garamond" w:hAnsi="Garamond" w:cs="Garamond"/>
          <w:b/>
          <w:spacing w:val="6"/>
          <w:sz w:val="23"/>
          <w:szCs w:val="23"/>
          <w:lang w:val="es-ES" w:eastAsia="es-ES"/>
        </w:rPr>
        <w:t>.A.M.</w:t>
      </w:r>
      <w:r>
        <w:rPr>
          <w:rFonts w:ascii="Garamond" w:hAnsi="Garamond" w:cs="Garamond"/>
          <w:spacing w:val="6"/>
          <w:sz w:val="23"/>
          <w:szCs w:val="23"/>
          <w:lang w:val="es-ES" w:eastAsia="es-ES"/>
        </w:rPr>
        <w:t xml:space="preserve">, interpone el día 15 de abril del </w:t>
      </w:r>
      <w:r>
        <w:rPr>
          <w:rFonts w:ascii="Garamond" w:hAnsi="Garamond" w:cs="Garamond"/>
          <w:b/>
          <w:bCs/>
          <w:spacing w:val="6"/>
          <w:sz w:val="23"/>
          <w:szCs w:val="23"/>
          <w:lang w:val="es-ES" w:eastAsia="es-ES"/>
        </w:rPr>
        <w:t xml:space="preserve">2013, </w:t>
      </w:r>
      <w:r w:rsidRPr="00DE40A7">
        <w:rPr>
          <w:rFonts w:ascii="Garamond" w:hAnsi="Garamond" w:cs="Garamond"/>
          <w:b/>
          <w:spacing w:val="6"/>
          <w:sz w:val="23"/>
          <w:szCs w:val="23"/>
          <w:lang w:val="es-ES" w:eastAsia="es-ES"/>
        </w:rPr>
        <w:t>RECURSO DE REVOCATORIA CON APELACIÓN EN SUBSIDIO E INCIDENTE DE NULIDAD</w:t>
      </w:r>
      <w:r>
        <w:rPr>
          <w:rFonts w:ascii="Garamond" w:hAnsi="Garamond" w:cs="Garamond"/>
          <w:spacing w:val="6"/>
          <w:sz w:val="23"/>
          <w:szCs w:val="23"/>
          <w:lang w:val="es-ES" w:eastAsia="es-ES"/>
        </w:rPr>
        <w:t>, en contra del Artículo 5.3 de la Sesión Ordinaria 15-2013 del 21 de febrero del 2013, emitido por la Junta Directiva del Consejo de T</w:t>
      </w:r>
      <w:r>
        <w:rPr>
          <w:rFonts w:ascii="Garamond" w:hAnsi="Garamond" w:cs="Garamond"/>
          <w:spacing w:val="6"/>
          <w:sz w:val="23"/>
          <w:szCs w:val="23"/>
          <w:lang w:val="es-ES" w:eastAsia="es-ES"/>
        </w:rPr>
        <w:t>ransporte Público, indicando en resumen lo siguiente:</w:t>
      </w:r>
    </w:p>
    <w:p w:rsidR="00000000" w:rsidRDefault="004D4BE1">
      <w:pPr>
        <w:kinsoku w:val="0"/>
        <w:overflowPunct w:val="0"/>
        <w:autoSpaceDE/>
        <w:autoSpaceDN/>
        <w:adjustRightInd/>
        <w:spacing w:before="260" w:line="259" w:lineRule="exact"/>
        <w:ind w:left="864"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Se violenta el principio de legalidad. El artículo 3 del Reglamento para la Regulación y Explotación de Transportes Terrestre de Turismo, establece un plazo de 30 días naturales para resolver la solicit</w:t>
      </w:r>
      <w:r>
        <w:rPr>
          <w:rFonts w:ascii="Garamond" w:hAnsi="Garamond" w:cs="Garamond"/>
          <w:sz w:val="23"/>
          <w:szCs w:val="23"/>
          <w:lang w:val="es-ES" w:eastAsia="es-ES"/>
        </w:rPr>
        <w:t>ud presentada junto con el aval del Instituto Costarricense de Turismo, no hacerlo en ese período violenta el principio de legalidad y el debido proceso. Violación al principio de individualidad, pues se conocen varios expedientes, todos particulares y por</w:t>
      </w:r>
      <w:r>
        <w:rPr>
          <w:rFonts w:ascii="Garamond" w:hAnsi="Garamond" w:cs="Garamond"/>
          <w:sz w:val="23"/>
          <w:szCs w:val="23"/>
          <w:lang w:val="es-ES" w:eastAsia="es-ES"/>
        </w:rPr>
        <w:t xml:space="preserve"> ende diferentes, debió motivarse los resuelto conforme al mérito de cada expediente, y no resolverse en combo, como si todos los casos fueren idénticos e irrespetándose de esa forma a cada administrado.</w:t>
      </w:r>
    </w:p>
    <w:p w:rsidR="00000000" w:rsidRDefault="004D4BE1">
      <w:pPr>
        <w:kinsoku w:val="0"/>
        <w:overflowPunct w:val="0"/>
        <w:autoSpaceDE/>
        <w:autoSpaceDN/>
        <w:adjustRightInd/>
        <w:spacing w:line="256" w:lineRule="exact"/>
        <w:ind w:left="864"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Violación al principio de motivación, t</w:t>
      </w:r>
      <w:r>
        <w:rPr>
          <w:rFonts w:ascii="Garamond" w:hAnsi="Garamond" w:cs="Garamond"/>
          <w:sz w:val="23"/>
          <w:szCs w:val="23"/>
          <w:lang w:val="es-ES" w:eastAsia="es-ES"/>
        </w:rPr>
        <w:t>oda vez que la Ley General de la Administración Pública obliga a que los actos que limiten derechos subjetivos, sean motivados, aunque sea en forma sucinta, diferir la decisión limita los derechos subjetivos. La falta de motivación es causal de nulidad abs</w:t>
      </w:r>
      <w:r>
        <w:rPr>
          <w:rFonts w:ascii="Garamond" w:hAnsi="Garamond" w:cs="Garamond"/>
          <w:sz w:val="23"/>
          <w:szCs w:val="23"/>
          <w:lang w:val="es-ES" w:eastAsia="es-ES"/>
        </w:rPr>
        <w:t>oluta pues incide en el derecho de defensa, pues al no conocer la causa por la que se le priva del derecho de obtener una resolución pronta, se le está imposibilitando su defensa, lo que justifica la revocatoria.</w:t>
      </w:r>
    </w:p>
    <w:p w:rsidR="00000000" w:rsidRDefault="004D4BE1">
      <w:pPr>
        <w:kinsoku w:val="0"/>
        <w:overflowPunct w:val="0"/>
        <w:autoSpaceDE/>
        <w:autoSpaceDN/>
        <w:adjustRightInd/>
        <w:spacing w:line="256" w:lineRule="exact"/>
        <w:ind w:left="864"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Solicita se declare absolutamente nula la r</w:t>
      </w:r>
      <w:r>
        <w:rPr>
          <w:rFonts w:ascii="Garamond" w:hAnsi="Garamond" w:cs="Garamond"/>
          <w:sz w:val="23"/>
          <w:szCs w:val="23"/>
          <w:lang w:val="es-ES" w:eastAsia="es-ES"/>
        </w:rPr>
        <w:t>esolución impugnada, retrotrayéndose la situación al momento previo al dictado de dicha resolución y dentro del plazo de ley, se dicte resolución de fondo, con vista en los elementos que constan en el expediente. (Léanse los folios del 6 al 10 del expedien</w:t>
      </w:r>
      <w:r>
        <w:rPr>
          <w:rFonts w:ascii="Garamond" w:hAnsi="Garamond" w:cs="Garamond"/>
          <w:sz w:val="23"/>
          <w:szCs w:val="23"/>
          <w:lang w:val="es-ES" w:eastAsia="es-ES"/>
        </w:rPr>
        <w:t>te administrativo TAT-204-15)</w:t>
      </w:r>
    </w:p>
    <w:p w:rsidR="00000000" w:rsidRDefault="004D4BE1">
      <w:pPr>
        <w:kinsoku w:val="0"/>
        <w:overflowPunct w:val="0"/>
        <w:autoSpaceDE/>
        <w:autoSpaceDN/>
        <w:adjustRightInd/>
        <w:spacing w:before="559" w:line="321" w:lineRule="exact"/>
        <w:ind w:left="144" w:right="72"/>
        <w:jc w:val="both"/>
        <w:textAlignment w:val="baseline"/>
        <w:rPr>
          <w:rFonts w:ascii="Garamond" w:hAnsi="Garamond" w:cs="Garamond"/>
          <w:spacing w:val="9"/>
          <w:sz w:val="23"/>
          <w:szCs w:val="23"/>
          <w:lang w:val="es-ES" w:eastAsia="es-ES"/>
        </w:rPr>
      </w:pPr>
      <w:r w:rsidRPr="00DE40A7">
        <w:rPr>
          <w:rFonts w:ascii="Garamond" w:hAnsi="Garamond" w:cs="Garamond"/>
          <w:b/>
          <w:spacing w:val="9"/>
          <w:sz w:val="23"/>
          <w:szCs w:val="23"/>
          <w:lang w:val="es-ES" w:eastAsia="es-ES"/>
        </w:rPr>
        <w:t>TERCERO:</w:t>
      </w:r>
      <w:r>
        <w:rPr>
          <w:rFonts w:ascii="Garamond" w:hAnsi="Garamond" w:cs="Garamond"/>
          <w:spacing w:val="9"/>
          <w:sz w:val="23"/>
          <w:szCs w:val="23"/>
          <w:lang w:val="es-ES" w:eastAsia="es-ES"/>
        </w:rPr>
        <w:t xml:space="preserve"> La Junta Directiva del Consejo de Transporte Público, en el </w:t>
      </w:r>
      <w:r>
        <w:rPr>
          <w:rFonts w:ascii="Garamond" w:hAnsi="Garamond" w:cs="Garamond"/>
          <w:b/>
          <w:bCs/>
          <w:spacing w:val="9"/>
          <w:sz w:val="23"/>
          <w:szCs w:val="23"/>
          <w:lang w:val="es-ES" w:eastAsia="es-ES"/>
        </w:rPr>
        <w:t xml:space="preserve">Artículo 7.8.10 de la Sesión Ordinaria 48-2014 del miércoles 4 de setiembre del 2014, </w:t>
      </w:r>
      <w:r>
        <w:rPr>
          <w:rFonts w:ascii="Garamond" w:hAnsi="Garamond" w:cs="Garamond"/>
          <w:spacing w:val="9"/>
          <w:sz w:val="23"/>
          <w:szCs w:val="23"/>
          <w:lang w:val="es-ES" w:eastAsia="es-ES"/>
        </w:rPr>
        <w:t>conoce el informe RZN-12-0514 del Consejo de Transporte Pú</w:t>
      </w:r>
      <w:r>
        <w:rPr>
          <w:rFonts w:ascii="Garamond" w:hAnsi="Garamond" w:cs="Garamond"/>
          <w:spacing w:val="9"/>
          <w:sz w:val="23"/>
          <w:szCs w:val="23"/>
          <w:lang w:val="es-ES" w:eastAsia="es-ES"/>
        </w:rPr>
        <w:t xml:space="preserve">blico, Regional Zona Norte, sobre la solicitud presentada por </w:t>
      </w:r>
      <w:r w:rsidRPr="00DE40A7">
        <w:rPr>
          <w:rFonts w:ascii="Garamond" w:hAnsi="Garamond" w:cs="Garamond"/>
          <w:b/>
          <w:spacing w:val="9"/>
          <w:sz w:val="23"/>
          <w:szCs w:val="23"/>
          <w:lang w:val="es-ES" w:eastAsia="es-ES"/>
        </w:rPr>
        <w:t>M</w:t>
      </w:r>
      <w:r w:rsidR="00DE40A7">
        <w:rPr>
          <w:rFonts w:ascii="Garamond" w:hAnsi="Garamond" w:cs="Garamond"/>
          <w:b/>
          <w:spacing w:val="9"/>
          <w:sz w:val="23"/>
          <w:szCs w:val="23"/>
          <w:lang w:val="es-ES" w:eastAsia="es-ES"/>
        </w:rPr>
        <w:t>.A.M.</w:t>
      </w:r>
      <w:r>
        <w:rPr>
          <w:rFonts w:ascii="Garamond" w:hAnsi="Garamond" w:cs="Garamond"/>
          <w:spacing w:val="9"/>
          <w:sz w:val="23"/>
          <w:szCs w:val="23"/>
          <w:lang w:val="es-ES" w:eastAsia="es-ES"/>
        </w:rPr>
        <w:t xml:space="preserve">, para el otorgamiento de permiso especial MODALIDAD TURISMO y acoge las recomendaciones del informe, y </w:t>
      </w:r>
      <w:r>
        <w:rPr>
          <w:rFonts w:ascii="Garamond" w:hAnsi="Garamond" w:cs="Garamond"/>
          <w:i/>
          <w:iCs/>
          <w:spacing w:val="9"/>
          <w:sz w:val="23"/>
          <w:szCs w:val="23"/>
          <w:lang w:val="es-ES" w:eastAsia="es-ES"/>
        </w:rPr>
        <w:t xml:space="preserve">otorga el permiso especial de Turismo, </w:t>
      </w:r>
      <w:r>
        <w:rPr>
          <w:rFonts w:ascii="Garamond" w:hAnsi="Garamond" w:cs="Garamond"/>
          <w:spacing w:val="9"/>
          <w:sz w:val="23"/>
          <w:szCs w:val="23"/>
          <w:lang w:val="es-ES" w:eastAsia="es-ES"/>
        </w:rPr>
        <w:t xml:space="preserve">el cual notifica al fax número </w:t>
      </w:r>
      <w:r w:rsidR="00DE40A7">
        <w:rPr>
          <w:rFonts w:ascii="Garamond" w:hAnsi="Garamond" w:cs="Garamond"/>
          <w:spacing w:val="9"/>
          <w:sz w:val="23"/>
          <w:szCs w:val="23"/>
          <w:lang w:val="es-ES" w:eastAsia="es-ES"/>
        </w:rPr>
        <w:t>XXXX-XXXX</w:t>
      </w:r>
      <w:r>
        <w:rPr>
          <w:rFonts w:ascii="Garamond" w:hAnsi="Garamond" w:cs="Garamond"/>
          <w:b/>
          <w:bCs/>
          <w:spacing w:val="9"/>
          <w:sz w:val="23"/>
          <w:szCs w:val="23"/>
          <w:lang w:val="es-ES" w:eastAsia="es-ES"/>
        </w:rPr>
        <w:t xml:space="preserve">, </w:t>
      </w:r>
      <w:r>
        <w:rPr>
          <w:rFonts w:ascii="Garamond" w:hAnsi="Garamond" w:cs="Garamond"/>
          <w:spacing w:val="9"/>
          <w:sz w:val="23"/>
          <w:szCs w:val="23"/>
          <w:lang w:val="es-ES" w:eastAsia="es-ES"/>
        </w:rPr>
        <w:t>el día 12 de setiembre del 2014. (Léanse los folios del 29 al 33 del expediente administrativo TAT-204-15)</w:t>
      </w:r>
    </w:p>
    <w:p w:rsidR="00000000" w:rsidRDefault="004D4BE1">
      <w:pPr>
        <w:kinsoku w:val="0"/>
        <w:overflowPunct w:val="0"/>
        <w:autoSpaceDE/>
        <w:autoSpaceDN/>
        <w:adjustRightInd/>
        <w:spacing w:before="590" w:line="280" w:lineRule="exact"/>
        <w:ind w:left="144" w:right="72"/>
        <w:jc w:val="both"/>
        <w:textAlignment w:val="baseline"/>
        <w:rPr>
          <w:rFonts w:ascii="Garamond" w:hAnsi="Garamond" w:cs="Garamond"/>
          <w:spacing w:val="6"/>
          <w:sz w:val="23"/>
          <w:szCs w:val="23"/>
          <w:lang w:val="es-ES" w:eastAsia="es-ES"/>
        </w:rPr>
      </w:pPr>
      <w:r>
        <w:rPr>
          <w:rFonts w:ascii="Garamond" w:hAnsi="Garamond" w:cs="Garamond"/>
          <w:b/>
          <w:bCs/>
          <w:spacing w:val="6"/>
          <w:sz w:val="23"/>
          <w:szCs w:val="23"/>
          <w:lang w:val="es-ES" w:eastAsia="es-ES"/>
        </w:rPr>
        <w:t xml:space="preserve">CUARTO: </w:t>
      </w:r>
      <w:r>
        <w:rPr>
          <w:rFonts w:ascii="Garamond" w:hAnsi="Garamond" w:cs="Garamond"/>
          <w:spacing w:val="6"/>
          <w:sz w:val="23"/>
          <w:szCs w:val="23"/>
          <w:lang w:val="es-ES" w:eastAsia="es-ES"/>
        </w:rPr>
        <w:t xml:space="preserve">El día </w:t>
      </w:r>
      <w:r>
        <w:rPr>
          <w:rFonts w:ascii="Garamond" w:hAnsi="Garamond" w:cs="Garamond"/>
          <w:b/>
          <w:bCs/>
          <w:spacing w:val="6"/>
          <w:sz w:val="23"/>
          <w:szCs w:val="23"/>
          <w:lang w:val="es-ES" w:eastAsia="es-ES"/>
        </w:rPr>
        <w:t xml:space="preserve">27 de noviembre del 2014, </w:t>
      </w:r>
      <w:r>
        <w:rPr>
          <w:rFonts w:ascii="Garamond" w:hAnsi="Garamond" w:cs="Garamond"/>
          <w:spacing w:val="6"/>
          <w:sz w:val="23"/>
          <w:szCs w:val="23"/>
          <w:lang w:val="es-ES" w:eastAsia="es-ES"/>
        </w:rPr>
        <w:t>la Junta Directiva del Consejo de Transporte Público, conoce en el Artículo 7.3 de la Sesión Ordina</w:t>
      </w:r>
      <w:r>
        <w:rPr>
          <w:rFonts w:ascii="Garamond" w:hAnsi="Garamond" w:cs="Garamond"/>
          <w:spacing w:val="6"/>
          <w:sz w:val="23"/>
          <w:szCs w:val="23"/>
          <w:lang w:val="es-ES" w:eastAsia="es-ES"/>
        </w:rPr>
        <w:t xml:space="preserve">ria 72-2014, el informe vertido en el oficio </w:t>
      </w:r>
      <w:r>
        <w:rPr>
          <w:rFonts w:ascii="Garamond" w:hAnsi="Garamond" w:cs="Garamond"/>
          <w:b/>
          <w:bCs/>
          <w:spacing w:val="6"/>
          <w:sz w:val="23"/>
          <w:szCs w:val="23"/>
          <w:lang w:val="es-ES" w:eastAsia="es-ES"/>
        </w:rPr>
        <w:t xml:space="preserve">DAJ 2013004729 del 9 de setiembre del 2013, </w:t>
      </w:r>
      <w:r>
        <w:rPr>
          <w:rFonts w:ascii="Garamond" w:hAnsi="Garamond" w:cs="Garamond"/>
          <w:spacing w:val="6"/>
          <w:sz w:val="23"/>
          <w:szCs w:val="23"/>
          <w:lang w:val="es-ES" w:eastAsia="es-ES"/>
        </w:rPr>
        <w:t>emitido por la Dirección de Asuntos Jurídicos del Consejo de Transporte Público en el cual recomienda rechazar el recurso planteado contra el Artículo 5.3 de la Sesión</w:t>
      </w:r>
      <w:r>
        <w:rPr>
          <w:rFonts w:ascii="Garamond" w:hAnsi="Garamond" w:cs="Garamond"/>
          <w:spacing w:val="6"/>
          <w:sz w:val="23"/>
          <w:szCs w:val="23"/>
          <w:lang w:val="es-ES" w:eastAsia="es-ES"/>
        </w:rPr>
        <w:t xml:space="preserve"> Ordinaria 15-2013 del 21 de febrero del 2013, por no ser este un acto definitivo. (Léanse los folios del 1 al 4 del expediente administrativo TAT-204-15)</w:t>
      </w:r>
    </w:p>
    <w:p w:rsidR="00000000" w:rsidRDefault="004D4BE1">
      <w:pPr>
        <w:kinsoku w:val="0"/>
        <w:overflowPunct w:val="0"/>
        <w:autoSpaceDE/>
        <w:autoSpaceDN/>
        <w:adjustRightInd/>
        <w:spacing w:before="626" w:line="264" w:lineRule="exact"/>
        <w:ind w:left="144" w:right="72"/>
        <w:textAlignment w:val="baseline"/>
        <w:rPr>
          <w:rFonts w:ascii="Garamond" w:hAnsi="Garamond" w:cs="Garamond"/>
          <w:spacing w:val="4"/>
          <w:sz w:val="23"/>
          <w:szCs w:val="23"/>
          <w:lang w:val="es-ES" w:eastAsia="es-ES"/>
        </w:rPr>
      </w:pPr>
      <w:r>
        <w:rPr>
          <w:rFonts w:ascii="Garamond" w:hAnsi="Garamond" w:cs="Garamond"/>
          <w:b/>
          <w:bCs/>
          <w:spacing w:val="4"/>
          <w:sz w:val="23"/>
          <w:szCs w:val="23"/>
          <w:lang w:val="es-ES" w:eastAsia="es-ES"/>
        </w:rPr>
        <w:t xml:space="preserve">QUINTO: </w:t>
      </w:r>
      <w:r>
        <w:rPr>
          <w:rFonts w:ascii="Garamond" w:hAnsi="Garamond" w:cs="Garamond"/>
          <w:spacing w:val="4"/>
          <w:sz w:val="23"/>
          <w:szCs w:val="23"/>
          <w:lang w:val="es-ES" w:eastAsia="es-ES"/>
        </w:rPr>
        <w:t xml:space="preserve">En los </w:t>
      </w:r>
      <w:r>
        <w:rPr>
          <w:rFonts w:ascii="Garamond" w:hAnsi="Garamond" w:cs="Garamond"/>
          <w:b/>
          <w:bCs/>
          <w:spacing w:val="4"/>
          <w:sz w:val="23"/>
          <w:szCs w:val="23"/>
          <w:lang w:val="es-ES" w:eastAsia="es-ES"/>
        </w:rPr>
        <w:t xml:space="preserve">procedimientos </w:t>
      </w:r>
      <w:r>
        <w:rPr>
          <w:rFonts w:ascii="Garamond" w:hAnsi="Garamond" w:cs="Garamond"/>
          <w:spacing w:val="4"/>
          <w:sz w:val="23"/>
          <w:szCs w:val="23"/>
          <w:lang w:val="es-ES" w:eastAsia="es-ES"/>
        </w:rPr>
        <w:t>se han seguido las prescripciones de ley.</w:t>
      </w:r>
    </w:p>
    <w:p w:rsidR="00000000" w:rsidRDefault="004D4BE1">
      <w:pPr>
        <w:kinsoku w:val="0"/>
        <w:overflowPunct w:val="0"/>
        <w:autoSpaceDE/>
        <w:autoSpaceDN/>
        <w:adjustRightInd/>
        <w:spacing w:before="484" w:line="187" w:lineRule="exact"/>
        <w:ind w:right="72"/>
        <w:jc w:val="right"/>
        <w:textAlignment w:val="baseline"/>
        <w:rPr>
          <w:rFonts w:ascii="Garamond" w:hAnsi="Garamond" w:cs="Garamond"/>
          <w:spacing w:val="-4"/>
          <w:sz w:val="18"/>
          <w:szCs w:val="18"/>
          <w:lang w:val="es-ES" w:eastAsia="es-ES"/>
        </w:rPr>
      </w:pPr>
    </w:p>
    <w:p w:rsidR="00DE40A7" w:rsidRDefault="00DE40A7">
      <w:pPr>
        <w:kinsoku w:val="0"/>
        <w:overflowPunct w:val="0"/>
        <w:autoSpaceDE/>
        <w:autoSpaceDN/>
        <w:adjustRightInd/>
        <w:spacing w:before="484" w:line="187" w:lineRule="exact"/>
        <w:ind w:right="72"/>
        <w:jc w:val="right"/>
        <w:textAlignment w:val="baseline"/>
        <w:rPr>
          <w:rFonts w:ascii="Garamond" w:hAnsi="Garamond" w:cs="Garamond"/>
          <w:spacing w:val="-4"/>
          <w:sz w:val="18"/>
          <w:szCs w:val="18"/>
          <w:lang w:val="es-ES" w:eastAsia="es-ES"/>
        </w:rPr>
      </w:pPr>
    </w:p>
    <w:p w:rsidR="00000000" w:rsidRDefault="004D4BE1">
      <w:pPr>
        <w:kinsoku w:val="0"/>
        <w:overflowPunct w:val="0"/>
        <w:autoSpaceDE/>
        <w:autoSpaceDN/>
        <w:adjustRightInd/>
        <w:spacing w:line="187" w:lineRule="exact"/>
        <w:ind w:right="72"/>
        <w:jc w:val="right"/>
        <w:textAlignment w:val="baseline"/>
        <w:rPr>
          <w:rFonts w:ascii="Garamond" w:hAnsi="Garamond" w:cs="Garamond"/>
          <w:sz w:val="18"/>
          <w:szCs w:val="18"/>
          <w:lang w:val="es-ES" w:eastAsia="es-ES"/>
        </w:rPr>
      </w:pPr>
    </w:p>
    <w:p w:rsidR="00000000" w:rsidRDefault="004D4BE1">
      <w:pPr>
        <w:widowControl/>
        <w:rPr>
          <w:sz w:val="24"/>
          <w:szCs w:val="24"/>
        </w:rPr>
        <w:sectPr w:rsidR="00000000">
          <w:pgSz w:w="12134" w:h="15840"/>
          <w:pgMar w:top="1400" w:right="1461" w:bottom="324" w:left="1533" w:header="720" w:footer="720" w:gutter="0"/>
          <w:cols w:space="720"/>
          <w:noEndnote/>
        </w:sectPr>
      </w:pPr>
    </w:p>
    <w:p w:rsidR="00000000" w:rsidRDefault="004D4BE1">
      <w:pPr>
        <w:kinsoku w:val="0"/>
        <w:overflowPunct w:val="0"/>
        <w:autoSpaceDE/>
        <w:autoSpaceDN/>
        <w:adjustRightInd/>
        <w:spacing w:before="37" w:line="278" w:lineRule="exact"/>
        <w:ind w:left="72"/>
        <w:textAlignment w:val="baseline"/>
        <w:rPr>
          <w:b/>
          <w:bCs/>
          <w:spacing w:val="6"/>
          <w:sz w:val="23"/>
          <w:szCs w:val="23"/>
          <w:lang w:val="es-ES" w:eastAsia="es-ES"/>
        </w:rPr>
      </w:pPr>
      <w:r>
        <w:rPr>
          <w:b/>
          <w:bCs/>
          <w:spacing w:val="6"/>
          <w:sz w:val="23"/>
          <w:szCs w:val="23"/>
          <w:lang w:val="es-ES" w:eastAsia="es-ES"/>
        </w:rPr>
        <w:lastRenderedPageBreak/>
        <w:t>REDACTA EL JUEZ PORTUGUEZ MÉNDEZ,</w:t>
      </w:r>
    </w:p>
    <w:p w:rsidR="00000000" w:rsidRDefault="004D4BE1">
      <w:pPr>
        <w:kinsoku w:val="0"/>
        <w:overflowPunct w:val="0"/>
        <w:autoSpaceDE/>
        <w:autoSpaceDN/>
        <w:adjustRightInd/>
        <w:spacing w:before="574" w:line="257" w:lineRule="exact"/>
        <w:ind w:left="72"/>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4D4BE1">
      <w:pPr>
        <w:kinsoku w:val="0"/>
        <w:overflowPunct w:val="0"/>
        <w:autoSpaceDE/>
        <w:autoSpaceDN/>
        <w:adjustRightInd/>
        <w:spacing w:before="564" w:line="277" w:lineRule="exact"/>
        <w:ind w:left="72" w:right="144"/>
        <w:jc w:val="both"/>
        <w:textAlignment w:val="baseline"/>
        <w:rPr>
          <w:spacing w:val="9"/>
          <w:sz w:val="23"/>
          <w:szCs w:val="23"/>
          <w:lang w:val="es-ES" w:eastAsia="es-ES"/>
        </w:rPr>
      </w:pPr>
      <w:r>
        <w:rPr>
          <w:b/>
          <w:bCs/>
          <w:spacing w:val="9"/>
          <w:sz w:val="23"/>
          <w:szCs w:val="23"/>
          <w:lang w:val="es-ES" w:eastAsia="es-ES"/>
        </w:rPr>
        <w:t xml:space="preserve">ÚNICO.- </w:t>
      </w:r>
      <w:r>
        <w:rPr>
          <w:spacing w:val="9"/>
          <w:sz w:val="23"/>
          <w:szCs w:val="23"/>
          <w:lang w:val="es-ES" w:eastAsia="es-ES"/>
        </w:rPr>
        <w:t>El Tribunal Administrativo de Transporte es el competente para conocer y resolver el presente recurso de apelación de conformidad con el artí</w:t>
      </w:r>
      <w:r>
        <w:rPr>
          <w:spacing w:val="9"/>
          <w:sz w:val="23"/>
          <w:szCs w:val="23"/>
          <w:lang w:val="es-ES" w:eastAsia="es-ES"/>
        </w:rPr>
        <w:t>culo 22 de la Ley Reguladora del Servicio Público de Transporte Remunerado de Personas en Vehículos en la Modalidad de Taxi N.7969 del 22 de diciembre de 1999.</w:t>
      </w:r>
    </w:p>
    <w:p w:rsidR="00000000" w:rsidRDefault="004D4BE1">
      <w:pPr>
        <w:kinsoku w:val="0"/>
        <w:overflowPunct w:val="0"/>
        <w:autoSpaceDE/>
        <w:autoSpaceDN/>
        <w:adjustRightInd/>
        <w:spacing w:before="269" w:line="277" w:lineRule="exact"/>
        <w:ind w:left="72" w:right="144"/>
        <w:jc w:val="both"/>
        <w:textAlignment w:val="baseline"/>
        <w:rPr>
          <w:spacing w:val="2"/>
          <w:sz w:val="23"/>
          <w:szCs w:val="23"/>
          <w:lang w:val="es-ES" w:eastAsia="es-ES"/>
        </w:rPr>
      </w:pPr>
      <w:r>
        <w:rPr>
          <w:spacing w:val="2"/>
          <w:sz w:val="23"/>
          <w:szCs w:val="23"/>
          <w:lang w:val="es-ES" w:eastAsia="es-ES"/>
        </w:rPr>
        <w:t>Este Tribunal ha procedido a analizar el expediente administrativo con ocasión de la elevación d</w:t>
      </w:r>
      <w:r>
        <w:rPr>
          <w:spacing w:val="2"/>
          <w:sz w:val="23"/>
          <w:szCs w:val="23"/>
          <w:lang w:val="es-ES" w:eastAsia="es-ES"/>
        </w:rPr>
        <w:t xml:space="preserve">e la Apelación en Subsidio, e independientemente de lo esbozado por el Consejo de Transporte Público al rechazar por improcedente la Revocatoria planteada, y teniéndose demostrado en el expediente que la notificación del acuerdo impugnado al número </w:t>
      </w:r>
      <w:r w:rsidR="00DE40A7">
        <w:rPr>
          <w:spacing w:val="2"/>
          <w:sz w:val="23"/>
          <w:szCs w:val="23"/>
          <w:lang w:val="es-ES" w:eastAsia="es-ES"/>
        </w:rPr>
        <w:t>XXXX-XXXX</w:t>
      </w:r>
      <w:r>
        <w:rPr>
          <w:b/>
          <w:bCs/>
          <w:spacing w:val="2"/>
          <w:sz w:val="23"/>
          <w:szCs w:val="23"/>
          <w:lang w:val="es-ES" w:eastAsia="es-ES"/>
        </w:rPr>
        <w:t xml:space="preserve">, </w:t>
      </w:r>
      <w:r>
        <w:rPr>
          <w:spacing w:val="2"/>
          <w:sz w:val="23"/>
          <w:szCs w:val="23"/>
          <w:lang w:val="es-ES" w:eastAsia="es-ES"/>
        </w:rPr>
        <w:t xml:space="preserve">del cual se indicó en Acta de notificación visible a folio 20 del expediente, que no era un número valido, </w:t>
      </w:r>
      <w:r>
        <w:rPr>
          <w:b/>
          <w:bCs/>
          <w:spacing w:val="2"/>
          <w:sz w:val="23"/>
          <w:szCs w:val="23"/>
          <w:lang w:val="es-ES" w:eastAsia="es-ES"/>
        </w:rPr>
        <w:t xml:space="preserve">si resultó un medio de notificación </w:t>
      </w:r>
      <w:r>
        <w:rPr>
          <w:spacing w:val="2"/>
          <w:sz w:val="23"/>
          <w:szCs w:val="23"/>
          <w:lang w:val="es-ES" w:eastAsia="es-ES"/>
        </w:rPr>
        <w:t xml:space="preserve">para comunicar el </w:t>
      </w:r>
      <w:r>
        <w:rPr>
          <w:b/>
          <w:bCs/>
          <w:spacing w:val="2"/>
          <w:sz w:val="23"/>
          <w:szCs w:val="23"/>
          <w:lang w:val="es-ES" w:eastAsia="es-ES"/>
        </w:rPr>
        <w:t xml:space="preserve">7.8.10 de la Sesión Ordinaria 48-2014 del miércoles 4 de setiembre del 2014, </w:t>
      </w:r>
      <w:r>
        <w:rPr>
          <w:spacing w:val="2"/>
          <w:sz w:val="23"/>
          <w:szCs w:val="23"/>
          <w:lang w:val="es-ES" w:eastAsia="es-ES"/>
        </w:rPr>
        <w:t>como se observ</w:t>
      </w:r>
      <w:r>
        <w:rPr>
          <w:spacing w:val="2"/>
          <w:sz w:val="23"/>
          <w:szCs w:val="23"/>
          <w:lang w:val="es-ES" w:eastAsia="es-ES"/>
        </w:rPr>
        <w:t>a a folio 33 del expediente, este Tribunal tiene por presentado en tiempo el RECURSO DE APELACIÓN EN SUBSIDIO E INCIDENTE DE NULIDAD contra el Artículo 5.3 de Sesión Ordinaria 15-2013 del 21 de febrero del 2013.</w:t>
      </w:r>
    </w:p>
    <w:p w:rsidR="00000000" w:rsidRDefault="004D4BE1">
      <w:pPr>
        <w:kinsoku w:val="0"/>
        <w:overflowPunct w:val="0"/>
        <w:autoSpaceDE/>
        <w:autoSpaceDN/>
        <w:adjustRightInd/>
        <w:spacing w:before="277" w:line="277" w:lineRule="exact"/>
        <w:ind w:left="72" w:right="144"/>
        <w:jc w:val="both"/>
        <w:textAlignment w:val="baseline"/>
        <w:rPr>
          <w:sz w:val="23"/>
          <w:szCs w:val="23"/>
          <w:lang w:val="es-ES" w:eastAsia="es-ES"/>
        </w:rPr>
      </w:pPr>
      <w:r>
        <w:rPr>
          <w:sz w:val="23"/>
          <w:szCs w:val="23"/>
          <w:lang w:val="es-ES" w:eastAsia="es-ES"/>
        </w:rPr>
        <w:t xml:space="preserve">Del estudio del caso </w:t>
      </w:r>
      <w:r>
        <w:rPr>
          <w:b/>
          <w:bCs/>
          <w:sz w:val="23"/>
          <w:szCs w:val="23"/>
          <w:lang w:val="es-ES" w:eastAsia="es-ES"/>
        </w:rPr>
        <w:t xml:space="preserve">se </w:t>
      </w:r>
      <w:r>
        <w:rPr>
          <w:sz w:val="23"/>
          <w:szCs w:val="23"/>
          <w:lang w:val="es-ES" w:eastAsia="es-ES"/>
        </w:rPr>
        <w:t>ha verificado que el</w:t>
      </w:r>
      <w:r>
        <w:rPr>
          <w:sz w:val="23"/>
          <w:szCs w:val="23"/>
          <w:lang w:val="es-ES" w:eastAsia="es-ES"/>
        </w:rPr>
        <w:t xml:space="preserve"> Recurrente </w:t>
      </w:r>
      <w:r>
        <w:rPr>
          <w:i/>
          <w:iCs/>
          <w:sz w:val="23"/>
          <w:szCs w:val="23"/>
          <w:lang w:val="es-ES" w:eastAsia="es-ES"/>
        </w:rPr>
        <w:t xml:space="preserve">-en un final- </w:t>
      </w:r>
      <w:r>
        <w:rPr>
          <w:sz w:val="23"/>
          <w:szCs w:val="23"/>
          <w:lang w:val="es-ES" w:eastAsia="es-ES"/>
        </w:rPr>
        <w:t xml:space="preserve">resultó autorizado a explotar el permiso especial </w:t>
      </w:r>
      <w:r>
        <w:rPr>
          <w:sz w:val="17"/>
          <w:szCs w:val="17"/>
          <w:lang w:val="es-ES" w:eastAsia="es-ES"/>
        </w:rPr>
        <w:t xml:space="preserve">MODALIDAD TURISMO, </w:t>
      </w:r>
      <w:r>
        <w:rPr>
          <w:sz w:val="23"/>
          <w:szCs w:val="23"/>
          <w:lang w:val="es-ES" w:eastAsia="es-ES"/>
        </w:rPr>
        <w:t>por el solicitado, por lo cual su acción recursiva pasa a carecer de interés actual.</w:t>
      </w:r>
    </w:p>
    <w:p w:rsidR="00000000" w:rsidRDefault="004D4BE1">
      <w:pPr>
        <w:kinsoku w:val="0"/>
        <w:overflowPunct w:val="0"/>
        <w:autoSpaceDE/>
        <w:autoSpaceDN/>
        <w:adjustRightInd/>
        <w:spacing w:before="295" w:line="277" w:lineRule="exact"/>
        <w:ind w:left="72" w:right="144"/>
        <w:jc w:val="both"/>
        <w:textAlignment w:val="baseline"/>
        <w:rPr>
          <w:sz w:val="23"/>
          <w:szCs w:val="23"/>
          <w:lang w:val="es-ES" w:eastAsia="es-ES"/>
        </w:rPr>
      </w:pPr>
      <w:r>
        <w:rPr>
          <w:sz w:val="23"/>
          <w:szCs w:val="23"/>
          <w:lang w:val="es-ES" w:eastAsia="es-ES"/>
        </w:rPr>
        <w:t>Entendiendo este Tribunal, por interés actual, a efecto de la debida admisib</w:t>
      </w:r>
      <w:r>
        <w:rPr>
          <w:sz w:val="23"/>
          <w:szCs w:val="23"/>
          <w:lang w:val="es-ES" w:eastAsia="es-ES"/>
        </w:rPr>
        <w:t>ilidad y de legitimación en materia recursiva-administrativa, la existencia de una afectación, real, cierta y continuada (existente y sostenida en el tiempo), en contra de los derechos o de los intereses legítimos de un administrado, y siguiendo al autor y</w:t>
      </w:r>
      <w:r>
        <w:rPr>
          <w:sz w:val="23"/>
          <w:szCs w:val="23"/>
          <w:lang w:val="es-ES" w:eastAsia="es-ES"/>
        </w:rPr>
        <w:t xml:space="preserve"> conocido tratadista jurídico, José Chiovenda, que muy claramente resume lo anterior al indicar que:</w:t>
      </w:r>
    </w:p>
    <w:p w:rsidR="00000000" w:rsidRDefault="004D4BE1">
      <w:pPr>
        <w:kinsoku w:val="0"/>
        <w:overflowPunct w:val="0"/>
        <w:autoSpaceDE/>
        <w:autoSpaceDN/>
        <w:adjustRightInd/>
        <w:spacing w:before="319" w:line="257" w:lineRule="exact"/>
        <w:ind w:left="936" w:right="936"/>
        <w:jc w:val="both"/>
        <w:textAlignment w:val="baseline"/>
        <w:rPr>
          <w:spacing w:val="-3"/>
          <w:sz w:val="23"/>
          <w:szCs w:val="23"/>
          <w:lang w:val="es-ES" w:eastAsia="es-ES"/>
        </w:rPr>
      </w:pPr>
      <w:r>
        <w:rPr>
          <w:spacing w:val="-3"/>
          <w:sz w:val="23"/>
          <w:szCs w:val="23"/>
          <w:lang w:val="es-ES" w:eastAsia="es-ES"/>
        </w:rPr>
        <w:t>"(...) En todo proceso, existen los presupuestos de fondo, relacionados con el derecho tutelar de la pretensión, la legitimación en la causa y el interés a</w:t>
      </w:r>
      <w:r>
        <w:rPr>
          <w:spacing w:val="-3"/>
          <w:sz w:val="23"/>
          <w:szCs w:val="23"/>
          <w:lang w:val="es-ES" w:eastAsia="es-ES"/>
        </w:rPr>
        <w:t xml:space="preserve">ctual. Sí es entendido que una acción deviene en frustránea cuando falta cualquiera de los presupuestos de fondo: derecho real o personal, interés actual y legitimación. En las causas sometidas a su conocimiento, el Juez está obligado a realizar, incluso, </w:t>
      </w:r>
      <w:r>
        <w:rPr>
          <w:spacing w:val="-3"/>
          <w:sz w:val="23"/>
          <w:szCs w:val="23"/>
          <w:lang w:val="es-ES" w:eastAsia="es-ES"/>
        </w:rPr>
        <w:t xml:space="preserve">en forma oficiosa, los presupuestos de toda demanda, a saber: derecho, legitimación (activa o pasiva) y el interés actual (...)" (Chiovenda, José: </w:t>
      </w:r>
      <w:r>
        <w:rPr>
          <w:i/>
          <w:iCs/>
          <w:spacing w:val="-3"/>
          <w:sz w:val="23"/>
          <w:szCs w:val="23"/>
          <w:u w:val="single"/>
          <w:lang w:val="es-ES" w:eastAsia="es-ES"/>
        </w:rPr>
        <w:t>Principios de Derecho Procesal Civil,</w:t>
      </w:r>
      <w:r>
        <w:rPr>
          <w:spacing w:val="-3"/>
          <w:sz w:val="23"/>
          <w:szCs w:val="23"/>
          <w:lang w:val="es-ES" w:eastAsia="es-ES"/>
        </w:rPr>
        <w:t xml:space="preserve"> Tomo 1, Pág. 178).</w:t>
      </w:r>
    </w:p>
    <w:p w:rsidR="00000000" w:rsidRDefault="004D4BE1">
      <w:pPr>
        <w:kinsoku w:val="0"/>
        <w:overflowPunct w:val="0"/>
        <w:autoSpaceDE/>
        <w:autoSpaceDN/>
        <w:adjustRightInd/>
        <w:spacing w:before="288" w:line="277" w:lineRule="exact"/>
        <w:ind w:left="72" w:right="144"/>
        <w:jc w:val="both"/>
        <w:textAlignment w:val="baseline"/>
        <w:rPr>
          <w:spacing w:val="4"/>
          <w:sz w:val="23"/>
          <w:szCs w:val="23"/>
          <w:lang w:val="es-ES" w:eastAsia="es-ES"/>
        </w:rPr>
      </w:pPr>
      <w:r>
        <w:rPr>
          <w:spacing w:val="4"/>
          <w:sz w:val="23"/>
          <w:szCs w:val="23"/>
          <w:lang w:val="es-ES" w:eastAsia="es-ES"/>
        </w:rPr>
        <w:t>En razón de</w:t>
      </w:r>
      <w:r>
        <w:rPr>
          <w:spacing w:val="4"/>
          <w:sz w:val="23"/>
          <w:szCs w:val="23"/>
          <w:lang w:val="es-ES" w:eastAsia="es-ES"/>
        </w:rPr>
        <w:t xml:space="preserve"> lo anterior y no siendo menester referirse a los términos apuntados en la acción recursiva presentada, y dado que en la especie la posible afectación alegada por el recurrente se ha solventado o satisfecho, el referido interés actual ha desaparecido y, </w:t>
      </w:r>
      <w:r>
        <w:rPr>
          <w:i/>
          <w:iCs/>
          <w:spacing w:val="4"/>
          <w:sz w:val="23"/>
          <w:szCs w:val="23"/>
          <w:lang w:val="es-ES" w:eastAsia="es-ES"/>
        </w:rPr>
        <w:t>pe</w:t>
      </w:r>
      <w:r>
        <w:rPr>
          <w:i/>
          <w:iCs/>
          <w:spacing w:val="4"/>
          <w:sz w:val="23"/>
          <w:szCs w:val="23"/>
          <w:lang w:val="es-ES" w:eastAsia="es-ES"/>
        </w:rPr>
        <w:t xml:space="preserve">r se, </w:t>
      </w:r>
      <w:r>
        <w:rPr>
          <w:spacing w:val="4"/>
          <w:sz w:val="23"/>
          <w:szCs w:val="23"/>
          <w:lang w:val="es-ES" w:eastAsia="es-ES"/>
        </w:rPr>
        <w:t>procede lo determinado por este medio, esto es, el rechazo del Recurso de Revocatoria con Apelación en Subsidio, en contra del Artículo 5.3 de la Sesión Ordinaria 15-2013 del 21 de febrero del 2013, y su consecuente archivo.</w:t>
      </w:r>
    </w:p>
    <w:p w:rsidR="00000000" w:rsidRDefault="004D4BE1">
      <w:pPr>
        <w:kinsoku w:val="0"/>
        <w:overflowPunct w:val="0"/>
        <w:autoSpaceDE/>
        <w:autoSpaceDN/>
        <w:adjustRightInd/>
        <w:spacing w:before="381" w:line="191" w:lineRule="exact"/>
        <w:ind w:left="72" w:right="144"/>
        <w:jc w:val="right"/>
        <w:textAlignment w:val="baseline"/>
        <w:rPr>
          <w:spacing w:val="-5"/>
          <w:sz w:val="17"/>
          <w:szCs w:val="17"/>
          <w:lang w:val="es-ES" w:eastAsia="es-ES"/>
        </w:rPr>
      </w:pPr>
    </w:p>
    <w:p w:rsidR="00000000" w:rsidRDefault="004D4BE1">
      <w:pPr>
        <w:kinsoku w:val="0"/>
        <w:overflowPunct w:val="0"/>
        <w:autoSpaceDE/>
        <w:autoSpaceDN/>
        <w:adjustRightInd/>
        <w:spacing w:line="189" w:lineRule="exact"/>
        <w:ind w:left="72" w:right="144"/>
        <w:jc w:val="right"/>
        <w:textAlignment w:val="baseline"/>
        <w:rPr>
          <w:sz w:val="17"/>
          <w:szCs w:val="17"/>
          <w:lang w:val="es-ES" w:eastAsia="es-ES"/>
        </w:rPr>
      </w:pPr>
    </w:p>
    <w:p w:rsidR="00000000" w:rsidRDefault="004D4BE1">
      <w:pPr>
        <w:widowControl/>
        <w:rPr>
          <w:sz w:val="24"/>
          <w:szCs w:val="24"/>
        </w:rPr>
        <w:sectPr w:rsidR="00000000">
          <w:pgSz w:w="12134" w:h="15840"/>
          <w:pgMar w:top="1360" w:right="1437" w:bottom="344" w:left="1557" w:header="720" w:footer="720" w:gutter="0"/>
          <w:cols w:space="720"/>
          <w:noEndnote/>
        </w:sectPr>
      </w:pPr>
    </w:p>
    <w:p w:rsidR="00000000" w:rsidRPr="00DE40A7" w:rsidRDefault="004D4BE1">
      <w:pPr>
        <w:kinsoku w:val="0"/>
        <w:overflowPunct w:val="0"/>
        <w:autoSpaceDE/>
        <w:autoSpaceDN/>
        <w:adjustRightInd/>
        <w:spacing w:after="553" w:line="259" w:lineRule="exact"/>
        <w:jc w:val="center"/>
        <w:textAlignment w:val="baseline"/>
        <w:rPr>
          <w:b/>
          <w:spacing w:val="4"/>
          <w:sz w:val="23"/>
          <w:szCs w:val="23"/>
          <w:lang w:val="es-ES" w:eastAsia="es-ES"/>
        </w:rPr>
      </w:pPr>
      <w:r w:rsidRPr="00DE40A7">
        <w:rPr>
          <w:b/>
          <w:spacing w:val="4"/>
          <w:sz w:val="23"/>
          <w:szCs w:val="23"/>
          <w:lang w:val="es-ES" w:eastAsia="es-ES"/>
        </w:rPr>
        <w:lastRenderedPageBreak/>
        <w:t>POR TANTO</w:t>
      </w:r>
    </w:p>
    <w:p w:rsidR="00000000" w:rsidRDefault="004D4BE1">
      <w:pPr>
        <w:widowControl/>
        <w:rPr>
          <w:sz w:val="24"/>
          <w:szCs w:val="24"/>
        </w:rPr>
        <w:sectPr w:rsidR="00000000">
          <w:pgSz w:w="12134" w:h="15840"/>
          <w:pgMar w:top="1420" w:right="5390" w:bottom="364" w:left="5304" w:header="720" w:footer="720" w:gutter="0"/>
          <w:cols w:space="720"/>
          <w:noEndnote/>
        </w:sectPr>
      </w:pPr>
    </w:p>
    <w:p w:rsidR="00000000" w:rsidRDefault="00DE40A7">
      <w:pPr>
        <w:tabs>
          <w:tab w:val="right" w:pos="8856"/>
        </w:tabs>
        <w:kinsoku w:val="0"/>
        <w:overflowPunct w:val="0"/>
        <w:autoSpaceDE/>
        <w:autoSpaceDN/>
        <w:adjustRightInd/>
        <w:spacing w:line="281" w:lineRule="exact"/>
        <w:jc w:val="both"/>
        <w:textAlignment w:val="baseline"/>
        <w:rPr>
          <w:sz w:val="23"/>
          <w:szCs w:val="23"/>
          <w:lang w:val="es-ES" w:eastAsia="es-ES"/>
        </w:rPr>
      </w:pPr>
      <w:r w:rsidRPr="00DE40A7">
        <w:rPr>
          <w:b/>
          <w:sz w:val="23"/>
          <w:szCs w:val="23"/>
          <w:lang w:val="es-ES" w:eastAsia="es-ES"/>
        </w:rPr>
        <w:t>I</w:t>
      </w:r>
      <w:r w:rsidR="004D4BE1" w:rsidRPr="00DE40A7">
        <w:rPr>
          <w:b/>
          <w:sz w:val="23"/>
          <w:szCs w:val="23"/>
          <w:lang w:val="es-ES" w:eastAsia="es-ES"/>
        </w:rPr>
        <w:t>.</w:t>
      </w:r>
      <w:r>
        <w:rPr>
          <w:b/>
          <w:sz w:val="23"/>
          <w:szCs w:val="23"/>
          <w:lang w:val="es-ES" w:eastAsia="es-ES"/>
        </w:rPr>
        <w:t>-</w:t>
      </w:r>
      <w:r w:rsidR="004D4BE1">
        <w:rPr>
          <w:sz w:val="23"/>
          <w:szCs w:val="23"/>
          <w:lang w:val="es-ES" w:eastAsia="es-ES"/>
        </w:rPr>
        <w:tab/>
        <w:t xml:space="preserve">Se dispone rechazar por </w:t>
      </w:r>
      <w:r w:rsidR="004D4BE1" w:rsidRPr="00DE40A7">
        <w:rPr>
          <w:b/>
          <w:sz w:val="23"/>
          <w:szCs w:val="23"/>
          <w:lang w:val="es-ES" w:eastAsia="es-ES"/>
        </w:rPr>
        <w:t>FALTA DE INTERÉS ACTUAL</w:t>
      </w:r>
      <w:r w:rsidR="004D4BE1">
        <w:rPr>
          <w:sz w:val="23"/>
          <w:szCs w:val="23"/>
          <w:lang w:val="es-ES" w:eastAsia="es-ES"/>
        </w:rPr>
        <w:t>, y se ordena el archivo del</w:t>
      </w:r>
    </w:p>
    <w:p w:rsidR="00000000" w:rsidRDefault="004D4BE1">
      <w:pPr>
        <w:kinsoku w:val="0"/>
        <w:overflowPunct w:val="0"/>
        <w:autoSpaceDE/>
        <w:autoSpaceDN/>
        <w:adjustRightInd/>
        <w:spacing w:line="282" w:lineRule="exact"/>
        <w:jc w:val="both"/>
        <w:textAlignment w:val="baseline"/>
        <w:rPr>
          <w:sz w:val="23"/>
          <w:szCs w:val="23"/>
          <w:lang w:val="es-ES" w:eastAsia="es-ES"/>
        </w:rPr>
      </w:pPr>
      <w:r w:rsidRPr="00DE40A7">
        <w:rPr>
          <w:b/>
          <w:sz w:val="23"/>
          <w:szCs w:val="23"/>
          <w:lang w:val="es-ES" w:eastAsia="es-ES"/>
        </w:rPr>
        <w:t>RECURSO DE APELACIÓN EN SUBSIDIO E INCIDENTE DE NULIDAD</w:t>
      </w:r>
      <w:r>
        <w:rPr>
          <w:sz w:val="23"/>
          <w:szCs w:val="23"/>
          <w:lang w:val="es-ES" w:eastAsia="es-ES"/>
        </w:rPr>
        <w:t xml:space="preserve">, interpuesto por </w:t>
      </w:r>
      <w:r w:rsidRPr="00DE40A7">
        <w:rPr>
          <w:b/>
          <w:sz w:val="23"/>
          <w:szCs w:val="23"/>
          <w:lang w:val="es-ES" w:eastAsia="es-ES"/>
        </w:rPr>
        <w:t>M</w:t>
      </w:r>
      <w:r w:rsidR="00DE40A7">
        <w:rPr>
          <w:b/>
          <w:sz w:val="23"/>
          <w:szCs w:val="23"/>
          <w:lang w:val="es-ES" w:eastAsia="es-ES"/>
        </w:rPr>
        <w:t>.A.M.</w:t>
      </w:r>
      <w:r>
        <w:rPr>
          <w:sz w:val="23"/>
          <w:szCs w:val="23"/>
          <w:lang w:val="es-ES" w:eastAsia="es-ES"/>
        </w:rPr>
        <w:t xml:space="preserve">, cédula de identidad </w:t>
      </w:r>
      <w:r w:rsidR="00DE40A7">
        <w:rPr>
          <w:sz w:val="23"/>
          <w:szCs w:val="23"/>
          <w:lang w:val="es-ES" w:eastAsia="es-ES"/>
        </w:rPr>
        <w:t>…</w:t>
      </w:r>
      <w:r>
        <w:rPr>
          <w:sz w:val="23"/>
          <w:szCs w:val="23"/>
          <w:lang w:val="es-ES" w:eastAsia="es-ES"/>
        </w:rPr>
        <w:t xml:space="preserve"> en</w:t>
      </w:r>
      <w:r>
        <w:rPr>
          <w:sz w:val="23"/>
          <w:szCs w:val="23"/>
          <w:lang w:val="es-ES" w:eastAsia="es-ES"/>
        </w:rPr>
        <w:t xml:space="preserve"> su carácter personal </w:t>
      </w:r>
      <w:r>
        <w:rPr>
          <w:i/>
          <w:iCs/>
          <w:sz w:val="23"/>
          <w:szCs w:val="23"/>
          <w:lang w:val="es-ES" w:eastAsia="es-ES"/>
        </w:rPr>
        <w:t xml:space="preserve">y </w:t>
      </w:r>
      <w:r>
        <w:rPr>
          <w:sz w:val="23"/>
          <w:szCs w:val="23"/>
          <w:lang w:val="es-ES" w:eastAsia="es-ES"/>
        </w:rPr>
        <w:t xml:space="preserve">como empresario turístico, nombre comercial </w:t>
      </w:r>
      <w:r w:rsidRPr="00DE40A7">
        <w:rPr>
          <w:b/>
          <w:sz w:val="23"/>
          <w:szCs w:val="23"/>
          <w:lang w:val="es-ES" w:eastAsia="es-ES"/>
        </w:rPr>
        <w:t>T</w:t>
      </w:r>
      <w:r w:rsidR="00DE40A7">
        <w:rPr>
          <w:b/>
          <w:sz w:val="23"/>
          <w:szCs w:val="23"/>
          <w:lang w:val="es-ES" w:eastAsia="es-ES"/>
        </w:rPr>
        <w:t>.A.</w:t>
      </w:r>
      <w:r>
        <w:rPr>
          <w:sz w:val="23"/>
          <w:szCs w:val="23"/>
          <w:lang w:val="es-ES" w:eastAsia="es-ES"/>
        </w:rPr>
        <w:t>, en contra del Artículo 5.3 de la Sesión Ordinaria 15-2013 del 21 de febrero del 2013, emitida por la Junta Directiva del Consejo de Transporte Público.</w:t>
      </w:r>
    </w:p>
    <w:p w:rsidR="00000000" w:rsidRPr="00DE40A7" w:rsidRDefault="00DE40A7">
      <w:pPr>
        <w:kinsoku w:val="0"/>
        <w:overflowPunct w:val="0"/>
        <w:autoSpaceDE/>
        <w:autoSpaceDN/>
        <w:adjustRightInd/>
        <w:spacing w:before="270" w:after="734" w:line="281" w:lineRule="exact"/>
        <w:jc w:val="both"/>
        <w:textAlignment w:val="baseline"/>
        <w:rPr>
          <w:b/>
          <w:sz w:val="24"/>
          <w:szCs w:val="24"/>
          <w:lang w:eastAsia="en-US"/>
        </w:rPr>
      </w:pPr>
      <w:r w:rsidRPr="00DE40A7">
        <w:rPr>
          <w:b/>
          <w:sz w:val="23"/>
          <w:szCs w:val="23"/>
          <w:lang w:val="es-ES" w:eastAsia="es-ES"/>
        </w:rPr>
        <w:t>II</w:t>
      </w:r>
      <w:r w:rsidR="004D4BE1" w:rsidRPr="00DE40A7">
        <w:rPr>
          <w:b/>
          <w:sz w:val="23"/>
          <w:szCs w:val="23"/>
          <w:lang w:val="es-ES" w:eastAsia="es-ES"/>
        </w:rPr>
        <w:t>.</w:t>
      </w:r>
      <w:r w:rsidRPr="00DE40A7">
        <w:rPr>
          <w:b/>
          <w:sz w:val="23"/>
          <w:szCs w:val="23"/>
          <w:lang w:val="es-ES" w:eastAsia="es-ES"/>
        </w:rPr>
        <w:t>-</w:t>
      </w:r>
      <w:r>
        <w:rPr>
          <w:sz w:val="23"/>
          <w:szCs w:val="23"/>
          <w:lang w:val="es-ES" w:eastAsia="es-ES"/>
        </w:rPr>
        <w:t xml:space="preserve"> </w:t>
      </w:r>
      <w:r w:rsidR="004D4BE1">
        <w:rPr>
          <w:sz w:val="23"/>
          <w:szCs w:val="23"/>
          <w:lang w:val="es-ES" w:eastAsia="es-ES"/>
        </w:rPr>
        <w:t xml:space="preserve"> Por carecer </w:t>
      </w:r>
      <w:r w:rsidR="004D4BE1">
        <w:rPr>
          <w:sz w:val="23"/>
          <w:szCs w:val="23"/>
          <w:lang w:val="es-ES" w:eastAsia="es-ES"/>
        </w:rPr>
        <w:t xml:space="preserve">la presente resolución de ulterior recurso en sede administrativa, de conformidad con los artículos 16 y 22, inciso c), de la Ley 7969, </w:t>
      </w:r>
      <w:r w:rsidR="004D4BE1">
        <w:rPr>
          <w:i/>
          <w:iCs/>
          <w:sz w:val="23"/>
          <w:szCs w:val="23"/>
          <w:lang w:val="es-ES" w:eastAsia="es-ES"/>
        </w:rPr>
        <w:t xml:space="preserve">se da por agotada la vía administrativa. </w:t>
      </w:r>
      <w:r w:rsidR="004D4BE1" w:rsidRPr="00DE40A7">
        <w:rPr>
          <w:b/>
          <w:sz w:val="23"/>
          <w:szCs w:val="23"/>
          <w:lang w:val="es-ES" w:eastAsia="es-ES"/>
        </w:rPr>
        <w:t>NOTIFÍQUESE.</w:t>
      </w:r>
      <w:r w:rsidR="004D4BE1" w:rsidRPr="00DE40A7">
        <w:rPr>
          <w:b/>
          <w:sz w:val="23"/>
          <w:szCs w:val="23"/>
          <w:lang w:val="es-ES" w:eastAsia="es-ES"/>
        </w:rPr>
        <w:noBreakHyphen/>
      </w:r>
    </w:p>
    <w:p w:rsidR="00000000" w:rsidRDefault="004D4BE1">
      <w:pPr>
        <w:widowControl/>
        <w:rPr>
          <w:sz w:val="24"/>
          <w:szCs w:val="24"/>
        </w:rPr>
      </w:pPr>
    </w:p>
    <w:p w:rsidR="00DE40A7" w:rsidRDefault="00DE40A7">
      <w:pPr>
        <w:widowControl/>
        <w:rPr>
          <w:sz w:val="24"/>
          <w:szCs w:val="24"/>
        </w:rPr>
      </w:pPr>
    </w:p>
    <w:p w:rsidR="00DE40A7" w:rsidRPr="004B62B5" w:rsidRDefault="00DE40A7" w:rsidP="00DE40A7">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DE40A7" w:rsidRPr="004B62B5" w:rsidRDefault="00DE40A7" w:rsidP="00DE40A7">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DE40A7" w:rsidRDefault="00DE40A7" w:rsidP="00DE40A7">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DE40A7" w:rsidRDefault="00DE40A7">
      <w:pPr>
        <w:widowControl/>
        <w:rPr>
          <w:sz w:val="24"/>
          <w:szCs w:val="24"/>
        </w:rPr>
        <w:sectPr w:rsidR="00DE40A7">
          <w:type w:val="continuous"/>
          <w:pgSz w:w="12134" w:h="15840"/>
          <w:pgMar w:top="1420" w:right="1564" w:bottom="364" w:left="1670" w:header="720" w:footer="720" w:gutter="0"/>
          <w:cols w:space="720"/>
          <w:noEndnote/>
        </w:sectPr>
      </w:pPr>
      <w:bookmarkStart w:id="0" w:name="_GoBack"/>
      <w:bookmarkEnd w:id="0"/>
    </w:p>
    <w:p w:rsidR="00000000" w:rsidRDefault="004D4BE1">
      <w:pPr>
        <w:widowControl/>
        <w:rPr>
          <w:sz w:val="24"/>
          <w:szCs w:val="24"/>
        </w:rPr>
        <w:sectPr w:rsidR="00000000">
          <w:type w:val="continuous"/>
          <w:pgSz w:w="12134" w:h="15840"/>
          <w:pgMar w:top="1420" w:right="1766" w:bottom="364" w:left="4248" w:header="720" w:footer="720" w:gutter="0"/>
          <w:cols w:space="720"/>
          <w:noEndnote/>
        </w:sectPr>
      </w:pPr>
    </w:p>
    <w:p w:rsidR="004D4BE1" w:rsidRDefault="004D4BE1" w:rsidP="00DE40A7">
      <w:pPr>
        <w:kinsoku w:val="0"/>
        <w:overflowPunct w:val="0"/>
        <w:autoSpaceDE/>
        <w:autoSpaceDN/>
        <w:adjustRightInd/>
        <w:spacing w:before="1" w:line="182" w:lineRule="exact"/>
        <w:textAlignment w:val="baseline"/>
        <w:rPr>
          <w:sz w:val="16"/>
          <w:szCs w:val="16"/>
          <w:lang w:val="es-ES" w:eastAsia="es-ES"/>
        </w:rPr>
      </w:pPr>
    </w:p>
    <w:sectPr w:rsidR="004D4BE1">
      <w:type w:val="continuous"/>
      <w:pgSz w:w="12134" w:h="15840"/>
      <w:pgMar w:top="1420" w:right="1512" w:bottom="364" w:left="89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A7"/>
    <w:rsid w:val="004D4BE1"/>
    <w:rsid w:val="00DE40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909F7"/>
  <w14:defaultImageDpi w14:val="0"/>
  <w15:docId w15:val="{B585F0DA-2A6B-4F74-A413-ABFE67D2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E40A7"/>
    <w:rPr>
      <w:lang w:val="es-CR"/>
    </w:rPr>
  </w:style>
  <w:style w:type="character" w:customStyle="1" w:styleId="CharacterStyle1">
    <w:name w:val="Character Style 1"/>
    <w:uiPriority w:val="99"/>
    <w:rsid w:val="00DE40A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7261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2016-05-10T16:33:00Z</dcterms:created>
  <dcterms:modified xsi:type="dcterms:W3CDTF">2016-05-10T16:33:00Z</dcterms:modified>
</cp:coreProperties>
</file>