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1033C">
      <w:pPr>
        <w:kinsoku w:val="0"/>
        <w:overflowPunct w:val="0"/>
        <w:autoSpaceDE/>
        <w:autoSpaceDN/>
        <w:adjustRightInd/>
        <w:spacing w:line="240" w:lineRule="exact"/>
        <w:ind w:left="72" w:right="72"/>
        <w:jc w:val="center"/>
        <w:textAlignment w:val="baseline"/>
        <w:rPr>
          <w:b/>
          <w:bCs/>
          <w:spacing w:val="10"/>
          <w:sz w:val="22"/>
          <w:szCs w:val="22"/>
          <w:lang w:val="es-ES" w:eastAsia="es-ES"/>
        </w:rPr>
      </w:pPr>
      <w:r>
        <w:rPr>
          <w:b/>
          <w:bCs/>
          <w:spacing w:val="10"/>
          <w:sz w:val="22"/>
          <w:szCs w:val="22"/>
          <w:lang w:val="es-ES" w:eastAsia="es-ES"/>
        </w:rPr>
        <w:t>RESOLUCION N° TAT-2673-2015</w:t>
      </w:r>
    </w:p>
    <w:p w:rsidR="00000000" w:rsidRDefault="00B1033C">
      <w:pPr>
        <w:kinsoku w:val="0"/>
        <w:overflowPunct w:val="0"/>
        <w:autoSpaceDE/>
        <w:autoSpaceDN/>
        <w:adjustRightInd/>
        <w:spacing w:before="650" w:line="317" w:lineRule="exact"/>
        <w:ind w:left="72" w:right="72"/>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doce horas con veinte minutos del treinta y uno de julio del dos mil quince.</w:t>
      </w:r>
    </w:p>
    <w:p w:rsidR="00000000" w:rsidRDefault="00B1033C">
      <w:pPr>
        <w:kinsoku w:val="0"/>
        <w:overflowPunct w:val="0"/>
        <w:autoSpaceDE/>
        <w:autoSpaceDN/>
        <w:adjustRightInd/>
        <w:spacing w:before="663" w:line="316" w:lineRule="exact"/>
        <w:ind w:left="72" w:right="72"/>
        <w:jc w:val="both"/>
        <w:textAlignment w:val="baseline"/>
        <w:rPr>
          <w:b/>
          <w:bCs/>
          <w:sz w:val="22"/>
          <w:szCs w:val="22"/>
          <w:lang w:val="es-ES" w:eastAsia="es-ES"/>
        </w:rPr>
      </w:pPr>
      <w:r>
        <w:rPr>
          <w:sz w:val="22"/>
          <w:szCs w:val="22"/>
          <w:lang w:val="es-ES" w:eastAsia="es-ES"/>
        </w:rPr>
        <w:t xml:space="preserve">Se conoce </w:t>
      </w:r>
      <w:r>
        <w:rPr>
          <w:b/>
          <w:bCs/>
          <w:sz w:val="22"/>
          <w:szCs w:val="22"/>
          <w:lang w:val="es-ES" w:eastAsia="es-ES"/>
        </w:rPr>
        <w:t xml:space="preserve">RECURSO </w:t>
      </w:r>
      <w:r>
        <w:rPr>
          <w:b/>
          <w:bCs/>
          <w:sz w:val="19"/>
          <w:szCs w:val="19"/>
          <w:lang w:val="es-ES" w:eastAsia="es-ES"/>
        </w:rPr>
        <w:t xml:space="preserve">DE REVOCATORIA </w:t>
      </w:r>
      <w:r>
        <w:rPr>
          <w:sz w:val="22"/>
          <w:szCs w:val="22"/>
          <w:lang w:val="es-ES" w:eastAsia="es-ES"/>
        </w:rPr>
        <w:t xml:space="preserve">con </w:t>
      </w:r>
      <w:r>
        <w:rPr>
          <w:b/>
          <w:bCs/>
          <w:sz w:val="19"/>
          <w:szCs w:val="19"/>
          <w:lang w:val="es-ES" w:eastAsia="es-ES"/>
        </w:rPr>
        <w:t xml:space="preserve">APELACIÓN EN SUBSIDIO, </w:t>
      </w:r>
      <w:r>
        <w:rPr>
          <w:sz w:val="22"/>
          <w:szCs w:val="22"/>
          <w:lang w:val="es-ES" w:eastAsia="es-ES"/>
        </w:rPr>
        <w:t xml:space="preserve">presentado por </w:t>
      </w:r>
      <w:r>
        <w:rPr>
          <w:b/>
          <w:bCs/>
          <w:sz w:val="22"/>
          <w:szCs w:val="22"/>
          <w:lang w:val="es-ES" w:eastAsia="es-ES"/>
        </w:rPr>
        <w:t>G</w:t>
      </w:r>
      <w:r w:rsidR="00AD10C7">
        <w:rPr>
          <w:b/>
          <w:bCs/>
          <w:sz w:val="22"/>
          <w:szCs w:val="22"/>
          <w:lang w:val="es-ES" w:eastAsia="es-ES"/>
        </w:rPr>
        <w:t>.Y.R.F.</w:t>
      </w:r>
      <w:r>
        <w:rPr>
          <w:b/>
          <w:bCs/>
          <w:sz w:val="22"/>
          <w:szCs w:val="22"/>
          <w:lang w:val="es-ES" w:eastAsia="es-ES"/>
        </w:rPr>
        <w:t xml:space="preserve">, </w:t>
      </w:r>
      <w:r>
        <w:rPr>
          <w:sz w:val="22"/>
          <w:szCs w:val="22"/>
          <w:lang w:val="es-ES" w:eastAsia="es-ES"/>
        </w:rPr>
        <w:t xml:space="preserve">cédula de identidad número 6-146-011, contra el </w:t>
      </w:r>
      <w:r>
        <w:rPr>
          <w:b/>
          <w:bCs/>
          <w:sz w:val="22"/>
          <w:szCs w:val="22"/>
          <w:lang w:val="es-ES" w:eastAsia="es-ES"/>
        </w:rPr>
        <w:t>Artículo 7</w:t>
      </w:r>
      <w:r>
        <w:rPr>
          <w:b/>
          <w:bCs/>
          <w:sz w:val="22"/>
          <w:szCs w:val="22"/>
          <w:lang w:val="es-ES" w:eastAsia="es-ES"/>
        </w:rPr>
        <w:t xml:space="preserve">.18.15 de la Sesión Ordinaria 59-2014 del 15 de octubre del 2014, </w:t>
      </w:r>
      <w:r>
        <w:rPr>
          <w:sz w:val="22"/>
          <w:szCs w:val="22"/>
          <w:lang w:val="es-ES" w:eastAsia="es-ES"/>
        </w:rPr>
        <w:t xml:space="preserve">adoptado por la Junta Directiva del Consejo de Transporte Público, tramitado en este Despacho bajo el </w:t>
      </w:r>
      <w:r>
        <w:rPr>
          <w:b/>
          <w:bCs/>
          <w:sz w:val="22"/>
          <w:szCs w:val="22"/>
          <w:lang w:val="es-ES" w:eastAsia="es-ES"/>
        </w:rPr>
        <w:t xml:space="preserve">Expediente Administrativo N° </w:t>
      </w:r>
      <w:r w:rsidR="00AD10C7">
        <w:rPr>
          <w:b/>
          <w:bCs/>
          <w:sz w:val="22"/>
          <w:szCs w:val="22"/>
          <w:lang w:val="es-ES" w:eastAsia="es-ES"/>
        </w:rPr>
        <w:t xml:space="preserve"> </w:t>
      </w:r>
      <w:bookmarkStart w:id="0" w:name="_GoBack"/>
      <w:bookmarkEnd w:id="0"/>
      <w:r>
        <w:rPr>
          <w:b/>
          <w:bCs/>
          <w:sz w:val="22"/>
          <w:szCs w:val="22"/>
          <w:lang w:val="es-ES" w:eastAsia="es-ES"/>
        </w:rPr>
        <w:t>TAT-246-15.</w:t>
      </w:r>
    </w:p>
    <w:p w:rsidR="00000000" w:rsidRDefault="00B1033C">
      <w:pPr>
        <w:kinsoku w:val="0"/>
        <w:overflowPunct w:val="0"/>
        <w:autoSpaceDE/>
        <w:autoSpaceDN/>
        <w:adjustRightInd/>
        <w:spacing w:before="707" w:line="256" w:lineRule="exact"/>
        <w:ind w:left="72" w:right="72"/>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B1033C">
      <w:pPr>
        <w:kinsoku w:val="0"/>
        <w:overflowPunct w:val="0"/>
        <w:autoSpaceDE/>
        <w:autoSpaceDN/>
        <w:adjustRightInd/>
        <w:spacing w:before="655" w:line="320" w:lineRule="exact"/>
        <w:ind w:left="72" w:right="72"/>
        <w:jc w:val="both"/>
        <w:textAlignment w:val="baseline"/>
        <w:rPr>
          <w:spacing w:val="9"/>
          <w:sz w:val="22"/>
          <w:szCs w:val="22"/>
          <w:lang w:val="es-ES" w:eastAsia="es-ES"/>
        </w:rPr>
      </w:pPr>
      <w:r>
        <w:rPr>
          <w:b/>
          <w:bCs/>
          <w:spacing w:val="9"/>
          <w:sz w:val="22"/>
          <w:szCs w:val="22"/>
          <w:lang w:val="es-ES" w:eastAsia="es-ES"/>
        </w:rPr>
        <w:t xml:space="preserve">PRIMERO.- </w:t>
      </w:r>
      <w:r>
        <w:rPr>
          <w:spacing w:val="9"/>
          <w:sz w:val="22"/>
          <w:szCs w:val="22"/>
          <w:lang w:val="es-ES" w:eastAsia="es-ES"/>
        </w:rPr>
        <w:t>La Junta Directiva del Con</w:t>
      </w:r>
      <w:r>
        <w:rPr>
          <w:spacing w:val="9"/>
          <w:sz w:val="22"/>
          <w:szCs w:val="22"/>
          <w:lang w:val="es-ES" w:eastAsia="es-ES"/>
        </w:rPr>
        <w:t xml:space="preserve">sejo de Transporte Público, en el </w:t>
      </w:r>
      <w:r>
        <w:rPr>
          <w:b/>
          <w:bCs/>
          <w:spacing w:val="9"/>
          <w:sz w:val="22"/>
          <w:szCs w:val="22"/>
          <w:lang w:val="es-ES" w:eastAsia="es-ES"/>
        </w:rPr>
        <w:t xml:space="preserve">Artículo 7.18.15 de la </w:t>
      </w:r>
      <w:r>
        <w:rPr>
          <w:spacing w:val="9"/>
          <w:sz w:val="22"/>
          <w:szCs w:val="22"/>
          <w:lang w:val="es-ES" w:eastAsia="es-ES"/>
        </w:rPr>
        <w:t xml:space="preserve">Sesión </w:t>
      </w:r>
      <w:r>
        <w:rPr>
          <w:b/>
          <w:bCs/>
          <w:spacing w:val="9"/>
          <w:sz w:val="22"/>
          <w:szCs w:val="22"/>
          <w:lang w:val="es-ES" w:eastAsia="es-ES"/>
        </w:rPr>
        <w:t xml:space="preserve">Ordinaria 59-2014 del 15 de octubre del 2014, </w:t>
      </w:r>
      <w:r>
        <w:rPr>
          <w:spacing w:val="9"/>
          <w:sz w:val="22"/>
          <w:szCs w:val="22"/>
          <w:lang w:val="es-ES" w:eastAsia="es-ES"/>
        </w:rPr>
        <w:t xml:space="preserve">analiza el informe </w:t>
      </w:r>
      <w:r>
        <w:rPr>
          <w:b/>
          <w:bCs/>
          <w:spacing w:val="9"/>
          <w:sz w:val="22"/>
          <w:szCs w:val="22"/>
          <w:lang w:val="es-ES" w:eastAsia="es-ES"/>
        </w:rPr>
        <w:t xml:space="preserve">DAJ 2014-002456 del 19 de junio del 2014, </w:t>
      </w:r>
      <w:r>
        <w:rPr>
          <w:spacing w:val="9"/>
          <w:sz w:val="22"/>
          <w:szCs w:val="22"/>
          <w:lang w:val="es-ES" w:eastAsia="es-ES"/>
        </w:rPr>
        <w:t>emitido por la Dirección de Asuntos Jurídicos de ese Consejo, referente a la solicitu</w:t>
      </w:r>
      <w:r>
        <w:rPr>
          <w:spacing w:val="9"/>
          <w:sz w:val="22"/>
          <w:szCs w:val="22"/>
          <w:lang w:val="es-ES" w:eastAsia="es-ES"/>
        </w:rPr>
        <w:t>d de traspaso "mortis causa" de la concesión administrativa de servicio público de transporte modalidad Taxi, bajo la placa TP-</w:t>
      </w:r>
      <w:r w:rsidR="00AD10C7">
        <w:rPr>
          <w:spacing w:val="9"/>
          <w:sz w:val="22"/>
          <w:szCs w:val="22"/>
          <w:lang w:val="es-ES" w:eastAsia="es-ES"/>
        </w:rPr>
        <w:t>XXX</w:t>
      </w:r>
      <w:r>
        <w:rPr>
          <w:spacing w:val="9"/>
          <w:sz w:val="22"/>
          <w:szCs w:val="22"/>
          <w:lang w:val="es-ES" w:eastAsia="es-ES"/>
        </w:rPr>
        <w:t>, que ostentara el causante J</w:t>
      </w:r>
      <w:r w:rsidR="00AD10C7">
        <w:rPr>
          <w:spacing w:val="9"/>
          <w:sz w:val="22"/>
          <w:szCs w:val="22"/>
          <w:lang w:val="es-ES" w:eastAsia="es-ES"/>
        </w:rPr>
        <w:t>.A.R.P.</w:t>
      </w:r>
    </w:p>
    <w:p w:rsidR="00000000" w:rsidRDefault="00B1033C">
      <w:pPr>
        <w:kinsoku w:val="0"/>
        <w:overflowPunct w:val="0"/>
        <w:autoSpaceDE/>
        <w:autoSpaceDN/>
        <w:adjustRightInd/>
        <w:spacing w:before="332" w:line="321" w:lineRule="exact"/>
        <w:ind w:left="72" w:right="72"/>
        <w:jc w:val="both"/>
        <w:textAlignment w:val="baseline"/>
        <w:rPr>
          <w:spacing w:val="8"/>
          <w:sz w:val="22"/>
          <w:szCs w:val="22"/>
          <w:lang w:val="es-ES" w:eastAsia="es-ES"/>
        </w:rPr>
      </w:pPr>
      <w:r>
        <w:rPr>
          <w:spacing w:val="8"/>
          <w:sz w:val="22"/>
          <w:szCs w:val="22"/>
          <w:lang w:val="es-ES" w:eastAsia="es-ES"/>
        </w:rPr>
        <w:t xml:space="preserve">Por disposición de la Junta Directiva el informe </w:t>
      </w:r>
      <w:r>
        <w:rPr>
          <w:b/>
          <w:bCs/>
          <w:spacing w:val="8"/>
          <w:sz w:val="22"/>
          <w:szCs w:val="22"/>
          <w:lang w:val="es-ES" w:eastAsia="es-ES"/>
        </w:rPr>
        <w:t xml:space="preserve">DAJ 2014-002456, </w:t>
      </w:r>
      <w:r>
        <w:rPr>
          <w:spacing w:val="8"/>
          <w:sz w:val="22"/>
          <w:szCs w:val="22"/>
          <w:lang w:val="es-ES" w:eastAsia="es-ES"/>
        </w:rPr>
        <w:t>en cua</w:t>
      </w:r>
      <w:r>
        <w:rPr>
          <w:spacing w:val="8"/>
          <w:sz w:val="22"/>
          <w:szCs w:val="22"/>
          <w:lang w:val="es-ES" w:eastAsia="es-ES"/>
        </w:rPr>
        <w:t>nto a sus fundamentos, motivos y contenidos desarrollados, así como sus recomendaciones, forma parte integral del Acuerdo, el cual en resumen expresa lo siguiente:</w:t>
      </w:r>
    </w:p>
    <w:p w:rsidR="00000000" w:rsidRDefault="00B1033C">
      <w:pPr>
        <w:numPr>
          <w:ilvl w:val="0"/>
          <w:numId w:val="1"/>
        </w:numPr>
        <w:kinsoku w:val="0"/>
        <w:overflowPunct w:val="0"/>
        <w:autoSpaceDE/>
        <w:autoSpaceDN/>
        <w:adjustRightInd/>
        <w:spacing w:before="355" w:line="273" w:lineRule="exact"/>
        <w:ind w:right="72"/>
        <w:textAlignment w:val="baseline"/>
        <w:rPr>
          <w:sz w:val="22"/>
          <w:szCs w:val="22"/>
          <w:lang w:val="es-ES" w:eastAsia="es-ES"/>
        </w:rPr>
      </w:pPr>
      <w:r>
        <w:rPr>
          <w:sz w:val="22"/>
          <w:szCs w:val="22"/>
          <w:lang w:val="es-ES" w:eastAsia="es-ES"/>
        </w:rPr>
        <w:t>Cl concesionario J</w:t>
      </w:r>
      <w:r w:rsidR="00AD10C7">
        <w:rPr>
          <w:sz w:val="22"/>
          <w:szCs w:val="22"/>
          <w:lang w:val="es-ES" w:eastAsia="es-ES"/>
        </w:rPr>
        <w:t>.A.R.P.</w:t>
      </w:r>
      <w:r>
        <w:rPr>
          <w:sz w:val="22"/>
          <w:szCs w:val="22"/>
          <w:lang w:val="es-ES" w:eastAsia="es-ES"/>
        </w:rPr>
        <w:t xml:space="preserve"> falleció el 29 de octubre del 2010.</w:t>
      </w:r>
    </w:p>
    <w:p w:rsidR="00000000" w:rsidRDefault="00B1033C">
      <w:pPr>
        <w:numPr>
          <w:ilvl w:val="0"/>
          <w:numId w:val="1"/>
        </w:numPr>
        <w:kinsoku w:val="0"/>
        <w:overflowPunct w:val="0"/>
        <w:autoSpaceDE/>
        <w:autoSpaceDN/>
        <w:adjustRightInd/>
        <w:spacing w:before="9" w:line="250" w:lineRule="exact"/>
        <w:ind w:right="72"/>
        <w:jc w:val="both"/>
        <w:textAlignment w:val="baseline"/>
        <w:rPr>
          <w:sz w:val="22"/>
          <w:szCs w:val="22"/>
          <w:lang w:val="es-ES" w:eastAsia="es-ES"/>
        </w:rPr>
      </w:pPr>
      <w:r>
        <w:rPr>
          <w:sz w:val="22"/>
          <w:szCs w:val="22"/>
          <w:lang w:val="es-ES" w:eastAsia="es-ES"/>
        </w:rPr>
        <w:t>La señ</w:t>
      </w:r>
      <w:r>
        <w:rPr>
          <w:sz w:val="22"/>
          <w:szCs w:val="22"/>
          <w:lang w:val="es-ES" w:eastAsia="es-ES"/>
        </w:rPr>
        <w:t>ora G</w:t>
      </w:r>
      <w:r w:rsidR="00AD10C7">
        <w:rPr>
          <w:sz w:val="22"/>
          <w:szCs w:val="22"/>
          <w:lang w:val="es-ES" w:eastAsia="es-ES"/>
        </w:rPr>
        <w:t>.Y.R.F.</w:t>
      </w:r>
      <w:r>
        <w:rPr>
          <w:sz w:val="22"/>
          <w:szCs w:val="22"/>
          <w:lang w:val="es-ES" w:eastAsia="es-ES"/>
        </w:rPr>
        <w:t>, presentó el 21 de marzo del 2014, solicitud para que se transfiera a su favor la concesión administrativa de servicio público de transporte modalidad Taxi, bajo la placa TP-</w:t>
      </w:r>
      <w:r w:rsidR="00AD10C7">
        <w:rPr>
          <w:sz w:val="22"/>
          <w:szCs w:val="22"/>
          <w:lang w:val="es-ES" w:eastAsia="es-ES"/>
        </w:rPr>
        <w:t>XXX</w:t>
      </w:r>
      <w:r>
        <w:rPr>
          <w:sz w:val="22"/>
          <w:szCs w:val="22"/>
          <w:lang w:val="es-ES" w:eastAsia="es-ES"/>
        </w:rPr>
        <w:t>, del causante J</w:t>
      </w:r>
      <w:r w:rsidR="00AD10C7">
        <w:rPr>
          <w:sz w:val="22"/>
          <w:szCs w:val="22"/>
          <w:lang w:val="es-ES" w:eastAsia="es-ES"/>
        </w:rPr>
        <w:t>.A.R.P.</w:t>
      </w:r>
      <w:r>
        <w:rPr>
          <w:sz w:val="22"/>
          <w:szCs w:val="22"/>
          <w:lang w:val="es-ES" w:eastAsia="es-ES"/>
        </w:rPr>
        <w:t>, aportan</w:t>
      </w:r>
      <w:r>
        <w:rPr>
          <w:sz w:val="22"/>
          <w:szCs w:val="22"/>
          <w:lang w:val="es-ES" w:eastAsia="es-ES"/>
        </w:rPr>
        <w:t>do para ello varios de los requisitos, siendo que para esa fecha ya habían transcurrido 3 años y 5 meses desde que falleció el concesionario.</w:t>
      </w:r>
    </w:p>
    <w:p w:rsidR="00000000" w:rsidRDefault="00B1033C">
      <w:pPr>
        <w:numPr>
          <w:ilvl w:val="0"/>
          <w:numId w:val="1"/>
        </w:numPr>
        <w:kinsoku w:val="0"/>
        <w:overflowPunct w:val="0"/>
        <w:autoSpaceDE/>
        <w:autoSpaceDN/>
        <w:adjustRightInd/>
        <w:spacing w:before="16" w:after="643" w:line="258" w:lineRule="exact"/>
        <w:ind w:right="72"/>
        <w:jc w:val="both"/>
        <w:textAlignment w:val="baseline"/>
        <w:rPr>
          <w:spacing w:val="-1"/>
          <w:sz w:val="22"/>
          <w:szCs w:val="22"/>
          <w:lang w:val="es-ES" w:eastAsia="es-ES"/>
        </w:rPr>
      </w:pPr>
      <w:r>
        <w:rPr>
          <w:spacing w:val="-1"/>
          <w:sz w:val="22"/>
          <w:szCs w:val="22"/>
          <w:lang w:val="es-ES" w:eastAsia="es-ES"/>
        </w:rPr>
        <w:t xml:space="preserve">Mediante acuerdo de Junta Directiva se estableció que el plazo máximo para tramitar ante el Consejo de Transporte </w:t>
      </w:r>
      <w:r>
        <w:rPr>
          <w:spacing w:val="-1"/>
          <w:sz w:val="22"/>
          <w:szCs w:val="22"/>
          <w:lang w:val="es-ES" w:eastAsia="es-ES"/>
        </w:rPr>
        <w:t>Público el proceso Mortis Causa era de 90 días después del deceso</w:t>
      </w:r>
    </w:p>
    <w:p w:rsidR="00000000" w:rsidRDefault="00B1033C">
      <w:pPr>
        <w:widowControl/>
        <w:rPr>
          <w:sz w:val="24"/>
          <w:szCs w:val="24"/>
        </w:rPr>
        <w:sectPr w:rsidR="00000000">
          <w:pgSz w:w="12134" w:h="15840"/>
          <w:pgMar w:top="1380" w:right="1460" w:bottom="230" w:left="1674" w:header="720" w:footer="720" w:gutter="0"/>
          <w:cols w:space="720"/>
          <w:noEndnote/>
        </w:sectPr>
      </w:pPr>
    </w:p>
    <w:p w:rsidR="00000000" w:rsidRDefault="00B1033C">
      <w:pPr>
        <w:widowControl/>
        <w:rPr>
          <w:sz w:val="24"/>
          <w:szCs w:val="24"/>
        </w:rPr>
        <w:sectPr w:rsidR="00000000">
          <w:type w:val="continuous"/>
          <w:pgSz w:w="12134" w:h="15840"/>
          <w:pgMar w:top="1380" w:right="1908" w:bottom="230" w:left="8266" w:header="720" w:footer="720" w:gutter="0"/>
          <w:cols w:space="720"/>
          <w:noEndnote/>
        </w:sectPr>
      </w:pPr>
    </w:p>
    <w:p w:rsidR="00000000" w:rsidRDefault="00B1033C">
      <w:pPr>
        <w:kinsoku w:val="0"/>
        <w:overflowPunct w:val="0"/>
        <w:autoSpaceDE/>
        <w:autoSpaceDN/>
        <w:adjustRightInd/>
        <w:spacing w:line="257" w:lineRule="exact"/>
        <w:ind w:left="792" w:right="72"/>
        <w:jc w:val="both"/>
        <w:textAlignment w:val="baseline"/>
        <w:rPr>
          <w:spacing w:val="4"/>
          <w:sz w:val="21"/>
          <w:szCs w:val="21"/>
          <w:lang w:val="es-ES" w:eastAsia="es-ES"/>
        </w:rPr>
      </w:pPr>
      <w:r>
        <w:rPr>
          <w:spacing w:val="4"/>
          <w:sz w:val="21"/>
          <w:szCs w:val="21"/>
          <w:lang w:val="es-ES" w:eastAsia="es-ES"/>
        </w:rPr>
        <w:lastRenderedPageBreak/>
        <w:t>del concesionario. Para el caso concreto, fue hasta 3 años y 5 meses después que se tramitó la cesión de concesió</w:t>
      </w:r>
      <w:r>
        <w:rPr>
          <w:spacing w:val="4"/>
          <w:sz w:val="21"/>
          <w:szCs w:val="21"/>
          <w:lang w:val="es-ES" w:eastAsia="es-ES"/>
        </w:rPr>
        <w:t>n por Mortis causa. En el artículo 42 de la Ley N° 7969 Ley Reguladora del Servicio Público de Transporte remunerado de personas en vehículos modalidad Taxi.</w:t>
      </w:r>
    </w:p>
    <w:p w:rsidR="00000000" w:rsidRDefault="00B1033C">
      <w:pPr>
        <w:numPr>
          <w:ilvl w:val="0"/>
          <w:numId w:val="2"/>
        </w:numPr>
        <w:kinsoku w:val="0"/>
        <w:overflowPunct w:val="0"/>
        <w:autoSpaceDE/>
        <w:autoSpaceDN/>
        <w:adjustRightInd/>
        <w:spacing w:line="252" w:lineRule="exact"/>
        <w:ind w:right="72"/>
        <w:jc w:val="both"/>
        <w:textAlignment w:val="baseline"/>
        <w:rPr>
          <w:spacing w:val="4"/>
          <w:sz w:val="21"/>
          <w:szCs w:val="21"/>
          <w:lang w:val="es-ES" w:eastAsia="es-ES"/>
        </w:rPr>
      </w:pPr>
      <w:r>
        <w:rPr>
          <w:spacing w:val="4"/>
          <w:sz w:val="21"/>
          <w:szCs w:val="21"/>
          <w:lang w:val="es-ES" w:eastAsia="es-ES"/>
        </w:rPr>
        <w:t xml:space="preserve">Indica la Dirección de Asuntos Jurídicos que la concesión de transporte de taxi es un derecho </w:t>
      </w:r>
      <w:r>
        <w:rPr>
          <w:spacing w:val="4"/>
          <w:sz w:val="21"/>
          <w:szCs w:val="21"/>
          <w:lang w:val="es-ES" w:eastAsia="es-ES"/>
        </w:rPr>
        <w:t>de naturaleza personal, que se confiere en virtud de cualidades o condiciones especiales de tipo subjetivo, lo que hace intransmisible a otro beneficiario, sin la previa autorización de la Administración Pública.</w:t>
      </w:r>
    </w:p>
    <w:p w:rsidR="00000000" w:rsidRDefault="00B1033C">
      <w:pPr>
        <w:numPr>
          <w:ilvl w:val="0"/>
          <w:numId w:val="2"/>
        </w:numPr>
        <w:kinsoku w:val="0"/>
        <w:overflowPunct w:val="0"/>
        <w:autoSpaceDE/>
        <w:autoSpaceDN/>
        <w:adjustRightInd/>
        <w:spacing w:before="267" w:line="255" w:lineRule="exact"/>
        <w:ind w:right="72"/>
        <w:jc w:val="both"/>
        <w:textAlignment w:val="baseline"/>
        <w:rPr>
          <w:spacing w:val="4"/>
          <w:sz w:val="21"/>
          <w:szCs w:val="21"/>
          <w:lang w:val="es-ES" w:eastAsia="es-ES"/>
        </w:rPr>
      </w:pPr>
      <w:r>
        <w:rPr>
          <w:spacing w:val="4"/>
          <w:sz w:val="21"/>
          <w:szCs w:val="21"/>
          <w:lang w:val="es-ES" w:eastAsia="es-ES"/>
        </w:rPr>
        <w:t>La Dirección de Asuntos Jurídicos determina</w:t>
      </w:r>
      <w:r>
        <w:rPr>
          <w:spacing w:val="4"/>
          <w:sz w:val="21"/>
          <w:szCs w:val="21"/>
          <w:lang w:val="es-ES" w:eastAsia="es-ES"/>
        </w:rPr>
        <w:t xml:space="preserve"> que el servicio que ha prestado la unidad placa TP-</w:t>
      </w:r>
      <w:r w:rsidR="00CA05BE">
        <w:rPr>
          <w:spacing w:val="4"/>
          <w:sz w:val="21"/>
          <w:szCs w:val="21"/>
          <w:lang w:val="es-ES" w:eastAsia="es-ES"/>
        </w:rPr>
        <w:t>XXX</w:t>
      </w:r>
      <w:r>
        <w:rPr>
          <w:spacing w:val="4"/>
          <w:sz w:val="21"/>
          <w:szCs w:val="21"/>
          <w:lang w:val="es-ES" w:eastAsia="es-ES"/>
        </w:rPr>
        <w:t xml:space="preserve"> desde el fallecimiento de su concesionario ha sido de manera ilegal, permitiéndose una operación de dicho servicio público (sin que conste autorización legal que le faculte) por un lapso de 3 años y 5</w:t>
      </w:r>
      <w:r>
        <w:rPr>
          <w:spacing w:val="4"/>
          <w:sz w:val="21"/>
          <w:szCs w:val="21"/>
          <w:lang w:val="es-ES" w:eastAsia="es-ES"/>
        </w:rPr>
        <w:t xml:space="preserve"> meses operando la unidad de manera irresponsable por un tercero que no es el concesionario, sin la autorización del Consejo de Transporte Público. Así las cosas, y en virtud de los principios establecidos en la Ley N° 7969 así como los deberes y obligacio</w:t>
      </w:r>
      <w:r>
        <w:rPr>
          <w:spacing w:val="4"/>
          <w:sz w:val="21"/>
          <w:szCs w:val="21"/>
          <w:lang w:val="es-ES" w:eastAsia="es-ES"/>
        </w:rPr>
        <w:t>nes estipulados en el contrato de concesión, procede rechazar la gestión y cancelar la concesión administrativa modalidad taxi TP-</w:t>
      </w:r>
      <w:r w:rsidR="00CA05BE">
        <w:rPr>
          <w:spacing w:val="4"/>
          <w:sz w:val="21"/>
          <w:szCs w:val="21"/>
          <w:lang w:val="es-ES" w:eastAsia="es-ES"/>
        </w:rPr>
        <w:t>XXX</w:t>
      </w:r>
      <w:r>
        <w:rPr>
          <w:spacing w:val="4"/>
          <w:sz w:val="21"/>
          <w:szCs w:val="21"/>
          <w:lang w:val="es-ES" w:eastAsia="es-ES"/>
        </w:rPr>
        <w:t>.</w:t>
      </w:r>
    </w:p>
    <w:p w:rsidR="00000000" w:rsidRDefault="00B1033C">
      <w:pPr>
        <w:numPr>
          <w:ilvl w:val="0"/>
          <w:numId w:val="2"/>
        </w:numPr>
        <w:kinsoku w:val="0"/>
        <w:overflowPunct w:val="0"/>
        <w:autoSpaceDE/>
        <w:autoSpaceDN/>
        <w:adjustRightInd/>
        <w:spacing w:before="253" w:line="258" w:lineRule="exact"/>
        <w:ind w:right="72"/>
        <w:jc w:val="both"/>
        <w:textAlignment w:val="baseline"/>
        <w:rPr>
          <w:sz w:val="21"/>
          <w:szCs w:val="21"/>
          <w:lang w:val="es-ES" w:eastAsia="es-ES"/>
        </w:rPr>
      </w:pPr>
      <w:r>
        <w:rPr>
          <w:sz w:val="21"/>
          <w:szCs w:val="21"/>
          <w:lang w:val="es-ES" w:eastAsia="es-ES"/>
        </w:rPr>
        <w:t>Que la concesión administrativa del servicio pú</w:t>
      </w:r>
      <w:r>
        <w:rPr>
          <w:sz w:val="21"/>
          <w:szCs w:val="21"/>
          <w:lang w:val="es-ES" w:eastAsia="es-ES"/>
        </w:rPr>
        <w:t>blico de transporte remunerado de personas en la modalidad taxi, es un bien propiedad del Estado, y como tal fuera del comercio de los hombres, por lo que no procede inventariar la misma dentro del haber sucesorio.</w:t>
      </w:r>
    </w:p>
    <w:p w:rsidR="00000000" w:rsidRDefault="00B1033C">
      <w:pPr>
        <w:kinsoku w:val="0"/>
        <w:overflowPunct w:val="0"/>
        <w:autoSpaceDE/>
        <w:autoSpaceDN/>
        <w:adjustRightInd/>
        <w:spacing w:before="293" w:line="318" w:lineRule="exact"/>
        <w:ind w:right="72"/>
        <w:jc w:val="both"/>
        <w:textAlignment w:val="baseline"/>
        <w:rPr>
          <w:spacing w:val="12"/>
          <w:sz w:val="21"/>
          <w:szCs w:val="21"/>
          <w:lang w:val="es-ES" w:eastAsia="es-ES"/>
        </w:rPr>
      </w:pPr>
      <w:r>
        <w:rPr>
          <w:spacing w:val="12"/>
          <w:sz w:val="21"/>
          <w:szCs w:val="21"/>
          <w:lang w:val="es-ES" w:eastAsia="es-ES"/>
        </w:rPr>
        <w:t>En virtud de las consideraciones anterior</w:t>
      </w:r>
      <w:r>
        <w:rPr>
          <w:spacing w:val="12"/>
          <w:sz w:val="21"/>
          <w:szCs w:val="21"/>
          <w:lang w:val="es-ES" w:eastAsia="es-ES"/>
        </w:rPr>
        <w:t>es, la Junta Directiva del Consejo de Transporte Público, acoge las recomendaciones de rechazar la solicitud de traspaso "mortis causa" la concesión administrativa de servicio público de transporte modalidad Taxi placa TP-</w:t>
      </w:r>
      <w:r w:rsidR="00CA05BE">
        <w:rPr>
          <w:spacing w:val="12"/>
          <w:sz w:val="21"/>
          <w:szCs w:val="21"/>
          <w:lang w:val="es-ES" w:eastAsia="es-ES"/>
        </w:rPr>
        <w:t>XXX</w:t>
      </w:r>
      <w:r>
        <w:rPr>
          <w:spacing w:val="12"/>
          <w:sz w:val="21"/>
          <w:szCs w:val="21"/>
          <w:lang w:val="es-ES" w:eastAsia="es-ES"/>
        </w:rPr>
        <w:t>, que ostentara el causante J</w:t>
      </w:r>
      <w:r w:rsidR="00CA05BE">
        <w:rPr>
          <w:spacing w:val="12"/>
          <w:sz w:val="21"/>
          <w:szCs w:val="21"/>
          <w:lang w:val="es-ES" w:eastAsia="es-ES"/>
        </w:rPr>
        <w:t>.A.R.P.</w:t>
      </w:r>
      <w:r>
        <w:rPr>
          <w:spacing w:val="12"/>
          <w:sz w:val="21"/>
          <w:szCs w:val="21"/>
          <w:lang w:val="es-ES" w:eastAsia="es-ES"/>
        </w:rPr>
        <w:t>, formulada por G</w:t>
      </w:r>
      <w:r w:rsidR="00CA05BE">
        <w:rPr>
          <w:spacing w:val="12"/>
          <w:sz w:val="21"/>
          <w:szCs w:val="21"/>
          <w:lang w:val="es-ES" w:eastAsia="es-ES"/>
        </w:rPr>
        <w:t>.Y.R.F.</w:t>
      </w:r>
      <w:r>
        <w:rPr>
          <w:spacing w:val="12"/>
          <w:sz w:val="21"/>
          <w:szCs w:val="21"/>
          <w:lang w:val="es-ES" w:eastAsia="es-ES"/>
        </w:rPr>
        <w:t>, y cancelar la concesión de taxi placa TP-</w:t>
      </w:r>
      <w:r w:rsidR="00CA05BE">
        <w:rPr>
          <w:spacing w:val="12"/>
          <w:sz w:val="21"/>
          <w:szCs w:val="21"/>
          <w:lang w:val="es-ES" w:eastAsia="es-ES"/>
        </w:rPr>
        <w:t>XXX</w:t>
      </w:r>
      <w:r>
        <w:rPr>
          <w:spacing w:val="12"/>
          <w:sz w:val="21"/>
          <w:szCs w:val="21"/>
          <w:lang w:val="es-ES" w:eastAsia="es-ES"/>
        </w:rPr>
        <w:t xml:space="preserve"> por muerte del concesionario. (Léanse los folios del 12 al 14 del expediente administrativo TAT-246-15)</w:t>
      </w:r>
    </w:p>
    <w:p w:rsidR="00000000" w:rsidRDefault="00B1033C">
      <w:pPr>
        <w:kinsoku w:val="0"/>
        <w:overflowPunct w:val="0"/>
        <w:autoSpaceDE/>
        <w:autoSpaceDN/>
        <w:adjustRightInd/>
        <w:spacing w:before="356" w:line="298" w:lineRule="exact"/>
        <w:ind w:right="72"/>
        <w:jc w:val="both"/>
        <w:textAlignment w:val="baseline"/>
        <w:rPr>
          <w:sz w:val="21"/>
          <w:szCs w:val="21"/>
          <w:lang w:val="es-ES" w:eastAsia="es-ES"/>
        </w:rPr>
      </w:pPr>
      <w:r>
        <w:rPr>
          <w:sz w:val="21"/>
          <w:szCs w:val="21"/>
          <w:lang w:val="es-ES" w:eastAsia="es-ES"/>
        </w:rPr>
        <w:t xml:space="preserve">El acuerdo fue notificado el día </w:t>
      </w:r>
      <w:r>
        <w:rPr>
          <w:i/>
          <w:iCs/>
          <w:sz w:val="25"/>
          <w:szCs w:val="25"/>
          <w:lang w:val="es-ES" w:eastAsia="es-ES"/>
        </w:rPr>
        <w:t>10 noviem</w:t>
      </w:r>
      <w:r>
        <w:rPr>
          <w:i/>
          <w:iCs/>
          <w:sz w:val="25"/>
          <w:szCs w:val="25"/>
          <w:lang w:val="es-ES" w:eastAsia="es-ES"/>
        </w:rPr>
        <w:t xml:space="preserve">bre del 2014. </w:t>
      </w:r>
      <w:r>
        <w:rPr>
          <w:sz w:val="21"/>
          <w:szCs w:val="21"/>
          <w:lang w:val="es-ES" w:eastAsia="es-ES"/>
        </w:rPr>
        <w:t>(Léase el folio 15 del expediente administrativo TAT-246-15)</w:t>
      </w:r>
    </w:p>
    <w:p w:rsidR="00000000" w:rsidRDefault="00B1033C">
      <w:pPr>
        <w:kinsoku w:val="0"/>
        <w:overflowPunct w:val="0"/>
        <w:autoSpaceDE/>
        <w:autoSpaceDN/>
        <w:adjustRightInd/>
        <w:spacing w:before="626" w:line="323" w:lineRule="exact"/>
        <w:ind w:right="72"/>
        <w:jc w:val="both"/>
        <w:textAlignment w:val="baseline"/>
        <w:rPr>
          <w:spacing w:val="13"/>
          <w:sz w:val="21"/>
          <w:szCs w:val="21"/>
          <w:lang w:val="es-ES" w:eastAsia="es-ES"/>
        </w:rPr>
      </w:pPr>
      <w:r>
        <w:rPr>
          <w:b/>
          <w:bCs/>
          <w:spacing w:val="13"/>
          <w:sz w:val="21"/>
          <w:szCs w:val="21"/>
          <w:lang w:val="es-ES" w:eastAsia="es-ES"/>
        </w:rPr>
        <w:t xml:space="preserve">SEGUNDO.- </w:t>
      </w:r>
      <w:r>
        <w:rPr>
          <w:spacing w:val="13"/>
          <w:sz w:val="21"/>
          <w:szCs w:val="21"/>
          <w:lang w:val="es-ES" w:eastAsia="es-ES"/>
        </w:rPr>
        <w:t xml:space="preserve">El </w:t>
      </w:r>
      <w:r>
        <w:rPr>
          <w:b/>
          <w:bCs/>
          <w:spacing w:val="13"/>
          <w:sz w:val="21"/>
          <w:szCs w:val="21"/>
          <w:lang w:val="es-ES" w:eastAsia="es-ES"/>
        </w:rPr>
        <w:t xml:space="preserve">20 de noviembre del 2014, </w:t>
      </w:r>
      <w:r>
        <w:rPr>
          <w:spacing w:val="13"/>
          <w:sz w:val="21"/>
          <w:szCs w:val="21"/>
          <w:lang w:val="es-ES" w:eastAsia="es-ES"/>
        </w:rPr>
        <w:t>G</w:t>
      </w:r>
      <w:r w:rsidR="00CA05BE">
        <w:rPr>
          <w:spacing w:val="13"/>
          <w:sz w:val="21"/>
          <w:szCs w:val="21"/>
          <w:lang w:val="es-ES" w:eastAsia="es-ES"/>
        </w:rPr>
        <w:t>.Y.R.F.</w:t>
      </w:r>
      <w:r>
        <w:rPr>
          <w:spacing w:val="13"/>
          <w:sz w:val="21"/>
          <w:szCs w:val="21"/>
          <w:lang w:val="es-ES" w:eastAsia="es-ES"/>
        </w:rPr>
        <w:t xml:space="preserve">, presenta ante el Consejo de Transporte Público su Recurso de Revocatoria con Apelación en Subsidio, en contra del </w:t>
      </w:r>
      <w:r>
        <w:rPr>
          <w:b/>
          <w:bCs/>
          <w:spacing w:val="13"/>
          <w:sz w:val="21"/>
          <w:szCs w:val="21"/>
          <w:lang w:val="es-ES" w:eastAsia="es-ES"/>
        </w:rPr>
        <w:t xml:space="preserve">Artículo 7.18.15 de la Sesión Ordinaria 59-2014 del 15 de octubre del 2014, </w:t>
      </w:r>
      <w:r>
        <w:rPr>
          <w:spacing w:val="13"/>
          <w:sz w:val="21"/>
          <w:szCs w:val="21"/>
          <w:lang w:val="es-ES" w:eastAsia="es-ES"/>
        </w:rPr>
        <w:t>adoptado por la Junta Directiva del Consejo de Transporte Público, exponiendo los siguientes argumentos:</w:t>
      </w:r>
    </w:p>
    <w:p w:rsidR="00000000" w:rsidRDefault="00B1033C" w:rsidP="00CA05BE">
      <w:pPr>
        <w:kinsoku w:val="0"/>
        <w:overflowPunct w:val="0"/>
        <w:autoSpaceDE/>
        <w:autoSpaceDN/>
        <w:adjustRightInd/>
        <w:spacing w:before="331" w:line="289" w:lineRule="exact"/>
        <w:ind w:left="792" w:right="72" w:hanging="360"/>
        <w:jc w:val="both"/>
        <w:textAlignment w:val="baseline"/>
        <w:rPr>
          <w:spacing w:val="3"/>
          <w:sz w:val="21"/>
          <w:szCs w:val="21"/>
          <w:lang w:val="es-ES" w:eastAsia="es-ES"/>
        </w:rPr>
      </w:pPr>
      <w:r>
        <w:rPr>
          <w:spacing w:val="4"/>
          <w:sz w:val="21"/>
          <w:szCs w:val="21"/>
          <w:lang w:val="es-ES" w:eastAsia="es-ES"/>
        </w:rPr>
        <w:t>a) Que el Consejo de Transporte Público cuenta con discrecionalidad para ej</w:t>
      </w:r>
      <w:r>
        <w:rPr>
          <w:spacing w:val="4"/>
          <w:sz w:val="21"/>
          <w:szCs w:val="21"/>
          <w:lang w:val="es-ES" w:eastAsia="es-ES"/>
        </w:rPr>
        <w:t>ercer sus funciones legales siempre que cumpla y respete el principio de razonabilidad y motivación del acto, la cual debe compaginarse y armonizar al máximo la satisfacción de un interés</w:t>
      </w:r>
      <w:r w:rsidR="00CA05BE">
        <w:rPr>
          <w:spacing w:val="4"/>
          <w:sz w:val="21"/>
          <w:szCs w:val="21"/>
          <w:lang w:val="es-ES" w:eastAsia="es-ES"/>
        </w:rPr>
        <w:t xml:space="preserve"> </w:t>
      </w:r>
      <w:r>
        <w:rPr>
          <w:spacing w:val="5"/>
          <w:sz w:val="21"/>
          <w:szCs w:val="21"/>
          <w:lang w:val="es-ES" w:eastAsia="es-ES"/>
        </w:rPr>
        <w:t>público — que en este caso podría ser la continuidad en la prestació</w:t>
      </w:r>
      <w:r>
        <w:rPr>
          <w:spacing w:val="5"/>
          <w:sz w:val="21"/>
          <w:szCs w:val="21"/>
          <w:lang w:val="es-ES" w:eastAsia="es-ES"/>
        </w:rPr>
        <w:t>n del servicio y otros</w:t>
      </w:r>
      <w:r w:rsidR="00CA05BE">
        <w:rPr>
          <w:spacing w:val="5"/>
          <w:sz w:val="21"/>
          <w:szCs w:val="21"/>
          <w:lang w:val="es-ES" w:eastAsia="es-ES"/>
        </w:rPr>
        <w:t xml:space="preserve"> </w:t>
      </w:r>
      <w:r>
        <w:rPr>
          <w:sz w:val="21"/>
          <w:szCs w:val="21"/>
          <w:lang w:val="es-ES" w:eastAsia="es-ES"/>
        </w:rPr>
        <w:t>intereses secundarios que pueden resultar afectados por la misma actividad de la Administración, como sería la afectación inmediata del sustento de una familia al</w:t>
      </w:r>
      <w:r w:rsidR="00CA05BE">
        <w:rPr>
          <w:sz w:val="21"/>
          <w:szCs w:val="21"/>
          <w:lang w:val="es-ES" w:eastAsia="es-ES"/>
        </w:rPr>
        <w:t xml:space="preserve"> </w:t>
      </w:r>
      <w:r>
        <w:rPr>
          <w:spacing w:val="3"/>
          <w:sz w:val="21"/>
          <w:szCs w:val="21"/>
          <w:lang w:val="es-ES" w:eastAsia="es-ES"/>
        </w:rPr>
        <w:t>cancelarse la concesión de servicio público modalidad taxi.</w:t>
      </w:r>
    </w:p>
    <w:p w:rsidR="00000000" w:rsidRDefault="00B1033C">
      <w:pPr>
        <w:widowControl/>
        <w:rPr>
          <w:sz w:val="24"/>
          <w:szCs w:val="24"/>
        </w:rPr>
        <w:sectPr w:rsidR="00000000">
          <w:pgSz w:w="12134" w:h="15840"/>
          <w:pgMar w:top="1420" w:right="1456" w:bottom="240" w:left="1678" w:header="720" w:footer="720" w:gutter="0"/>
          <w:cols w:space="720"/>
          <w:noEndnote/>
        </w:sectPr>
      </w:pPr>
    </w:p>
    <w:p w:rsidR="00000000" w:rsidRDefault="00CA05BE">
      <w:pPr>
        <w:kinsoku w:val="0"/>
        <w:overflowPunct w:val="0"/>
        <w:autoSpaceDE/>
        <w:autoSpaceDN/>
        <w:adjustRightInd/>
        <w:spacing w:line="225" w:lineRule="exact"/>
        <w:textAlignment w:val="baseline"/>
        <w:rPr>
          <w:spacing w:val="-3"/>
          <w:sz w:val="21"/>
          <w:szCs w:val="21"/>
          <w:lang w:val="es-ES" w:eastAsia="es-ES"/>
        </w:rPr>
      </w:pPr>
      <w:r>
        <w:rPr>
          <w:spacing w:val="-3"/>
          <w:sz w:val="21"/>
          <w:szCs w:val="21"/>
          <w:lang w:val="es-ES" w:eastAsia="es-ES"/>
        </w:rPr>
        <w:t xml:space="preserve"> </w:t>
      </w:r>
    </w:p>
    <w:p w:rsidR="00000000" w:rsidRDefault="00B1033C">
      <w:pPr>
        <w:widowControl/>
        <w:rPr>
          <w:sz w:val="24"/>
          <w:szCs w:val="24"/>
        </w:rPr>
        <w:sectPr w:rsidR="00000000">
          <w:type w:val="continuous"/>
          <w:pgSz w:w="12134" w:h="15840"/>
          <w:pgMar w:top="1420" w:right="1629" w:bottom="240" w:left="8285" w:header="720" w:footer="720" w:gutter="0"/>
          <w:cols w:space="720"/>
          <w:noEndnote/>
        </w:sectPr>
      </w:pPr>
    </w:p>
    <w:p w:rsidR="00000000" w:rsidRDefault="00B1033C">
      <w:pPr>
        <w:numPr>
          <w:ilvl w:val="0"/>
          <w:numId w:val="3"/>
        </w:numPr>
        <w:kinsoku w:val="0"/>
        <w:overflowPunct w:val="0"/>
        <w:autoSpaceDE/>
        <w:autoSpaceDN/>
        <w:adjustRightInd/>
        <w:spacing w:before="1" w:line="294" w:lineRule="exact"/>
        <w:ind w:right="72"/>
        <w:jc w:val="both"/>
        <w:textAlignment w:val="baseline"/>
        <w:rPr>
          <w:b/>
          <w:bCs/>
          <w:sz w:val="22"/>
          <w:szCs w:val="22"/>
          <w:lang w:val="es-ES" w:eastAsia="es-ES"/>
        </w:rPr>
      </w:pPr>
      <w:r w:rsidRPr="00CA05BE">
        <w:rPr>
          <w:lang w:val="es-ES" w:eastAsia="es-ES"/>
        </w:rPr>
        <w:lastRenderedPageBreak/>
        <w:t xml:space="preserve">Para el caso </w:t>
      </w:r>
      <w:r w:rsidRPr="00CA05BE">
        <w:rPr>
          <w:bCs/>
          <w:sz w:val="22"/>
          <w:szCs w:val="22"/>
          <w:lang w:val="es-ES" w:eastAsia="es-ES"/>
        </w:rPr>
        <w:t xml:space="preserve">concreto el concesionario falleció en el año 2010 tal y como </w:t>
      </w:r>
      <w:r w:rsidRPr="00CA05BE">
        <w:rPr>
          <w:lang w:val="es-ES" w:eastAsia="es-ES"/>
        </w:rPr>
        <w:t xml:space="preserve">consta en autos, siendo que la </w:t>
      </w:r>
      <w:r w:rsidRPr="00CA05BE">
        <w:rPr>
          <w:bCs/>
          <w:sz w:val="22"/>
          <w:szCs w:val="22"/>
          <w:lang w:val="es-ES" w:eastAsia="es-ES"/>
        </w:rPr>
        <w:t xml:space="preserve">Ley 9027 que reforma el artículo 42 de la Ley 7969 fue aprobada </w:t>
      </w:r>
      <w:r w:rsidRPr="00CA05BE">
        <w:rPr>
          <w:lang w:val="es-ES" w:eastAsia="es-ES"/>
        </w:rPr>
        <w:t xml:space="preserve">en el año 2012, por </w:t>
      </w:r>
      <w:r w:rsidRPr="00CA05BE">
        <w:rPr>
          <w:lang w:val="es-ES" w:eastAsia="es-ES"/>
        </w:rPr>
        <w:t xml:space="preserve">lo </w:t>
      </w:r>
      <w:r w:rsidRPr="00CA05BE">
        <w:rPr>
          <w:bCs/>
          <w:sz w:val="22"/>
          <w:szCs w:val="22"/>
          <w:lang w:val="es-ES" w:eastAsia="es-ES"/>
        </w:rPr>
        <w:t xml:space="preserve">que los requisitos que regían para este concesionario eran </w:t>
      </w:r>
      <w:r w:rsidRPr="00CA05BE">
        <w:rPr>
          <w:lang w:val="es-ES" w:eastAsia="es-ES"/>
        </w:rPr>
        <w:t xml:space="preserve">los mismos que se encontraban </w:t>
      </w:r>
      <w:r w:rsidRPr="00CA05BE">
        <w:rPr>
          <w:bCs/>
          <w:sz w:val="22"/>
          <w:szCs w:val="22"/>
          <w:lang w:val="es-ES" w:eastAsia="es-ES"/>
        </w:rPr>
        <w:t xml:space="preserve">vigentes y que se solicitaban antes del 28 de febrero </w:t>
      </w:r>
      <w:r w:rsidRPr="00CA05BE">
        <w:rPr>
          <w:lang w:val="es-ES" w:eastAsia="es-ES"/>
        </w:rPr>
        <w:t xml:space="preserve">de 2012, fecha de publicación </w:t>
      </w:r>
      <w:r w:rsidRPr="00CA05BE">
        <w:rPr>
          <w:bCs/>
          <w:sz w:val="22"/>
          <w:szCs w:val="22"/>
          <w:lang w:val="es-ES" w:eastAsia="es-ES"/>
        </w:rPr>
        <w:t xml:space="preserve">de la Ley No. 9027, aprobados por el Consejo en la </w:t>
      </w:r>
      <w:r w:rsidRPr="00CA05BE">
        <w:rPr>
          <w:lang w:val="es-ES" w:eastAsia="es-ES"/>
        </w:rPr>
        <w:t>Sesión Ordinaria No. 45</w:t>
      </w:r>
      <w:r w:rsidRPr="00CA05BE">
        <w:rPr>
          <w:lang w:val="es-ES" w:eastAsia="es-ES"/>
        </w:rPr>
        <w:softHyphen/>
        <w:t xml:space="preserve">2010 </w:t>
      </w:r>
      <w:r w:rsidRPr="00CA05BE">
        <w:rPr>
          <w:lang w:val="es-ES" w:eastAsia="es-ES"/>
        </w:rPr>
        <w:t xml:space="preserve">del 29 </w:t>
      </w:r>
      <w:r w:rsidRPr="00CA05BE">
        <w:rPr>
          <w:bCs/>
          <w:sz w:val="22"/>
          <w:szCs w:val="22"/>
          <w:lang w:val="es-ES" w:eastAsia="es-ES"/>
        </w:rPr>
        <w:t>de setiembre de 2010</w:t>
      </w:r>
      <w:r>
        <w:rPr>
          <w:b/>
          <w:bCs/>
          <w:sz w:val="22"/>
          <w:szCs w:val="22"/>
          <w:lang w:val="es-ES" w:eastAsia="es-ES"/>
        </w:rPr>
        <w:t>.</w:t>
      </w:r>
    </w:p>
    <w:p w:rsidR="00000000" w:rsidRDefault="00B1033C">
      <w:pPr>
        <w:numPr>
          <w:ilvl w:val="0"/>
          <w:numId w:val="3"/>
        </w:numPr>
        <w:kinsoku w:val="0"/>
        <w:overflowPunct w:val="0"/>
        <w:autoSpaceDE/>
        <w:autoSpaceDN/>
        <w:adjustRightInd/>
        <w:spacing w:before="4" w:line="294" w:lineRule="exact"/>
        <w:ind w:right="72"/>
        <w:jc w:val="both"/>
        <w:textAlignment w:val="baseline"/>
        <w:rPr>
          <w:b/>
          <w:bCs/>
          <w:sz w:val="22"/>
          <w:szCs w:val="22"/>
          <w:lang w:val="es-ES" w:eastAsia="es-ES"/>
        </w:rPr>
      </w:pPr>
      <w:r>
        <w:rPr>
          <w:lang w:val="es-ES" w:eastAsia="es-ES"/>
        </w:rPr>
        <w:t xml:space="preserve">Si bien es cierto, </w:t>
      </w:r>
      <w:r w:rsidRPr="00CA05BE">
        <w:rPr>
          <w:bCs/>
          <w:sz w:val="22"/>
          <w:szCs w:val="22"/>
          <w:lang w:val="es-ES" w:eastAsia="es-ES"/>
        </w:rPr>
        <w:t xml:space="preserve">la gestión de cesión de la concesión se presentó hasta marzo </w:t>
      </w:r>
      <w:r w:rsidRPr="00CA05BE">
        <w:rPr>
          <w:lang w:val="es-ES" w:eastAsia="es-ES"/>
        </w:rPr>
        <w:t xml:space="preserve">del 2014, también es </w:t>
      </w:r>
      <w:r w:rsidRPr="00CA05BE">
        <w:rPr>
          <w:bCs/>
          <w:sz w:val="22"/>
          <w:szCs w:val="22"/>
          <w:lang w:val="es-ES" w:eastAsia="es-ES"/>
        </w:rPr>
        <w:t xml:space="preserve">cierto que el respectivo proceso sucesorio se abrió el 18 de octubre del 2011, </w:t>
      </w:r>
      <w:r w:rsidRPr="00CA05BE">
        <w:rPr>
          <w:lang w:val="es-ES" w:eastAsia="es-ES"/>
        </w:rPr>
        <w:t xml:space="preserve">fecha en que </w:t>
      </w:r>
      <w:r w:rsidRPr="00CA05BE">
        <w:rPr>
          <w:bCs/>
          <w:sz w:val="22"/>
          <w:szCs w:val="22"/>
          <w:lang w:val="es-ES" w:eastAsia="es-ES"/>
        </w:rPr>
        <w:t>se nombra Albacea y se ordena la p</w:t>
      </w:r>
      <w:r w:rsidRPr="00CA05BE">
        <w:rPr>
          <w:bCs/>
          <w:sz w:val="22"/>
          <w:szCs w:val="22"/>
          <w:lang w:val="es-ES" w:eastAsia="es-ES"/>
        </w:rPr>
        <w:t xml:space="preserve">ublicación del edicto de ley. </w:t>
      </w:r>
      <w:r w:rsidRPr="00CA05BE">
        <w:rPr>
          <w:lang w:val="es-ES" w:eastAsia="es-ES"/>
        </w:rPr>
        <w:t xml:space="preserve">La declaratoria </w:t>
      </w:r>
      <w:r w:rsidRPr="00CA05BE">
        <w:rPr>
          <w:bCs/>
          <w:sz w:val="22"/>
          <w:szCs w:val="22"/>
          <w:lang w:val="es-ES" w:eastAsia="es-ES"/>
        </w:rPr>
        <w:t xml:space="preserve">de herederos se da hasta el 20 de junio de 2013. Mientras tanto </w:t>
      </w:r>
      <w:r w:rsidRPr="00CA05BE">
        <w:rPr>
          <w:lang w:val="es-ES" w:eastAsia="es-ES"/>
        </w:rPr>
        <w:t>la concesión de taxi TP</w:t>
      </w:r>
      <w:r w:rsidR="00CA05BE">
        <w:rPr>
          <w:lang w:val="es-ES" w:eastAsia="es-ES"/>
        </w:rPr>
        <w:t xml:space="preserve"> XXX</w:t>
      </w:r>
      <w:r w:rsidRPr="00CA05BE">
        <w:rPr>
          <w:lang w:val="es-ES" w:eastAsia="es-ES"/>
        </w:rPr>
        <w:t xml:space="preserve"> </w:t>
      </w:r>
      <w:r w:rsidRPr="00CA05BE">
        <w:rPr>
          <w:bCs/>
          <w:sz w:val="22"/>
          <w:szCs w:val="22"/>
          <w:lang w:val="es-ES" w:eastAsia="es-ES"/>
        </w:rPr>
        <w:t xml:space="preserve">no era administrada por un tercero de forma ilegal e </w:t>
      </w:r>
      <w:r w:rsidRPr="00CA05BE">
        <w:rPr>
          <w:lang w:val="es-ES" w:eastAsia="es-ES"/>
        </w:rPr>
        <w:t xml:space="preserve">irresponsable, ya que era administrada </w:t>
      </w:r>
      <w:r w:rsidRPr="00CA05BE">
        <w:rPr>
          <w:bCs/>
          <w:sz w:val="22"/>
          <w:szCs w:val="22"/>
          <w:lang w:val="es-ES" w:eastAsia="es-ES"/>
        </w:rPr>
        <w:t>por el Albacea del respecti</w:t>
      </w:r>
      <w:r w:rsidRPr="00CA05BE">
        <w:rPr>
          <w:bCs/>
          <w:sz w:val="22"/>
          <w:szCs w:val="22"/>
          <w:lang w:val="es-ES" w:eastAsia="es-ES"/>
        </w:rPr>
        <w:t>vo sucesorio</w:t>
      </w:r>
      <w:r>
        <w:rPr>
          <w:b/>
          <w:bCs/>
          <w:sz w:val="22"/>
          <w:szCs w:val="22"/>
          <w:lang w:val="es-ES" w:eastAsia="es-ES"/>
        </w:rPr>
        <w:t>.</w:t>
      </w:r>
    </w:p>
    <w:p w:rsidR="00000000" w:rsidRPr="00CA05BE" w:rsidRDefault="00B1033C">
      <w:pPr>
        <w:numPr>
          <w:ilvl w:val="0"/>
          <w:numId w:val="3"/>
        </w:numPr>
        <w:kinsoku w:val="0"/>
        <w:overflowPunct w:val="0"/>
        <w:autoSpaceDE/>
        <w:autoSpaceDN/>
        <w:adjustRightInd/>
        <w:spacing w:before="13" w:line="294" w:lineRule="exact"/>
        <w:ind w:right="72"/>
        <w:jc w:val="both"/>
        <w:textAlignment w:val="baseline"/>
        <w:rPr>
          <w:lang w:val="es-ES" w:eastAsia="es-ES"/>
        </w:rPr>
      </w:pPr>
      <w:r>
        <w:rPr>
          <w:lang w:val="es-ES" w:eastAsia="es-ES"/>
        </w:rPr>
        <w:t xml:space="preserve">De conformidad </w:t>
      </w:r>
      <w:r w:rsidRPr="00CA05BE">
        <w:rPr>
          <w:bCs/>
          <w:sz w:val="22"/>
          <w:szCs w:val="22"/>
          <w:lang w:val="es-ES" w:eastAsia="es-ES"/>
        </w:rPr>
        <w:t xml:space="preserve">con el artículo 256 de la Ley General de la </w:t>
      </w:r>
      <w:r w:rsidRPr="00CA05BE">
        <w:rPr>
          <w:lang w:val="es-ES" w:eastAsia="es-ES"/>
        </w:rPr>
        <w:t xml:space="preserve">Administración Pública, el plazo señalado </w:t>
      </w:r>
      <w:r w:rsidRPr="00CA05BE">
        <w:rPr>
          <w:bCs/>
          <w:sz w:val="22"/>
          <w:szCs w:val="22"/>
          <w:lang w:val="es-ES" w:eastAsia="es-ES"/>
        </w:rPr>
        <w:t xml:space="preserve">para la Administración en el párrafo primero del Transitorio a la Ley </w:t>
      </w:r>
      <w:r w:rsidRPr="00CA05BE">
        <w:rPr>
          <w:lang w:val="es-ES" w:eastAsia="es-ES"/>
        </w:rPr>
        <w:t xml:space="preserve">9027, vencía el 28 </w:t>
      </w:r>
      <w:r w:rsidRPr="00CA05BE">
        <w:rPr>
          <w:bCs/>
          <w:sz w:val="22"/>
          <w:szCs w:val="22"/>
          <w:lang w:val="es-ES" w:eastAsia="es-ES"/>
        </w:rPr>
        <w:t xml:space="preserve">de mayo del 2012. No obstante debe considerarse que </w:t>
      </w:r>
      <w:r w:rsidRPr="00CA05BE">
        <w:rPr>
          <w:bCs/>
          <w:sz w:val="22"/>
          <w:szCs w:val="22"/>
          <w:lang w:val="es-ES" w:eastAsia="es-ES"/>
        </w:rPr>
        <w:t xml:space="preserve">hasta </w:t>
      </w:r>
      <w:r w:rsidRPr="00CA05BE">
        <w:rPr>
          <w:lang w:val="es-ES" w:eastAsia="es-ES"/>
        </w:rPr>
        <w:t xml:space="preserve">ese momento se estaba elaborando </w:t>
      </w:r>
      <w:r w:rsidRPr="00CA05BE">
        <w:rPr>
          <w:bCs/>
          <w:sz w:val="22"/>
          <w:szCs w:val="22"/>
          <w:lang w:val="es-ES" w:eastAsia="es-ES"/>
        </w:rPr>
        <w:t xml:space="preserve">y revisando tanto el procedimiento los requisitos de </w:t>
      </w:r>
      <w:r w:rsidRPr="00CA05BE">
        <w:rPr>
          <w:lang w:val="es-ES" w:eastAsia="es-ES"/>
        </w:rPr>
        <w:t xml:space="preserve">concesión mortis causa, por lo </w:t>
      </w:r>
      <w:r w:rsidRPr="00CA05BE">
        <w:rPr>
          <w:bCs/>
          <w:sz w:val="22"/>
          <w:szCs w:val="22"/>
          <w:lang w:val="es-ES" w:eastAsia="es-ES"/>
        </w:rPr>
        <w:t xml:space="preserve">que no puede aplicarse ahora un plazo en perjuicio del </w:t>
      </w:r>
      <w:r w:rsidRPr="00CA05BE">
        <w:rPr>
          <w:lang w:val="es-ES" w:eastAsia="es-ES"/>
        </w:rPr>
        <w:t>administrado.</w:t>
      </w:r>
    </w:p>
    <w:p w:rsidR="00000000" w:rsidRPr="00CA05BE" w:rsidRDefault="00B1033C">
      <w:pPr>
        <w:numPr>
          <w:ilvl w:val="0"/>
          <w:numId w:val="3"/>
        </w:numPr>
        <w:kinsoku w:val="0"/>
        <w:overflowPunct w:val="0"/>
        <w:autoSpaceDE/>
        <w:autoSpaceDN/>
        <w:adjustRightInd/>
        <w:spacing w:line="293" w:lineRule="exact"/>
        <w:ind w:right="72"/>
        <w:jc w:val="both"/>
        <w:textAlignment w:val="baseline"/>
        <w:rPr>
          <w:bCs/>
          <w:sz w:val="22"/>
          <w:szCs w:val="22"/>
          <w:lang w:val="es-ES" w:eastAsia="es-ES"/>
        </w:rPr>
      </w:pPr>
      <w:r w:rsidRPr="00CA05BE">
        <w:rPr>
          <w:lang w:val="es-ES" w:eastAsia="es-ES"/>
        </w:rPr>
        <w:t xml:space="preserve">Indica que en </w:t>
      </w:r>
      <w:r w:rsidRPr="00CA05BE">
        <w:rPr>
          <w:bCs/>
          <w:sz w:val="22"/>
          <w:szCs w:val="22"/>
          <w:lang w:val="es-ES" w:eastAsia="es-ES"/>
        </w:rPr>
        <w:t>su condición de solicitante ha logrado demostrar q</w:t>
      </w:r>
      <w:r w:rsidRPr="00CA05BE">
        <w:rPr>
          <w:bCs/>
          <w:sz w:val="22"/>
          <w:szCs w:val="22"/>
          <w:lang w:val="es-ES" w:eastAsia="es-ES"/>
        </w:rPr>
        <w:t xml:space="preserve">ue ha cumplido con los </w:t>
      </w:r>
      <w:r w:rsidRPr="00CA05BE">
        <w:rPr>
          <w:lang w:val="es-ES" w:eastAsia="es-ES"/>
        </w:rPr>
        <w:t xml:space="preserve">deberes y </w:t>
      </w:r>
      <w:r w:rsidRPr="00CA05BE">
        <w:rPr>
          <w:bCs/>
          <w:sz w:val="22"/>
          <w:szCs w:val="22"/>
          <w:lang w:val="es-ES" w:eastAsia="es-ES"/>
        </w:rPr>
        <w:t xml:space="preserve">obligaciones que le correspondían al fallecido y que como su Albacea, ha </w:t>
      </w:r>
      <w:r w:rsidRPr="00CA05BE">
        <w:rPr>
          <w:lang w:val="es-ES" w:eastAsia="es-ES"/>
        </w:rPr>
        <w:t xml:space="preserve">garantizado </w:t>
      </w:r>
      <w:r w:rsidRPr="00CA05BE">
        <w:rPr>
          <w:bCs/>
          <w:sz w:val="22"/>
          <w:szCs w:val="22"/>
          <w:lang w:val="es-ES" w:eastAsia="es-ES"/>
        </w:rPr>
        <w:t>que ha servido al interés público y no ha desantendido el servicio.</w:t>
      </w:r>
    </w:p>
    <w:p w:rsidR="00000000" w:rsidRPr="00CA05BE" w:rsidRDefault="00B1033C">
      <w:pPr>
        <w:numPr>
          <w:ilvl w:val="0"/>
          <w:numId w:val="4"/>
        </w:numPr>
        <w:kinsoku w:val="0"/>
        <w:overflowPunct w:val="0"/>
        <w:autoSpaceDE/>
        <w:autoSpaceDN/>
        <w:adjustRightInd/>
        <w:spacing w:line="292" w:lineRule="exact"/>
        <w:ind w:right="72"/>
        <w:jc w:val="both"/>
        <w:textAlignment w:val="baseline"/>
        <w:rPr>
          <w:bCs/>
          <w:spacing w:val="-3"/>
          <w:sz w:val="22"/>
          <w:szCs w:val="22"/>
          <w:lang w:val="es-ES" w:eastAsia="es-ES"/>
        </w:rPr>
      </w:pPr>
      <w:r w:rsidRPr="00CA05BE">
        <w:rPr>
          <w:bCs/>
          <w:spacing w:val="-3"/>
          <w:sz w:val="22"/>
          <w:szCs w:val="22"/>
          <w:lang w:val="es-ES" w:eastAsia="es-ES"/>
        </w:rPr>
        <w:t xml:space="preserve">Que ante la muerte del concesionario la prestación del servicio y </w:t>
      </w:r>
      <w:r w:rsidRPr="00CA05BE">
        <w:rPr>
          <w:bCs/>
          <w:spacing w:val="-3"/>
          <w:sz w:val="22"/>
          <w:szCs w:val="22"/>
          <w:lang w:val="es-ES" w:eastAsia="es-ES"/>
        </w:rPr>
        <w:t xml:space="preserve">el cumplimiento de todos los requisitos necesarios para mantener al día la concesión corresponde al Albacea, por lo que </w:t>
      </w:r>
      <w:r w:rsidRPr="00CA05BE">
        <w:rPr>
          <w:spacing w:val="-3"/>
          <w:lang w:val="es-ES" w:eastAsia="es-ES"/>
        </w:rPr>
        <w:t xml:space="preserve">no existe </w:t>
      </w:r>
      <w:r w:rsidRPr="00CA05BE">
        <w:rPr>
          <w:bCs/>
          <w:spacing w:val="-3"/>
          <w:sz w:val="22"/>
          <w:szCs w:val="22"/>
          <w:lang w:val="es-ES" w:eastAsia="es-ES"/>
        </w:rPr>
        <w:t>un ejercicio ilegal de la actividad ni un ejercicio irresponsable.</w:t>
      </w:r>
    </w:p>
    <w:p w:rsidR="00000000" w:rsidRPr="00CA05BE" w:rsidRDefault="00B1033C">
      <w:pPr>
        <w:numPr>
          <w:ilvl w:val="0"/>
          <w:numId w:val="4"/>
        </w:numPr>
        <w:kinsoku w:val="0"/>
        <w:overflowPunct w:val="0"/>
        <w:autoSpaceDE/>
        <w:autoSpaceDN/>
        <w:adjustRightInd/>
        <w:spacing w:before="10" w:line="294" w:lineRule="exact"/>
        <w:ind w:right="72"/>
        <w:jc w:val="both"/>
        <w:textAlignment w:val="baseline"/>
        <w:rPr>
          <w:bCs/>
          <w:sz w:val="22"/>
          <w:szCs w:val="22"/>
          <w:lang w:val="es-ES" w:eastAsia="es-ES"/>
        </w:rPr>
      </w:pPr>
      <w:r w:rsidRPr="00CA05BE">
        <w:rPr>
          <w:bCs/>
          <w:sz w:val="22"/>
          <w:szCs w:val="22"/>
          <w:lang w:val="es-ES" w:eastAsia="es-ES"/>
        </w:rPr>
        <w:t xml:space="preserve">Solicita se revoque la resolución, y en </w:t>
      </w:r>
      <w:r w:rsidRPr="00CA05BE">
        <w:rPr>
          <w:lang w:val="es-ES" w:eastAsia="es-ES"/>
        </w:rPr>
        <w:t xml:space="preserve">caso </w:t>
      </w:r>
      <w:r w:rsidRPr="00CA05BE">
        <w:rPr>
          <w:bCs/>
          <w:sz w:val="22"/>
          <w:szCs w:val="22"/>
          <w:lang w:val="es-ES" w:eastAsia="es-ES"/>
        </w:rPr>
        <w:t>de rechazo deja planteado el Recurso de Apelación ante el Tribunal de Transporte. (Léanse los folios 21 y 26 del expediente administrativo TAT-246-15)</w:t>
      </w:r>
    </w:p>
    <w:p w:rsidR="00000000" w:rsidRDefault="00B1033C">
      <w:pPr>
        <w:kinsoku w:val="0"/>
        <w:overflowPunct w:val="0"/>
        <w:autoSpaceDE/>
        <w:autoSpaceDN/>
        <w:adjustRightInd/>
        <w:spacing w:before="650" w:line="319" w:lineRule="exact"/>
        <w:ind w:right="72"/>
        <w:jc w:val="both"/>
        <w:textAlignment w:val="baseline"/>
        <w:rPr>
          <w:b/>
          <w:bCs/>
          <w:spacing w:val="8"/>
          <w:sz w:val="22"/>
          <w:szCs w:val="22"/>
          <w:lang w:val="es-ES" w:eastAsia="es-ES"/>
        </w:rPr>
      </w:pPr>
      <w:r w:rsidRPr="00CA05BE">
        <w:rPr>
          <w:b/>
          <w:spacing w:val="8"/>
          <w:sz w:val="24"/>
          <w:szCs w:val="24"/>
          <w:lang w:val="es-ES" w:eastAsia="es-ES"/>
        </w:rPr>
        <w:t>TERCERO.</w:t>
      </w:r>
      <w:r w:rsidRPr="00CA05BE">
        <w:rPr>
          <w:b/>
          <w:spacing w:val="8"/>
          <w:sz w:val="22"/>
          <w:szCs w:val="22"/>
          <w:lang w:val="es-ES" w:eastAsia="es-ES"/>
        </w:rPr>
        <w:t>-</w:t>
      </w:r>
      <w:r>
        <w:rPr>
          <w:spacing w:val="8"/>
          <w:sz w:val="22"/>
          <w:szCs w:val="22"/>
          <w:lang w:val="es-ES" w:eastAsia="es-ES"/>
        </w:rPr>
        <w:t xml:space="preserve"> </w:t>
      </w:r>
      <w:r w:rsidRPr="00CA05BE">
        <w:rPr>
          <w:bCs/>
          <w:spacing w:val="8"/>
          <w:sz w:val="22"/>
          <w:szCs w:val="22"/>
          <w:lang w:val="es-ES" w:eastAsia="es-ES"/>
        </w:rPr>
        <w:t xml:space="preserve">La </w:t>
      </w:r>
      <w:r>
        <w:rPr>
          <w:spacing w:val="8"/>
          <w:sz w:val="22"/>
          <w:szCs w:val="22"/>
          <w:lang w:val="es-ES" w:eastAsia="es-ES"/>
        </w:rPr>
        <w:t xml:space="preserve">Junta Directiva del </w:t>
      </w:r>
      <w:r>
        <w:rPr>
          <w:b/>
          <w:bCs/>
          <w:spacing w:val="8"/>
          <w:sz w:val="22"/>
          <w:szCs w:val="22"/>
          <w:lang w:val="es-ES" w:eastAsia="es-ES"/>
        </w:rPr>
        <w:t xml:space="preserve">Consejo </w:t>
      </w:r>
      <w:r>
        <w:rPr>
          <w:spacing w:val="8"/>
          <w:sz w:val="22"/>
          <w:szCs w:val="22"/>
          <w:lang w:val="es-ES" w:eastAsia="es-ES"/>
        </w:rPr>
        <w:t xml:space="preserve">de Transporte Público, en el </w:t>
      </w:r>
      <w:r>
        <w:rPr>
          <w:spacing w:val="8"/>
          <w:sz w:val="24"/>
          <w:szCs w:val="24"/>
          <w:lang w:val="es-ES" w:eastAsia="es-ES"/>
        </w:rPr>
        <w:t>Artículo 7.8 de la Sesión Ordinaria</w:t>
      </w:r>
      <w:r>
        <w:rPr>
          <w:spacing w:val="8"/>
          <w:sz w:val="24"/>
          <w:szCs w:val="24"/>
          <w:lang w:val="es-ES" w:eastAsia="es-ES"/>
        </w:rPr>
        <w:t xml:space="preserve"> 26</w:t>
      </w:r>
      <w:r>
        <w:rPr>
          <w:spacing w:val="8"/>
          <w:sz w:val="22"/>
          <w:szCs w:val="22"/>
          <w:lang w:val="es-ES" w:eastAsia="es-ES"/>
        </w:rPr>
        <w:t>-</w:t>
      </w:r>
      <w:r>
        <w:rPr>
          <w:spacing w:val="8"/>
          <w:sz w:val="24"/>
          <w:szCs w:val="24"/>
          <w:lang w:val="es-ES" w:eastAsia="es-ES"/>
        </w:rPr>
        <w:t xml:space="preserve">2015 del 7 de mayo del 2015, </w:t>
      </w:r>
      <w:r>
        <w:rPr>
          <w:spacing w:val="8"/>
          <w:sz w:val="22"/>
          <w:szCs w:val="22"/>
          <w:lang w:val="es-ES" w:eastAsia="es-ES"/>
        </w:rPr>
        <w:t xml:space="preserve">conoce el informe número </w:t>
      </w:r>
      <w:r>
        <w:rPr>
          <w:spacing w:val="8"/>
          <w:sz w:val="24"/>
          <w:szCs w:val="24"/>
          <w:lang w:val="es-ES" w:eastAsia="es-ES"/>
        </w:rPr>
        <w:t>DAJ-2015</w:t>
      </w:r>
      <w:r>
        <w:rPr>
          <w:spacing w:val="8"/>
          <w:sz w:val="22"/>
          <w:szCs w:val="22"/>
          <w:lang w:val="es-ES" w:eastAsia="es-ES"/>
        </w:rPr>
        <w:t>-</w:t>
      </w:r>
      <w:r>
        <w:rPr>
          <w:spacing w:val="8"/>
          <w:sz w:val="24"/>
          <w:szCs w:val="24"/>
          <w:lang w:val="es-ES" w:eastAsia="es-ES"/>
        </w:rPr>
        <w:t xml:space="preserve">001541 </w:t>
      </w:r>
      <w:r>
        <w:rPr>
          <w:spacing w:val="8"/>
          <w:sz w:val="22"/>
          <w:szCs w:val="22"/>
          <w:lang w:val="es-ES" w:eastAsia="es-ES"/>
        </w:rPr>
        <w:t xml:space="preserve">del 5 de abril de 2015 emitido por la Dirección de Asuntos Jurídicos, y dispone que el informe en cuanto a sus fundamentos, motivos </w:t>
      </w:r>
      <w:r>
        <w:rPr>
          <w:spacing w:val="8"/>
          <w:sz w:val="24"/>
          <w:szCs w:val="24"/>
          <w:lang w:val="es-ES" w:eastAsia="es-ES"/>
        </w:rPr>
        <w:t xml:space="preserve">y </w:t>
      </w:r>
      <w:r>
        <w:rPr>
          <w:spacing w:val="8"/>
          <w:sz w:val="22"/>
          <w:szCs w:val="22"/>
          <w:lang w:val="es-ES" w:eastAsia="es-ES"/>
        </w:rPr>
        <w:t>contenidos desarrollados, así</w:t>
      </w:r>
      <w:r>
        <w:rPr>
          <w:spacing w:val="8"/>
          <w:sz w:val="22"/>
          <w:szCs w:val="22"/>
          <w:lang w:val="es-ES" w:eastAsia="es-ES"/>
        </w:rPr>
        <w:t xml:space="preserve"> como sus recomendaciones, forma parte integral del Acuerdo, el cual en resumen </w:t>
      </w:r>
      <w:r w:rsidRPr="00CA05BE">
        <w:rPr>
          <w:bCs/>
          <w:spacing w:val="8"/>
          <w:sz w:val="22"/>
          <w:szCs w:val="22"/>
          <w:lang w:val="es-ES" w:eastAsia="es-ES"/>
        </w:rPr>
        <w:t>expresa lo siguiente:</w:t>
      </w:r>
    </w:p>
    <w:p w:rsidR="00000000" w:rsidRDefault="00B1033C">
      <w:pPr>
        <w:numPr>
          <w:ilvl w:val="0"/>
          <w:numId w:val="5"/>
        </w:numPr>
        <w:kinsoku w:val="0"/>
        <w:overflowPunct w:val="0"/>
        <w:autoSpaceDE/>
        <w:autoSpaceDN/>
        <w:adjustRightInd/>
        <w:spacing w:before="270" w:line="234" w:lineRule="exact"/>
        <w:ind w:right="1008"/>
        <w:jc w:val="both"/>
        <w:textAlignment w:val="baseline"/>
        <w:rPr>
          <w:lang w:val="es-ES" w:eastAsia="es-ES"/>
        </w:rPr>
      </w:pPr>
      <w:r w:rsidRPr="00CA05BE">
        <w:rPr>
          <w:u w:val="single"/>
          <w:lang w:val="es-ES" w:eastAsia="es-ES"/>
        </w:rPr>
        <w:t>SOBRE EL RECURSO</w:t>
      </w:r>
      <w:r>
        <w:rPr>
          <w:u w:val="single"/>
          <w:lang w:val="es-ES" w:eastAsia="es-ES"/>
        </w:rPr>
        <w:t>:</w:t>
      </w:r>
      <w:r>
        <w:rPr>
          <w:lang w:val="es-ES" w:eastAsia="es-ES"/>
        </w:rPr>
        <w:t xml:space="preserve"> Al respecto, se tiene que el acuerdo aquí impugnado, fue notificado a la parte recurrente al medio señalado </w:t>
      </w:r>
      <w:r w:rsidRPr="00CA05BE">
        <w:rPr>
          <w:lang w:val="es-ES" w:eastAsia="es-ES"/>
        </w:rPr>
        <w:t>para tales efectos en fe</w:t>
      </w:r>
      <w:r w:rsidRPr="00CA05BE">
        <w:rPr>
          <w:lang w:val="es-ES" w:eastAsia="es-ES"/>
        </w:rPr>
        <w:t xml:space="preserve">cha 10/11/2014, siendo que </w:t>
      </w:r>
      <w:r w:rsidRPr="00CA05BE">
        <w:rPr>
          <w:bCs/>
          <w:sz w:val="22"/>
          <w:szCs w:val="22"/>
          <w:lang w:val="es-ES" w:eastAsia="es-ES"/>
        </w:rPr>
        <w:t xml:space="preserve">el recurso interpuesto </w:t>
      </w:r>
      <w:r w:rsidRPr="00CA05BE">
        <w:rPr>
          <w:lang w:val="es-ES" w:eastAsia="es-ES"/>
        </w:rPr>
        <w:t xml:space="preserve">contra dicho acuerdo </w:t>
      </w:r>
      <w:r w:rsidRPr="00CA05BE">
        <w:rPr>
          <w:bCs/>
          <w:sz w:val="22"/>
          <w:szCs w:val="22"/>
          <w:lang w:val="es-ES" w:eastAsia="es-ES"/>
        </w:rPr>
        <w:t>se presentó</w:t>
      </w:r>
      <w:r>
        <w:rPr>
          <w:b/>
          <w:bCs/>
          <w:sz w:val="22"/>
          <w:szCs w:val="22"/>
          <w:lang w:val="es-ES" w:eastAsia="es-ES"/>
        </w:rPr>
        <w:t xml:space="preserve"> </w:t>
      </w:r>
      <w:r>
        <w:rPr>
          <w:lang w:val="es-ES" w:eastAsia="es-ES"/>
        </w:rPr>
        <w:t>hasta el 20/11/2014 ante la plataforma de Servicios del CTP, por lo cual y de acuerdo a lo establecido en el artículo I 1 de la Ley 7969, la interposición del recurso en fec</w:t>
      </w:r>
      <w:r>
        <w:rPr>
          <w:lang w:val="es-ES" w:eastAsia="es-ES"/>
        </w:rPr>
        <w:t>ha 20 de noviembre de del 20147 es extemporáneo, ya que había pasado sobradamente el plazo de 5 días hábiles que establece la Ley.</w:t>
      </w:r>
    </w:p>
    <w:p w:rsidR="00000000" w:rsidRDefault="00CA05BE">
      <w:pPr>
        <w:numPr>
          <w:ilvl w:val="0"/>
          <w:numId w:val="6"/>
        </w:numPr>
        <w:kinsoku w:val="0"/>
        <w:overflowPunct w:val="0"/>
        <w:autoSpaceDE/>
        <w:autoSpaceDN/>
        <w:adjustRightInd/>
        <w:spacing w:before="227" w:after="852" w:line="231" w:lineRule="exact"/>
        <w:ind w:right="1008"/>
        <w:jc w:val="both"/>
        <w:textAlignment w:val="baseline"/>
        <w:rPr>
          <w:lang w:val="es-ES" w:eastAsia="es-ES"/>
        </w:rPr>
      </w:pPr>
      <w:r>
        <w:rPr>
          <w:lang w:val="es-ES" w:eastAsia="es-ES"/>
        </w:rPr>
        <w:t>H</w:t>
      </w:r>
      <w:r w:rsidR="00B1033C">
        <w:rPr>
          <w:lang w:val="es-ES" w:eastAsia="es-ES"/>
        </w:rPr>
        <w:t>a quedado demostrado que desde la muerte del concesionario hasta el momento de presentar la gestión de traspaso transcu</w:t>
      </w:r>
      <w:r w:rsidR="00B1033C">
        <w:rPr>
          <w:lang w:val="es-ES" w:eastAsia="es-ES"/>
        </w:rPr>
        <w:t>rrieron más de tres años, con lo cual se superó el</w:t>
      </w:r>
    </w:p>
    <w:p w:rsidR="00000000" w:rsidRDefault="00B1033C">
      <w:pPr>
        <w:widowControl/>
        <w:rPr>
          <w:sz w:val="24"/>
          <w:szCs w:val="24"/>
        </w:rPr>
        <w:sectPr w:rsidR="00000000">
          <w:pgSz w:w="12134" w:h="15840"/>
          <w:pgMar w:top="1340" w:right="1372" w:bottom="250" w:left="1762" w:header="720" w:footer="720" w:gutter="0"/>
          <w:cols w:space="720"/>
          <w:noEndnote/>
        </w:sectPr>
      </w:pPr>
    </w:p>
    <w:p w:rsidR="00000000" w:rsidRDefault="00B1033C">
      <w:pPr>
        <w:widowControl/>
        <w:rPr>
          <w:sz w:val="24"/>
          <w:szCs w:val="24"/>
        </w:rPr>
        <w:sectPr w:rsidR="00000000">
          <w:type w:val="continuous"/>
          <w:pgSz w:w="12134" w:h="15840"/>
          <w:pgMar w:top="1340" w:right="1604" w:bottom="250" w:left="8310" w:header="720" w:footer="720" w:gutter="0"/>
          <w:cols w:space="720"/>
          <w:noEndnote/>
        </w:sectPr>
      </w:pPr>
    </w:p>
    <w:p w:rsidR="00000000" w:rsidRDefault="00B1033C">
      <w:pPr>
        <w:kinsoku w:val="0"/>
        <w:overflowPunct w:val="0"/>
        <w:autoSpaceDE/>
        <w:autoSpaceDN/>
        <w:adjustRightInd/>
        <w:spacing w:before="64" w:line="230" w:lineRule="exact"/>
        <w:ind w:left="792" w:right="864"/>
        <w:jc w:val="both"/>
        <w:textAlignment w:val="baseline"/>
        <w:rPr>
          <w:sz w:val="24"/>
          <w:szCs w:val="24"/>
          <w:lang w:val="es-ES" w:eastAsia="es-ES"/>
        </w:rPr>
      </w:pPr>
      <w:r>
        <w:rPr>
          <w:rFonts w:ascii="Verdana" w:hAnsi="Verdana" w:cs="Verdana"/>
          <w:sz w:val="16"/>
          <w:szCs w:val="16"/>
          <w:lang w:val="es-ES" w:eastAsia="es-ES"/>
        </w:rPr>
        <w:lastRenderedPageBreak/>
        <w:t xml:space="preserve">plazo de 90 </w:t>
      </w:r>
      <w:r>
        <w:rPr>
          <w:sz w:val="19"/>
          <w:szCs w:val="19"/>
          <w:lang w:val="es-ES" w:eastAsia="es-ES"/>
        </w:rPr>
        <w:t xml:space="preserve">días establecido para informar a la administración de la muerte </w:t>
      </w:r>
      <w:r>
        <w:rPr>
          <w:rFonts w:ascii="Verdana" w:hAnsi="Verdana" w:cs="Verdana"/>
          <w:sz w:val="16"/>
          <w:szCs w:val="16"/>
          <w:lang w:val="es-ES" w:eastAsia="es-ES"/>
        </w:rPr>
        <w:t xml:space="preserve">del concesionario, </w:t>
      </w:r>
      <w:r>
        <w:rPr>
          <w:sz w:val="19"/>
          <w:szCs w:val="19"/>
          <w:lang w:val="es-ES" w:eastAsia="es-ES"/>
        </w:rPr>
        <w:t xml:space="preserve">según transitorio de la Ley </w:t>
      </w:r>
      <w:r>
        <w:rPr>
          <w:sz w:val="24"/>
          <w:szCs w:val="24"/>
          <w:lang w:val="es-ES" w:eastAsia="es-ES"/>
        </w:rPr>
        <w:t>9027.</w:t>
      </w:r>
    </w:p>
    <w:p w:rsidR="00000000" w:rsidRDefault="00B1033C">
      <w:pPr>
        <w:kinsoku w:val="0"/>
        <w:overflowPunct w:val="0"/>
        <w:autoSpaceDE/>
        <w:autoSpaceDN/>
        <w:adjustRightInd/>
        <w:spacing w:before="219" w:line="228" w:lineRule="exact"/>
        <w:ind w:left="792" w:right="864"/>
        <w:jc w:val="both"/>
        <w:textAlignment w:val="baseline"/>
        <w:rPr>
          <w:rFonts w:ascii="Verdana" w:hAnsi="Verdana" w:cs="Verdana"/>
          <w:sz w:val="16"/>
          <w:szCs w:val="16"/>
          <w:lang w:val="es-ES" w:eastAsia="es-ES"/>
        </w:rPr>
      </w:pPr>
      <w:r>
        <w:rPr>
          <w:rFonts w:ascii="Verdana" w:hAnsi="Verdana" w:cs="Verdana"/>
          <w:sz w:val="16"/>
          <w:szCs w:val="16"/>
          <w:lang w:val="es-ES" w:eastAsia="es-ES"/>
        </w:rPr>
        <w:t xml:space="preserve">Recomienda </w:t>
      </w:r>
      <w:r>
        <w:rPr>
          <w:sz w:val="19"/>
          <w:szCs w:val="19"/>
          <w:lang w:val="es-ES" w:eastAsia="es-ES"/>
        </w:rPr>
        <w:t>rec</w:t>
      </w:r>
      <w:r>
        <w:rPr>
          <w:sz w:val="19"/>
          <w:szCs w:val="19"/>
          <w:lang w:val="es-ES" w:eastAsia="es-ES"/>
        </w:rPr>
        <w:t xml:space="preserve">hazar el recurso de revocatoria por haberse presentado de manera </w:t>
      </w:r>
      <w:r>
        <w:rPr>
          <w:rFonts w:ascii="Verdana" w:hAnsi="Verdana" w:cs="Verdana"/>
          <w:sz w:val="16"/>
          <w:szCs w:val="16"/>
          <w:lang w:val="es-ES" w:eastAsia="es-ES"/>
        </w:rPr>
        <w:t>extemporánea.</w:t>
      </w:r>
    </w:p>
    <w:p w:rsidR="00000000" w:rsidRDefault="00B1033C">
      <w:pPr>
        <w:kinsoku w:val="0"/>
        <w:overflowPunct w:val="0"/>
        <w:autoSpaceDE/>
        <w:autoSpaceDN/>
        <w:adjustRightInd/>
        <w:spacing w:before="306" w:line="317" w:lineRule="exact"/>
        <w:ind w:left="72" w:right="72"/>
        <w:jc w:val="both"/>
        <w:textAlignment w:val="baseline"/>
        <w:rPr>
          <w:spacing w:val="1"/>
          <w:sz w:val="24"/>
          <w:szCs w:val="24"/>
          <w:lang w:val="es-ES" w:eastAsia="es-ES"/>
        </w:rPr>
      </w:pPr>
      <w:r>
        <w:rPr>
          <w:spacing w:val="1"/>
          <w:sz w:val="24"/>
          <w:szCs w:val="24"/>
          <w:lang w:val="es-ES" w:eastAsia="es-ES"/>
        </w:rPr>
        <w:t>En razón de lo anterior, la Junta Directiva del Consejo de Transporte Público, dispuso acoger las recomendaciones del informe y rechazar el recurso de revo</w:t>
      </w:r>
      <w:r>
        <w:rPr>
          <w:spacing w:val="1"/>
          <w:sz w:val="24"/>
          <w:szCs w:val="24"/>
          <w:lang w:val="es-ES" w:eastAsia="es-ES"/>
        </w:rPr>
        <w:t>catoria contra el acuerdo 7.18.15 de la Sesión Ordinaria 59-2014 del 15 de octubre del 2014 por extemporáneo, y elevar al Tribunal Administrativo de Transporte el Recurso de Apelación en subsidio.</w:t>
      </w:r>
    </w:p>
    <w:p w:rsidR="00000000" w:rsidRDefault="00B1033C">
      <w:pPr>
        <w:kinsoku w:val="0"/>
        <w:overflowPunct w:val="0"/>
        <w:autoSpaceDE/>
        <w:autoSpaceDN/>
        <w:adjustRightInd/>
        <w:spacing w:before="348" w:line="317" w:lineRule="exact"/>
        <w:ind w:left="72" w:right="72"/>
        <w:jc w:val="both"/>
        <w:textAlignment w:val="baseline"/>
        <w:rPr>
          <w:sz w:val="24"/>
          <w:szCs w:val="24"/>
          <w:lang w:val="es-ES" w:eastAsia="es-ES"/>
        </w:rPr>
      </w:pPr>
      <w:r>
        <w:rPr>
          <w:sz w:val="24"/>
          <w:szCs w:val="24"/>
          <w:lang w:val="es-ES" w:eastAsia="es-ES"/>
        </w:rPr>
        <w:t xml:space="preserve">El acuerdo fue notificado el día </w:t>
      </w:r>
      <w:r>
        <w:rPr>
          <w:i/>
          <w:iCs/>
          <w:sz w:val="24"/>
          <w:szCs w:val="24"/>
          <w:lang w:val="es-ES" w:eastAsia="es-ES"/>
        </w:rPr>
        <w:t xml:space="preserve">13 de mayo del 2015, </w:t>
      </w:r>
      <w:r>
        <w:rPr>
          <w:sz w:val="24"/>
          <w:szCs w:val="24"/>
          <w:lang w:val="es-ES" w:eastAsia="es-ES"/>
        </w:rPr>
        <w:t>en el medio señalado por el recurrente. (Léase el folio 2 del expediente administrativo TAT-246-15)</w:t>
      </w:r>
    </w:p>
    <w:p w:rsidR="00000000" w:rsidRDefault="00B1033C">
      <w:pPr>
        <w:kinsoku w:val="0"/>
        <w:overflowPunct w:val="0"/>
        <w:autoSpaceDE/>
        <w:autoSpaceDN/>
        <w:adjustRightInd/>
        <w:spacing w:before="678" w:line="275" w:lineRule="exact"/>
        <w:ind w:left="72" w:right="72"/>
        <w:textAlignment w:val="baseline"/>
        <w:rPr>
          <w:sz w:val="24"/>
          <w:szCs w:val="24"/>
          <w:lang w:val="es-ES" w:eastAsia="es-ES"/>
        </w:rPr>
      </w:pPr>
      <w:r>
        <w:rPr>
          <w:b/>
          <w:bCs/>
          <w:sz w:val="24"/>
          <w:szCs w:val="24"/>
          <w:lang w:val="es-ES" w:eastAsia="es-ES"/>
        </w:rPr>
        <w:t xml:space="preserve">CUARTO.- </w:t>
      </w:r>
      <w:r>
        <w:rPr>
          <w:sz w:val="24"/>
          <w:szCs w:val="24"/>
          <w:lang w:val="es-ES" w:eastAsia="es-ES"/>
        </w:rPr>
        <w:t>En los procedimientos se han seguido las prescripciones de ley.</w:t>
      </w:r>
    </w:p>
    <w:p w:rsidR="00000000" w:rsidRDefault="00B1033C">
      <w:pPr>
        <w:kinsoku w:val="0"/>
        <w:overflowPunct w:val="0"/>
        <w:autoSpaceDE/>
        <w:autoSpaceDN/>
        <w:adjustRightInd/>
        <w:spacing w:before="686" w:line="260" w:lineRule="exact"/>
        <w:ind w:left="72" w:right="72"/>
        <w:textAlignment w:val="baseline"/>
        <w:rPr>
          <w:b/>
          <w:bCs/>
          <w:spacing w:val="-2"/>
          <w:sz w:val="24"/>
          <w:szCs w:val="24"/>
          <w:lang w:val="es-ES" w:eastAsia="es-ES"/>
        </w:rPr>
      </w:pPr>
      <w:r>
        <w:rPr>
          <w:b/>
          <w:bCs/>
          <w:spacing w:val="-2"/>
          <w:sz w:val="24"/>
          <w:szCs w:val="24"/>
          <w:lang w:val="es-ES" w:eastAsia="es-ES"/>
        </w:rPr>
        <w:t>REDACTA EL JUEZ PORTUGUEZ MÉNDEZ:</w:t>
      </w:r>
    </w:p>
    <w:p w:rsidR="00000000" w:rsidRDefault="00B1033C">
      <w:pPr>
        <w:kinsoku w:val="0"/>
        <w:overflowPunct w:val="0"/>
        <w:autoSpaceDE/>
        <w:autoSpaceDN/>
        <w:adjustRightInd/>
        <w:spacing w:before="715" w:line="259" w:lineRule="exact"/>
        <w:ind w:left="72" w:right="72"/>
        <w:jc w:val="center"/>
        <w:textAlignment w:val="baseline"/>
        <w:rPr>
          <w:b/>
          <w:bCs/>
          <w:sz w:val="24"/>
          <w:szCs w:val="24"/>
          <w:lang w:val="es-ES" w:eastAsia="es-ES"/>
        </w:rPr>
      </w:pPr>
      <w:r>
        <w:rPr>
          <w:b/>
          <w:bCs/>
          <w:sz w:val="24"/>
          <w:szCs w:val="24"/>
          <w:lang w:val="es-ES" w:eastAsia="es-ES"/>
        </w:rPr>
        <w:t>CONSIDERANDO</w:t>
      </w:r>
    </w:p>
    <w:p w:rsidR="00000000" w:rsidRDefault="00B1033C">
      <w:pPr>
        <w:kinsoku w:val="0"/>
        <w:overflowPunct w:val="0"/>
        <w:autoSpaceDE/>
        <w:autoSpaceDN/>
        <w:adjustRightInd/>
        <w:spacing w:before="536" w:line="324" w:lineRule="exact"/>
        <w:ind w:left="72" w:right="72"/>
        <w:jc w:val="both"/>
        <w:textAlignment w:val="baseline"/>
        <w:rPr>
          <w:sz w:val="24"/>
          <w:szCs w:val="24"/>
          <w:lang w:val="es-ES" w:eastAsia="es-ES"/>
        </w:rPr>
      </w:pPr>
      <w:r>
        <w:rPr>
          <w:b/>
          <w:bCs/>
          <w:sz w:val="24"/>
          <w:szCs w:val="24"/>
          <w:lang w:val="es-ES" w:eastAsia="es-ES"/>
        </w:rPr>
        <w:t xml:space="preserve">ÚNICO.- </w:t>
      </w:r>
      <w:r>
        <w:rPr>
          <w:sz w:val="24"/>
          <w:szCs w:val="24"/>
          <w:lang w:val="es-ES" w:eastAsia="es-ES"/>
        </w:rPr>
        <w:t>El Tribunal Administrativo d</w:t>
      </w:r>
      <w:r>
        <w:rPr>
          <w:sz w:val="24"/>
          <w:szCs w:val="24"/>
          <w:lang w:val="es-ES" w:eastAsia="es-ES"/>
        </w:rPr>
        <w:t>e Transporte es el competente para conocer y resolver el presente recurso de apelación de conformidad con el artículo 22 de la Ley Reguladora del Servicio Público de Transporte Remunerado de Personas en Vehículos en la Modalidad de Taxi N.7969 del 22 de di</w:t>
      </w:r>
      <w:r>
        <w:rPr>
          <w:sz w:val="24"/>
          <w:szCs w:val="24"/>
          <w:lang w:val="es-ES" w:eastAsia="es-ES"/>
        </w:rPr>
        <w:t>ciembre de 1999.</w:t>
      </w:r>
    </w:p>
    <w:p w:rsidR="00000000" w:rsidRDefault="00B1033C">
      <w:pPr>
        <w:kinsoku w:val="0"/>
        <w:overflowPunct w:val="0"/>
        <w:autoSpaceDE/>
        <w:autoSpaceDN/>
        <w:adjustRightInd/>
        <w:spacing w:before="352" w:after="1682" w:line="317" w:lineRule="exact"/>
        <w:ind w:left="72" w:right="72"/>
        <w:jc w:val="both"/>
        <w:textAlignment w:val="baseline"/>
        <w:rPr>
          <w:sz w:val="24"/>
          <w:szCs w:val="24"/>
          <w:lang w:val="es-ES" w:eastAsia="es-ES"/>
        </w:rPr>
      </w:pPr>
      <w:r>
        <w:rPr>
          <w:sz w:val="24"/>
          <w:szCs w:val="24"/>
          <w:lang w:val="es-ES" w:eastAsia="es-ES"/>
        </w:rPr>
        <w:t xml:space="preserve">Este Tribunal se avoca a realizar de previo el análisis de admisibilidad de conformidad con lo señalado en el artículo 351 párrafo 1) de la Ley General de la Administración Público y observa que la recurrente </w:t>
      </w:r>
      <w:r>
        <w:rPr>
          <w:b/>
          <w:bCs/>
          <w:sz w:val="24"/>
          <w:szCs w:val="24"/>
          <w:lang w:val="es-ES" w:eastAsia="es-ES"/>
        </w:rPr>
        <w:t>G</w:t>
      </w:r>
      <w:r w:rsidR="00CA05BE">
        <w:rPr>
          <w:b/>
          <w:bCs/>
          <w:sz w:val="24"/>
          <w:szCs w:val="24"/>
          <w:lang w:val="es-ES" w:eastAsia="es-ES"/>
        </w:rPr>
        <w:t>.Y.R.F.</w:t>
      </w:r>
      <w:r>
        <w:rPr>
          <w:b/>
          <w:bCs/>
          <w:sz w:val="24"/>
          <w:szCs w:val="24"/>
          <w:lang w:val="es-ES" w:eastAsia="es-ES"/>
        </w:rPr>
        <w:t xml:space="preserve">, </w:t>
      </w:r>
      <w:r>
        <w:rPr>
          <w:sz w:val="24"/>
          <w:szCs w:val="24"/>
          <w:lang w:val="es-ES" w:eastAsia="es-ES"/>
        </w:rPr>
        <w:t>pr</w:t>
      </w:r>
      <w:r>
        <w:rPr>
          <w:sz w:val="24"/>
          <w:szCs w:val="24"/>
          <w:lang w:val="es-ES" w:eastAsia="es-ES"/>
        </w:rPr>
        <w:t xml:space="preserve">esenta el día </w:t>
      </w:r>
      <w:r>
        <w:rPr>
          <w:b/>
          <w:bCs/>
          <w:sz w:val="24"/>
          <w:szCs w:val="24"/>
          <w:lang w:val="es-ES" w:eastAsia="es-ES"/>
        </w:rPr>
        <w:t xml:space="preserve">20 de noviembre del 2014, su RECURSO DE APELACIÓN EN SUBSIDIO, </w:t>
      </w:r>
      <w:r>
        <w:rPr>
          <w:sz w:val="24"/>
          <w:szCs w:val="24"/>
          <w:lang w:val="es-ES" w:eastAsia="es-ES"/>
        </w:rPr>
        <w:t xml:space="preserve">en contra del </w:t>
      </w:r>
      <w:r>
        <w:rPr>
          <w:b/>
          <w:bCs/>
          <w:sz w:val="24"/>
          <w:szCs w:val="24"/>
          <w:lang w:val="es-ES" w:eastAsia="es-ES"/>
        </w:rPr>
        <w:t xml:space="preserve">Artículo 7.18.15 de la Sesión Ordinaria 59-2014 del 15 de octubre del 2014, </w:t>
      </w:r>
      <w:r>
        <w:rPr>
          <w:sz w:val="24"/>
          <w:szCs w:val="24"/>
          <w:lang w:val="es-ES" w:eastAsia="es-ES"/>
        </w:rPr>
        <w:t xml:space="preserve">emitido por la Junta Directiva del Consejo de Transporte Público, no obstante el acuerdo </w:t>
      </w:r>
      <w:r>
        <w:rPr>
          <w:sz w:val="24"/>
          <w:szCs w:val="24"/>
          <w:lang w:val="es-ES" w:eastAsia="es-ES"/>
        </w:rPr>
        <w:t xml:space="preserve">impugnado le fue notificado vía fax el día </w:t>
      </w:r>
      <w:r>
        <w:rPr>
          <w:b/>
          <w:bCs/>
          <w:sz w:val="24"/>
          <w:szCs w:val="24"/>
          <w:lang w:val="es-ES" w:eastAsia="es-ES"/>
        </w:rPr>
        <w:t xml:space="preserve">10 de noviembre del 2014, </w:t>
      </w:r>
      <w:r>
        <w:rPr>
          <w:sz w:val="24"/>
          <w:szCs w:val="24"/>
          <w:lang w:val="es-ES" w:eastAsia="es-ES"/>
        </w:rPr>
        <w:t>con lo cual queda probada la extemporaneidad de la presentación de los recursos ordinarios y así debe declararse. (Léanse los folios 8 y 15 del expediente administrativo TAT-246-15)</w:t>
      </w:r>
    </w:p>
    <w:p w:rsidR="00000000" w:rsidRDefault="00B1033C">
      <w:pPr>
        <w:widowControl/>
        <w:rPr>
          <w:sz w:val="24"/>
          <w:szCs w:val="24"/>
        </w:rPr>
        <w:sectPr w:rsidR="00000000">
          <w:pgSz w:w="12134" w:h="15840"/>
          <w:pgMar w:top="1340" w:right="1463" w:bottom="230" w:left="1671" w:header="720" w:footer="720" w:gutter="0"/>
          <w:cols w:space="720"/>
          <w:noEndnote/>
        </w:sectPr>
      </w:pPr>
    </w:p>
    <w:p w:rsidR="00000000" w:rsidRDefault="00B1033C">
      <w:pPr>
        <w:widowControl/>
        <w:rPr>
          <w:sz w:val="24"/>
          <w:szCs w:val="24"/>
        </w:rPr>
        <w:sectPr w:rsidR="00000000">
          <w:type w:val="continuous"/>
          <w:pgSz w:w="12134" w:h="15840"/>
          <w:pgMar w:top="1340" w:right="1652" w:bottom="230" w:left="8262" w:header="720" w:footer="720" w:gutter="0"/>
          <w:cols w:space="720"/>
          <w:noEndnote/>
        </w:sectPr>
      </w:pPr>
    </w:p>
    <w:p w:rsidR="00000000" w:rsidRDefault="00B1033C">
      <w:pPr>
        <w:kinsoku w:val="0"/>
        <w:overflowPunct w:val="0"/>
        <w:autoSpaceDE/>
        <w:autoSpaceDN/>
        <w:adjustRightInd/>
        <w:spacing w:before="7" w:after="378" w:line="274" w:lineRule="exact"/>
        <w:jc w:val="center"/>
        <w:textAlignment w:val="baseline"/>
        <w:rPr>
          <w:b/>
          <w:bCs/>
          <w:spacing w:val="5"/>
          <w:sz w:val="23"/>
          <w:szCs w:val="23"/>
          <w:lang w:val="es-ES" w:eastAsia="es-ES"/>
        </w:rPr>
      </w:pPr>
      <w:r>
        <w:rPr>
          <w:b/>
          <w:bCs/>
          <w:spacing w:val="5"/>
          <w:sz w:val="23"/>
          <w:szCs w:val="23"/>
          <w:lang w:val="es-ES" w:eastAsia="es-ES"/>
        </w:rPr>
        <w:lastRenderedPageBreak/>
        <w:t>POR TANTO</w:t>
      </w:r>
    </w:p>
    <w:p w:rsidR="00000000" w:rsidRDefault="00B1033C">
      <w:pPr>
        <w:widowControl/>
        <w:rPr>
          <w:sz w:val="24"/>
          <w:szCs w:val="24"/>
        </w:rPr>
        <w:sectPr w:rsidR="00000000">
          <w:pgSz w:w="12134" w:h="15840"/>
          <w:pgMar w:top="1400" w:right="4832" w:bottom="240" w:left="5082" w:header="720" w:footer="720" w:gutter="0"/>
          <w:cols w:space="720"/>
          <w:noEndnote/>
        </w:sectPr>
      </w:pPr>
    </w:p>
    <w:p w:rsidR="00000000" w:rsidRDefault="00B1033C">
      <w:pPr>
        <w:numPr>
          <w:ilvl w:val="0"/>
          <w:numId w:val="7"/>
        </w:numPr>
        <w:kinsoku w:val="0"/>
        <w:overflowPunct w:val="0"/>
        <w:autoSpaceDE/>
        <w:autoSpaceDN/>
        <w:adjustRightInd/>
        <w:spacing w:line="306" w:lineRule="exact"/>
        <w:ind w:right="432"/>
        <w:jc w:val="both"/>
        <w:textAlignment w:val="baseline"/>
        <w:rPr>
          <w:spacing w:val="-2"/>
          <w:sz w:val="23"/>
          <w:szCs w:val="23"/>
          <w:lang w:val="es-ES" w:eastAsia="es-ES"/>
        </w:rPr>
      </w:pPr>
      <w:r>
        <w:rPr>
          <w:spacing w:val="-2"/>
          <w:sz w:val="23"/>
          <w:szCs w:val="23"/>
          <w:lang w:val="es-ES" w:eastAsia="es-ES"/>
        </w:rPr>
        <w:t xml:space="preserve">Se declara EXTEMPORÁNEO el RECURSO DE APELACIÓN EN SUBSIDIO, presentado por </w:t>
      </w:r>
      <w:r>
        <w:rPr>
          <w:b/>
          <w:bCs/>
          <w:spacing w:val="-2"/>
          <w:sz w:val="23"/>
          <w:szCs w:val="23"/>
          <w:lang w:val="es-ES" w:eastAsia="es-ES"/>
        </w:rPr>
        <w:t>G</w:t>
      </w:r>
      <w:r w:rsidR="0048473F">
        <w:rPr>
          <w:b/>
          <w:bCs/>
          <w:spacing w:val="-2"/>
          <w:sz w:val="23"/>
          <w:szCs w:val="23"/>
          <w:lang w:val="es-ES" w:eastAsia="es-ES"/>
        </w:rPr>
        <w:t>.Y.R.F.</w:t>
      </w:r>
      <w:r>
        <w:rPr>
          <w:b/>
          <w:bCs/>
          <w:spacing w:val="-2"/>
          <w:sz w:val="23"/>
          <w:szCs w:val="23"/>
          <w:lang w:val="es-ES" w:eastAsia="es-ES"/>
        </w:rPr>
        <w:t xml:space="preserve">, </w:t>
      </w:r>
      <w:r>
        <w:rPr>
          <w:spacing w:val="-2"/>
          <w:sz w:val="23"/>
          <w:szCs w:val="23"/>
          <w:lang w:val="es-ES" w:eastAsia="es-ES"/>
        </w:rPr>
        <w:t xml:space="preserve">cédula de identidad número </w:t>
      </w:r>
      <w:r w:rsidR="0048473F">
        <w:rPr>
          <w:spacing w:val="-2"/>
          <w:sz w:val="23"/>
          <w:szCs w:val="23"/>
          <w:lang w:val="es-ES" w:eastAsia="es-ES"/>
        </w:rPr>
        <w:t>…</w:t>
      </w:r>
      <w:r>
        <w:rPr>
          <w:spacing w:val="-2"/>
          <w:sz w:val="23"/>
          <w:szCs w:val="23"/>
          <w:lang w:val="es-ES" w:eastAsia="es-ES"/>
        </w:rPr>
        <w:t xml:space="preserve">, contra el </w:t>
      </w:r>
      <w:r>
        <w:rPr>
          <w:b/>
          <w:bCs/>
          <w:spacing w:val="-2"/>
          <w:sz w:val="23"/>
          <w:szCs w:val="23"/>
          <w:lang w:val="es-ES" w:eastAsia="es-ES"/>
        </w:rPr>
        <w:t>Artícul</w:t>
      </w:r>
      <w:r>
        <w:rPr>
          <w:b/>
          <w:bCs/>
          <w:spacing w:val="-2"/>
          <w:sz w:val="23"/>
          <w:szCs w:val="23"/>
          <w:lang w:val="es-ES" w:eastAsia="es-ES"/>
        </w:rPr>
        <w:t xml:space="preserve">o 7.18.15 de la Sesión Ordinaria 59-2014 del 15 de octubre del 2014, </w:t>
      </w:r>
      <w:r>
        <w:rPr>
          <w:spacing w:val="-2"/>
          <w:sz w:val="23"/>
          <w:szCs w:val="23"/>
          <w:lang w:val="es-ES" w:eastAsia="es-ES"/>
        </w:rPr>
        <w:t>emitida por la Junta Directiva del Consejo de Transporte Público y se ordena el archivo del expediente.</w:t>
      </w:r>
    </w:p>
    <w:p w:rsidR="0048473F" w:rsidRPr="0048473F" w:rsidRDefault="00B1033C" w:rsidP="0048473F">
      <w:pPr>
        <w:numPr>
          <w:ilvl w:val="0"/>
          <w:numId w:val="8"/>
        </w:numPr>
        <w:kinsoku w:val="0"/>
        <w:overflowPunct w:val="0"/>
        <w:autoSpaceDE/>
        <w:autoSpaceDN/>
        <w:adjustRightInd/>
        <w:spacing w:before="639" w:after="715" w:line="318" w:lineRule="exact"/>
        <w:ind w:right="432"/>
        <w:jc w:val="both"/>
        <w:textAlignment w:val="baseline"/>
        <w:rPr>
          <w:sz w:val="24"/>
          <w:szCs w:val="24"/>
        </w:rPr>
      </w:pPr>
      <w:r>
        <w:rPr>
          <w:sz w:val="23"/>
          <w:szCs w:val="23"/>
          <w:lang w:val="es-ES" w:eastAsia="es-ES"/>
        </w:rPr>
        <w:t>Por carecer la presente resolución de ulterior recurso en sede administrativa,</w:t>
      </w:r>
      <w:r>
        <w:rPr>
          <w:sz w:val="23"/>
          <w:szCs w:val="23"/>
          <w:lang w:val="es-ES" w:eastAsia="es-ES"/>
        </w:rPr>
        <w:t xml:space="preserve"> de conformidad con los artículos 16 y 22, inciso c), de la Ley 7969, </w:t>
      </w:r>
      <w:r>
        <w:rPr>
          <w:i/>
          <w:iCs/>
          <w:sz w:val="23"/>
          <w:szCs w:val="23"/>
          <w:lang w:val="es-ES" w:eastAsia="es-ES"/>
        </w:rPr>
        <w:t>se d</w:t>
      </w:r>
      <w:r>
        <w:rPr>
          <w:i/>
          <w:iCs/>
          <w:sz w:val="23"/>
          <w:szCs w:val="23"/>
          <w:lang w:val="es-ES" w:eastAsia="es-ES"/>
        </w:rPr>
        <w:t>a</w:t>
      </w:r>
      <w:r>
        <w:rPr>
          <w:i/>
          <w:iCs/>
          <w:sz w:val="23"/>
          <w:szCs w:val="23"/>
          <w:lang w:val="es-ES" w:eastAsia="es-ES"/>
        </w:rPr>
        <w:t xml:space="preserve"> </w:t>
      </w:r>
      <w:r>
        <w:rPr>
          <w:i/>
          <w:iCs/>
          <w:sz w:val="23"/>
          <w:szCs w:val="23"/>
          <w:lang w:val="es-ES" w:eastAsia="es-ES"/>
        </w:rPr>
        <w:t xml:space="preserve">por agotada la vía administrativa. </w:t>
      </w:r>
      <w:r>
        <w:rPr>
          <w:b/>
          <w:bCs/>
          <w:sz w:val="23"/>
          <w:szCs w:val="23"/>
          <w:lang w:val="es-ES" w:eastAsia="es-ES"/>
        </w:rPr>
        <w:t>NOTIFÍQUESE.</w:t>
      </w:r>
      <w:r>
        <w:rPr>
          <w:b/>
          <w:bCs/>
          <w:sz w:val="23"/>
          <w:szCs w:val="23"/>
          <w:lang w:val="es-ES" w:eastAsia="es-ES"/>
        </w:rPr>
        <w:noBreakHyphen/>
      </w:r>
    </w:p>
    <w:p w:rsidR="0048473F" w:rsidRPr="00AE0D42" w:rsidRDefault="0048473F" w:rsidP="0048473F">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Pr>
          <w:sz w:val="24"/>
          <w:szCs w:val="24"/>
        </w:rPr>
        <w:t xml:space="preserve"> </w:t>
      </w:r>
      <w:r w:rsidRPr="00AE0D42">
        <w:rPr>
          <w:rStyle w:val="CharacterStyle1"/>
          <w:iCs/>
          <w:spacing w:val="5"/>
          <w:sz w:val="26"/>
          <w:szCs w:val="26"/>
        </w:rPr>
        <w:t>Lic. Carlos Miguel Portuguez Méndez</w:t>
      </w:r>
    </w:p>
    <w:p w:rsidR="0048473F" w:rsidRDefault="0048473F" w:rsidP="0048473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48473F" w:rsidRPr="00AE0D42" w:rsidRDefault="0048473F" w:rsidP="0048473F">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48473F" w:rsidRDefault="0048473F" w:rsidP="0048473F">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48473F" w:rsidRDefault="0048473F" w:rsidP="0048473F">
      <w:pPr>
        <w:kinsoku w:val="0"/>
        <w:overflowPunct w:val="0"/>
        <w:autoSpaceDE/>
        <w:autoSpaceDN/>
        <w:adjustRightInd/>
        <w:spacing w:before="332" w:after="1223" w:line="270" w:lineRule="exact"/>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000000" w:rsidRDefault="00B1033C" w:rsidP="0048473F">
      <w:pPr>
        <w:numPr>
          <w:ilvl w:val="0"/>
          <w:numId w:val="8"/>
        </w:numPr>
        <w:kinsoku w:val="0"/>
        <w:overflowPunct w:val="0"/>
        <w:autoSpaceDE/>
        <w:autoSpaceDN/>
        <w:adjustRightInd/>
        <w:spacing w:before="639" w:after="715" w:line="318" w:lineRule="exact"/>
        <w:ind w:right="432"/>
        <w:textAlignment w:val="baseline"/>
        <w:rPr>
          <w:sz w:val="24"/>
          <w:szCs w:val="24"/>
        </w:rPr>
        <w:sectPr w:rsidR="00000000">
          <w:type w:val="continuous"/>
          <w:pgSz w:w="12134" w:h="15840"/>
          <w:pgMar w:top="1400" w:right="1036" w:bottom="240" w:left="1738" w:header="720" w:footer="720" w:gutter="0"/>
          <w:cols w:space="720"/>
          <w:noEndnote/>
        </w:sectPr>
      </w:pPr>
    </w:p>
    <w:p w:rsidR="00B1033C" w:rsidRDefault="00B1033C">
      <w:pPr>
        <w:kinsoku w:val="0"/>
        <w:overflowPunct w:val="0"/>
        <w:autoSpaceDE/>
        <w:autoSpaceDN/>
        <w:adjustRightInd/>
        <w:spacing w:line="261" w:lineRule="exact"/>
        <w:textAlignment w:val="baseline"/>
        <w:rPr>
          <w:spacing w:val="-12"/>
          <w:sz w:val="23"/>
          <w:szCs w:val="23"/>
          <w:lang w:val="es-ES" w:eastAsia="es-ES"/>
        </w:rPr>
      </w:pPr>
    </w:p>
    <w:sectPr w:rsidR="00B1033C">
      <w:type w:val="continuous"/>
      <w:pgSz w:w="12134" w:h="15840"/>
      <w:pgMar w:top="1400" w:right="1656" w:bottom="240" w:left="825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ECD0"/>
    <w:multiLevelType w:val="singleLevel"/>
    <w:tmpl w:val="150927FA"/>
    <w:lvl w:ilvl="0">
      <w:start w:val="1"/>
      <w:numFmt w:val="decimal"/>
      <w:lvlText w:val="%1."/>
      <w:lvlJc w:val="left"/>
      <w:pPr>
        <w:tabs>
          <w:tab w:val="num" w:pos="792"/>
        </w:tabs>
        <w:ind w:left="792" w:hanging="360"/>
      </w:pPr>
      <w:rPr>
        <w:snapToGrid/>
        <w:sz w:val="22"/>
        <w:szCs w:val="22"/>
      </w:rPr>
    </w:lvl>
  </w:abstractNum>
  <w:abstractNum w:abstractNumId="1" w15:restartNumberingAfterBreak="0">
    <w:nsid w:val="022FD5DA"/>
    <w:multiLevelType w:val="singleLevel"/>
    <w:tmpl w:val="02D04AFE"/>
    <w:lvl w:ilvl="0">
      <w:start w:val="2"/>
      <w:numFmt w:val="lowerLetter"/>
      <w:lvlText w:val="%1)"/>
      <w:lvlJc w:val="left"/>
      <w:pPr>
        <w:tabs>
          <w:tab w:val="num" w:pos="720"/>
        </w:tabs>
        <w:ind w:left="720" w:hanging="360"/>
      </w:pPr>
      <w:rPr>
        <w:snapToGrid/>
        <w:sz w:val="20"/>
        <w:szCs w:val="20"/>
      </w:rPr>
    </w:lvl>
  </w:abstractNum>
  <w:abstractNum w:abstractNumId="2" w15:restartNumberingAfterBreak="0">
    <w:nsid w:val="02A980D3"/>
    <w:multiLevelType w:val="singleLevel"/>
    <w:tmpl w:val="B6F42B00"/>
    <w:lvl w:ilvl="0">
      <w:numFmt w:val="bullet"/>
      <w:lvlText w:val="-"/>
      <w:lvlJc w:val="left"/>
      <w:pPr>
        <w:tabs>
          <w:tab w:val="num" w:pos="720"/>
        </w:tabs>
        <w:ind w:left="720" w:hanging="360"/>
      </w:pPr>
      <w:rPr>
        <w:rFonts w:ascii="Symbol" w:hAnsi="Symbol" w:cs="Symbol"/>
        <w:snapToGrid/>
        <w:sz w:val="20"/>
        <w:szCs w:val="20"/>
        <w:u w:val="none"/>
      </w:rPr>
    </w:lvl>
  </w:abstractNum>
  <w:abstractNum w:abstractNumId="3" w15:restartNumberingAfterBreak="0">
    <w:nsid w:val="02EFF9A6"/>
    <w:multiLevelType w:val="singleLevel"/>
    <w:tmpl w:val="4AAA12D9"/>
    <w:lvl w:ilvl="0">
      <w:start w:val="4"/>
      <w:numFmt w:val="decimal"/>
      <w:lvlText w:val="%1."/>
      <w:lvlJc w:val="left"/>
      <w:pPr>
        <w:tabs>
          <w:tab w:val="num" w:pos="792"/>
        </w:tabs>
        <w:ind w:left="792" w:hanging="360"/>
      </w:pPr>
      <w:rPr>
        <w:snapToGrid/>
        <w:spacing w:val="4"/>
        <w:sz w:val="21"/>
        <w:szCs w:val="21"/>
      </w:rPr>
    </w:lvl>
  </w:abstractNum>
  <w:abstractNum w:abstractNumId="4" w15:restartNumberingAfterBreak="0">
    <w:nsid w:val="079033BE"/>
    <w:multiLevelType w:val="singleLevel"/>
    <w:tmpl w:val="1A22D872"/>
    <w:lvl w:ilvl="0">
      <w:start w:val="1"/>
      <w:numFmt w:val="upperRoman"/>
      <w:lvlText w:val="%1."/>
      <w:lvlJc w:val="left"/>
      <w:pPr>
        <w:tabs>
          <w:tab w:val="num" w:pos="432"/>
        </w:tabs>
      </w:pPr>
      <w:rPr>
        <w:b/>
        <w:snapToGrid/>
        <w:spacing w:val="-2"/>
        <w:sz w:val="23"/>
        <w:szCs w:val="23"/>
      </w:rPr>
    </w:lvl>
  </w:abstractNum>
  <w:num w:numId="1">
    <w:abstractNumId w:val="0"/>
  </w:num>
  <w:num w:numId="2">
    <w:abstractNumId w:val="3"/>
  </w:num>
  <w:num w:numId="3">
    <w:abstractNumId w:val="1"/>
  </w:num>
  <w:num w:numId="4">
    <w:abstractNumId w:val="1"/>
    <w:lvlOverride w:ilvl="0">
      <w:lvl w:ilvl="0">
        <w:numFmt w:val="lowerLetter"/>
        <w:lvlText w:val="%1)"/>
        <w:lvlJc w:val="left"/>
        <w:pPr>
          <w:tabs>
            <w:tab w:val="num" w:pos="720"/>
          </w:tabs>
          <w:ind w:left="720" w:hanging="360"/>
        </w:pPr>
        <w:rPr>
          <w:b w:val="0"/>
          <w:bCs/>
          <w:snapToGrid/>
          <w:spacing w:val="-3"/>
          <w:sz w:val="22"/>
          <w:szCs w:val="22"/>
        </w:rPr>
      </w:lvl>
    </w:lvlOverride>
  </w:num>
  <w:num w:numId="5">
    <w:abstractNumId w:val="2"/>
  </w:num>
  <w:num w:numId="6">
    <w:abstractNumId w:val="2"/>
    <w:lvlOverride w:ilvl="0">
      <w:lvl w:ilvl="0">
        <w:numFmt w:val="bullet"/>
        <w:lvlText w:val="-"/>
        <w:lvlJc w:val="left"/>
        <w:pPr>
          <w:tabs>
            <w:tab w:val="num" w:pos="720"/>
          </w:tabs>
          <w:ind w:left="720" w:hanging="360"/>
        </w:pPr>
        <w:rPr>
          <w:rFonts w:ascii="Symbol" w:hAnsi="Symbol" w:cs="Symbol"/>
          <w:snapToGrid/>
          <w:sz w:val="20"/>
          <w:szCs w:val="20"/>
        </w:rPr>
      </w:lvl>
    </w:lvlOverride>
  </w:num>
  <w:num w:numId="7">
    <w:abstractNumId w:val="4"/>
  </w:num>
  <w:num w:numId="8">
    <w:abstractNumId w:val="4"/>
    <w:lvlOverride w:ilvl="0">
      <w:lvl w:ilvl="0">
        <w:numFmt w:val="upperRoman"/>
        <w:lvlText w:val="%1."/>
        <w:lvlJc w:val="left"/>
        <w:pPr>
          <w:tabs>
            <w:tab w:val="num" w:pos="432"/>
          </w:tabs>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C7"/>
    <w:rsid w:val="0048473F"/>
    <w:rsid w:val="00AB7351"/>
    <w:rsid w:val="00AD10C7"/>
    <w:rsid w:val="00B1033C"/>
    <w:rsid w:val="00CA05B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865B7"/>
  <w14:defaultImageDpi w14:val="0"/>
  <w15:docId w15:val="{EF542107-3065-4A3E-A473-D769DAFA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8473F"/>
    <w:rPr>
      <w:lang w:val="es-CR"/>
    </w:rPr>
  </w:style>
  <w:style w:type="character" w:customStyle="1" w:styleId="CharacterStyle1">
    <w:name w:val="Character Style 1"/>
    <w:uiPriority w:val="99"/>
    <w:rsid w:val="004847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E35F-553C-45AC-8439-5E0AD597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9066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2016-05-30T21:38:00Z</dcterms:created>
  <dcterms:modified xsi:type="dcterms:W3CDTF">2016-05-30T21:39:00Z</dcterms:modified>
</cp:coreProperties>
</file>