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49EF">
      <w:pPr>
        <w:kinsoku w:val="0"/>
        <w:overflowPunct w:val="0"/>
        <w:autoSpaceDE/>
        <w:autoSpaceDN/>
        <w:adjustRightInd/>
        <w:spacing w:line="293" w:lineRule="exact"/>
        <w:jc w:val="center"/>
        <w:textAlignment w:val="baseline"/>
        <w:rPr>
          <w:b/>
          <w:bCs/>
          <w:spacing w:val="5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t>RESOLUCIÓN No. TAT-2782-2015</w:t>
      </w:r>
    </w:p>
    <w:p w:rsidR="00000000" w:rsidRDefault="008849EF">
      <w:pPr>
        <w:kinsoku w:val="0"/>
        <w:overflowPunct w:val="0"/>
        <w:autoSpaceDE/>
        <w:autoSpaceDN/>
        <w:adjustRightInd/>
        <w:spacing w:before="372" w:line="288" w:lineRule="exact"/>
        <w:textAlignment w:val="baseline"/>
        <w:rPr>
          <w:spacing w:val="11"/>
          <w:sz w:val="25"/>
          <w:szCs w:val="25"/>
          <w:lang w:val="es-ES" w:eastAsia="es-ES"/>
        </w:rPr>
      </w:pPr>
      <w:r>
        <w:rPr>
          <w:b/>
          <w:bCs/>
          <w:spacing w:val="11"/>
          <w:sz w:val="25"/>
          <w:szCs w:val="25"/>
          <w:lang w:val="es-ES" w:eastAsia="es-ES"/>
        </w:rPr>
        <w:t xml:space="preserve">TRIBUNAL ADMINISTRATIVO DE TRANSPORTE.- </w:t>
      </w:r>
      <w:r>
        <w:rPr>
          <w:spacing w:val="11"/>
          <w:sz w:val="25"/>
          <w:szCs w:val="25"/>
          <w:lang w:val="es-ES" w:eastAsia="es-ES"/>
        </w:rPr>
        <w:t>San José, a las 10:10</w:t>
      </w:r>
    </w:p>
    <w:p w:rsidR="00000000" w:rsidRDefault="008849EF">
      <w:pPr>
        <w:tabs>
          <w:tab w:val="right" w:leader="hyphen" w:pos="8856"/>
        </w:tabs>
        <w:kinsoku w:val="0"/>
        <w:overflowPunct w:val="0"/>
        <w:autoSpaceDE/>
        <w:autoSpaceDN/>
        <w:adjustRightInd/>
        <w:spacing w:before="56" w:line="288" w:lineRule="exact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horas del dí</w:t>
      </w:r>
      <w:r>
        <w:rPr>
          <w:sz w:val="25"/>
          <w:szCs w:val="25"/>
          <w:lang w:val="es-ES" w:eastAsia="es-ES"/>
        </w:rPr>
        <w:t>a Treinta del mes de Setiembre del Dos Mil Quince.</w:t>
      </w:r>
      <w:r>
        <w:rPr>
          <w:sz w:val="25"/>
          <w:szCs w:val="25"/>
          <w:lang w:val="es-ES" w:eastAsia="es-ES"/>
        </w:rPr>
        <w:tab/>
      </w:r>
    </w:p>
    <w:p w:rsidR="00000000" w:rsidRPr="00F80C70" w:rsidRDefault="008849EF">
      <w:pPr>
        <w:kinsoku w:val="0"/>
        <w:overflowPunct w:val="0"/>
        <w:autoSpaceDE/>
        <w:autoSpaceDN/>
        <w:adjustRightInd/>
        <w:spacing w:before="357" w:line="346" w:lineRule="exact"/>
        <w:ind w:right="144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spacing w:val="10"/>
          <w:sz w:val="25"/>
          <w:szCs w:val="25"/>
          <w:lang w:val="es-ES" w:eastAsia="es-ES"/>
        </w:rPr>
        <w:t xml:space="preserve">Se conoce por este medio de </w:t>
      </w:r>
      <w:r>
        <w:rPr>
          <w:b/>
          <w:bCs/>
          <w:spacing w:val="10"/>
          <w:sz w:val="25"/>
          <w:szCs w:val="25"/>
          <w:lang w:val="es-ES" w:eastAsia="es-ES"/>
        </w:rPr>
        <w:t>GESTIÓN O SOLICITUD DE CUMPLIMIENTO DE LA RESOLUCIÓN No. TAT-2570-2015 DE ESTE TRIBUNAL Y DE ANULACIÓN DEL ACUERDO No. 7.8.3 DE LA SESIÓN ORDINARIA No. 37-2015 DE LA JUNTA DIRE</w:t>
      </w:r>
      <w:r>
        <w:rPr>
          <w:b/>
          <w:bCs/>
          <w:spacing w:val="10"/>
          <w:sz w:val="25"/>
          <w:szCs w:val="25"/>
          <w:lang w:val="es-ES" w:eastAsia="es-ES"/>
        </w:rPr>
        <w:t xml:space="preserve">CTIVA DEL CONSEJO DE TRANSPORTE PÚBLICO, </w:t>
      </w:r>
      <w:r>
        <w:rPr>
          <w:spacing w:val="10"/>
          <w:sz w:val="25"/>
          <w:szCs w:val="25"/>
          <w:lang w:val="es-ES" w:eastAsia="es-ES"/>
        </w:rPr>
        <w:t>presentada por el D</w:t>
      </w:r>
      <w:r w:rsidR="00F80C70">
        <w:rPr>
          <w:spacing w:val="10"/>
          <w:sz w:val="25"/>
          <w:szCs w:val="25"/>
          <w:lang w:val="es-ES" w:eastAsia="es-ES"/>
        </w:rPr>
        <w:t>.E.R.F.</w:t>
      </w:r>
      <w:r>
        <w:rPr>
          <w:spacing w:val="10"/>
          <w:sz w:val="25"/>
          <w:szCs w:val="25"/>
          <w:lang w:val="es-ES" w:eastAsia="es-ES"/>
        </w:rPr>
        <w:t>, de calidades conocidas, quien actúa en su condición de Apoderado Especial Administrativo de la firma A</w:t>
      </w:r>
      <w:r w:rsidR="00F80C70">
        <w:rPr>
          <w:spacing w:val="10"/>
          <w:sz w:val="25"/>
          <w:szCs w:val="25"/>
          <w:lang w:val="es-ES" w:eastAsia="es-ES"/>
        </w:rPr>
        <w:t>.D.P.A.S.A.</w:t>
      </w:r>
      <w:r>
        <w:rPr>
          <w:spacing w:val="10"/>
          <w:sz w:val="25"/>
          <w:szCs w:val="25"/>
          <w:lang w:val="es-ES" w:eastAsia="es-ES"/>
        </w:rPr>
        <w:t>, cédula jurídica número</w:t>
      </w:r>
      <w:r>
        <w:rPr>
          <w:spacing w:val="10"/>
          <w:sz w:val="25"/>
          <w:szCs w:val="25"/>
          <w:lang w:val="es-ES" w:eastAsia="es-ES"/>
        </w:rPr>
        <w:t xml:space="preserve"> 3-101-228690, según lo determinado a los Expedientes de este Tribunal Nos. TAT-270-15 y TAT-219-15.- </w:t>
      </w:r>
      <w:r w:rsidRPr="00F80C70">
        <w:rPr>
          <w:b/>
          <w:i/>
          <w:iCs/>
          <w:spacing w:val="10"/>
          <w:sz w:val="25"/>
          <w:szCs w:val="25"/>
          <w:lang w:val="es-ES" w:eastAsia="es-ES"/>
        </w:rPr>
        <w:t>EXPEDIENTE ADMINISTRATIVO No. TAT-313-15.</w:t>
      </w:r>
      <w:r w:rsidRPr="00F80C70">
        <w:rPr>
          <w:b/>
          <w:i/>
          <w:iCs/>
          <w:spacing w:val="10"/>
          <w:sz w:val="25"/>
          <w:szCs w:val="25"/>
          <w:lang w:val="es-ES" w:eastAsia="es-ES"/>
        </w:rPr>
        <w:noBreakHyphen/>
      </w:r>
    </w:p>
    <w:p w:rsidR="00000000" w:rsidRPr="00F80C70" w:rsidRDefault="008849EF">
      <w:pPr>
        <w:kinsoku w:val="0"/>
        <w:overflowPunct w:val="0"/>
        <w:autoSpaceDE/>
        <w:autoSpaceDN/>
        <w:adjustRightInd/>
        <w:spacing w:before="410" w:line="304" w:lineRule="exact"/>
        <w:jc w:val="center"/>
        <w:textAlignment w:val="baseline"/>
        <w:rPr>
          <w:b/>
          <w:i/>
          <w:iCs/>
          <w:spacing w:val="9"/>
          <w:sz w:val="25"/>
          <w:szCs w:val="25"/>
          <w:lang w:val="es-ES" w:eastAsia="es-ES"/>
        </w:rPr>
      </w:pPr>
      <w:r w:rsidRPr="00F80C70">
        <w:rPr>
          <w:b/>
          <w:i/>
          <w:iCs/>
          <w:spacing w:val="9"/>
          <w:sz w:val="25"/>
          <w:szCs w:val="25"/>
          <w:lang w:val="es-ES" w:eastAsia="es-ES"/>
        </w:rPr>
        <w:t>Considerando Único</w:t>
      </w:r>
    </w:p>
    <w:p w:rsidR="00000000" w:rsidRDefault="008849EF">
      <w:pPr>
        <w:kinsoku w:val="0"/>
        <w:overflowPunct w:val="0"/>
        <w:autoSpaceDE/>
        <w:autoSpaceDN/>
        <w:adjustRightInd/>
        <w:spacing w:before="269" w:line="347" w:lineRule="exact"/>
        <w:ind w:right="14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En la especie y mediante Memorial de fecha 25 de Agosto del 2015, recibido en esa misma fech</w:t>
      </w:r>
      <w:r>
        <w:rPr>
          <w:sz w:val="25"/>
          <w:szCs w:val="25"/>
          <w:lang w:val="es-ES" w:eastAsia="es-ES"/>
        </w:rPr>
        <w:t>a por este Tribunal, el D</w:t>
      </w:r>
      <w:r w:rsidR="00F80C70">
        <w:rPr>
          <w:sz w:val="25"/>
          <w:szCs w:val="25"/>
          <w:lang w:val="es-ES" w:eastAsia="es-ES"/>
        </w:rPr>
        <w:t>.R.F.</w:t>
      </w:r>
      <w:r>
        <w:rPr>
          <w:sz w:val="25"/>
          <w:szCs w:val="25"/>
          <w:lang w:val="es-ES" w:eastAsia="es-ES"/>
        </w:rPr>
        <w:t xml:space="preserve"> Gestiona la Resolución de las Impugnaciones que ha presentado por su Representada dicha; en contra del Acuerdo No. 7.8.3 de la Sesión Ordinaria No. 37-2015 de la Junta Directiva del Consejo de Transporte Público; as</w:t>
      </w:r>
      <w:r>
        <w:rPr>
          <w:sz w:val="25"/>
          <w:szCs w:val="25"/>
          <w:lang w:val="es-ES" w:eastAsia="es-ES"/>
        </w:rPr>
        <w:t xml:space="preserve">í como correlativamente pide se Ejecute y/o Cumpla con lo previamente determinado por este Tribunal mediante la Resolución No. TAT-2570-2015, indicando que con la emisión del Acuerdo No. 7.8.3 de la Sesión Ordinaria No. 37-2015, se violenta lo determinado </w:t>
      </w:r>
      <w:r>
        <w:rPr>
          <w:sz w:val="25"/>
          <w:szCs w:val="25"/>
          <w:lang w:val="es-ES" w:eastAsia="es-ES"/>
        </w:rPr>
        <w:t>mediante nuestra Resolución aludida.</w:t>
      </w:r>
    </w:p>
    <w:p w:rsidR="00000000" w:rsidRDefault="008849EF">
      <w:pPr>
        <w:kinsoku w:val="0"/>
        <w:overflowPunct w:val="0"/>
        <w:autoSpaceDE/>
        <w:autoSpaceDN/>
        <w:adjustRightInd/>
        <w:spacing w:before="351" w:line="347" w:lineRule="exact"/>
        <w:ind w:right="144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En cuanto a la Gestión dicha se tiene que mediante nuestras Resolución No. </w:t>
      </w:r>
      <w:r w:rsidRPr="00F80C70">
        <w:rPr>
          <w:bCs/>
          <w:sz w:val="25"/>
          <w:szCs w:val="25"/>
          <w:lang w:val="es-ES" w:eastAsia="es-ES"/>
        </w:rPr>
        <w:t>TAT-</w:t>
      </w:r>
      <w:r w:rsidRPr="00F80C70">
        <w:rPr>
          <w:sz w:val="25"/>
          <w:szCs w:val="25"/>
          <w:lang w:val="es-ES" w:eastAsia="es-ES"/>
        </w:rPr>
        <w:t>2674</w:t>
      </w:r>
      <w:r w:rsidR="00F80C70">
        <w:rPr>
          <w:sz w:val="25"/>
          <w:szCs w:val="25"/>
          <w:lang w:val="es-ES" w:eastAsia="es-ES"/>
        </w:rPr>
        <w:t>-2015 de las 12:25 ho</w:t>
      </w:r>
      <w:r>
        <w:rPr>
          <w:sz w:val="25"/>
          <w:szCs w:val="25"/>
          <w:lang w:val="es-ES" w:eastAsia="es-ES"/>
        </w:rPr>
        <w:t>ras del 31 de Julio del 2015, se Resolvieron (Rechazaron) las Impugnaciones presentadas por el D</w:t>
      </w:r>
      <w:r w:rsidR="00F80C70">
        <w:rPr>
          <w:sz w:val="25"/>
          <w:szCs w:val="25"/>
          <w:lang w:val="es-ES" w:eastAsia="es-ES"/>
        </w:rPr>
        <w:t>.R.F.</w:t>
      </w:r>
      <w:r>
        <w:rPr>
          <w:sz w:val="25"/>
          <w:szCs w:val="25"/>
          <w:lang w:val="es-ES" w:eastAsia="es-ES"/>
        </w:rPr>
        <w:t xml:space="preserve"> co</w:t>
      </w:r>
      <w:r>
        <w:rPr>
          <w:sz w:val="25"/>
          <w:szCs w:val="25"/>
          <w:lang w:val="es-ES" w:eastAsia="es-ES"/>
        </w:rPr>
        <w:t>ntra los Acuerdos Nos. 7.8.2 y 7.8.3 de la Sesión No. 37-2015. Cumpliéndose así con pertinente. Acto que fue Notificado el día 13 de Agosto del presente año.</w:t>
      </w:r>
    </w:p>
    <w:p w:rsidR="00000000" w:rsidRDefault="008849EF">
      <w:pPr>
        <w:widowControl/>
        <w:rPr>
          <w:sz w:val="24"/>
          <w:szCs w:val="24"/>
        </w:rPr>
        <w:sectPr w:rsidR="00000000">
          <w:pgSz w:w="12134" w:h="15840"/>
          <w:pgMar w:top="1360" w:right="1420" w:bottom="464" w:left="1714" w:header="720" w:footer="720" w:gutter="0"/>
          <w:cols w:space="720"/>
          <w:noEndnote/>
        </w:sectPr>
      </w:pPr>
    </w:p>
    <w:p w:rsidR="00000000" w:rsidRDefault="008849EF">
      <w:pPr>
        <w:kinsoku w:val="0"/>
        <w:overflowPunct w:val="0"/>
        <w:autoSpaceDE/>
        <w:autoSpaceDN/>
        <w:adjustRightInd/>
        <w:spacing w:line="341" w:lineRule="exact"/>
        <w:ind w:left="72" w:right="72"/>
        <w:jc w:val="both"/>
        <w:textAlignment w:val="baseline"/>
        <w:rPr>
          <w:spacing w:val="5"/>
          <w:sz w:val="24"/>
          <w:szCs w:val="24"/>
          <w:lang w:val="es-ES" w:eastAsia="es-ES"/>
        </w:rPr>
      </w:pPr>
      <w:r>
        <w:rPr>
          <w:spacing w:val="5"/>
          <w:sz w:val="24"/>
          <w:szCs w:val="24"/>
          <w:lang w:val="es-ES" w:eastAsia="es-ES"/>
        </w:rPr>
        <w:lastRenderedPageBreak/>
        <w:t>No obstante lo anterior y sin su demérito, vale apuntar que mediante Resolución No. TAT-2776-2015 de las 10:40 horas del 22 de Setiembre del 2015, ante otras Impugnaciones concomitantes, se ha determinado la Nulidad</w:t>
      </w:r>
      <w:r>
        <w:rPr>
          <w:spacing w:val="5"/>
          <w:sz w:val="24"/>
          <w:szCs w:val="24"/>
          <w:lang w:val="es-ES" w:eastAsia="es-ES"/>
        </w:rPr>
        <w:t xml:space="preserve"> del Acuerdo No. 7.8.3 de la Sesión Ordinaria No. 37-2015 de la Junta Directiva del Consejo de Transporte Público.</w:t>
      </w:r>
    </w:p>
    <w:p w:rsidR="00000000" w:rsidRDefault="008849EF">
      <w:pPr>
        <w:kinsoku w:val="0"/>
        <w:overflowPunct w:val="0"/>
        <w:autoSpaceDE/>
        <w:autoSpaceDN/>
        <w:adjustRightInd/>
        <w:spacing w:before="367" w:line="345" w:lineRule="exact"/>
        <w:ind w:left="72" w:right="72"/>
        <w:jc w:val="both"/>
        <w:textAlignment w:val="baseline"/>
        <w:rPr>
          <w:spacing w:val="6"/>
          <w:sz w:val="24"/>
          <w:szCs w:val="24"/>
          <w:lang w:val="es-ES" w:eastAsia="es-ES"/>
        </w:rPr>
      </w:pPr>
      <w:r>
        <w:rPr>
          <w:spacing w:val="6"/>
          <w:sz w:val="24"/>
          <w:szCs w:val="24"/>
          <w:lang w:val="es-ES" w:eastAsia="es-ES"/>
        </w:rPr>
        <w:t>Finalmente, en cuanto a la Posibilidad de Ordenanza o Acción Forzada (Dirección y/o Jerarquía) de este Tribunal por sobre el Consejo de Trans</w:t>
      </w:r>
      <w:r>
        <w:rPr>
          <w:spacing w:val="6"/>
          <w:sz w:val="24"/>
          <w:szCs w:val="24"/>
          <w:lang w:val="es-ES" w:eastAsia="es-ES"/>
        </w:rPr>
        <w:t>porte Público para el Cumplimiento de nuestras Resoluciones, ya antes nos hemos manifestado y bien hemos dicho:</w:t>
      </w:r>
    </w:p>
    <w:p w:rsidR="00000000" w:rsidRDefault="008849EF">
      <w:pPr>
        <w:kinsoku w:val="0"/>
        <w:overflowPunct w:val="0"/>
        <w:autoSpaceDE/>
        <w:autoSpaceDN/>
        <w:adjustRightInd/>
        <w:spacing w:before="405" w:line="279" w:lineRule="exact"/>
        <w:ind w:left="576" w:right="648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...</w:t>
      </w:r>
      <w:r>
        <w:rPr>
          <w:sz w:val="24"/>
          <w:szCs w:val="24"/>
          <w:vertAlign w:val="superscript"/>
          <w:lang w:val="es-ES" w:eastAsia="es-ES"/>
        </w:rPr>
        <w:t>-</w:t>
      </w:r>
      <w:r>
        <w:rPr>
          <w:sz w:val="24"/>
          <w:szCs w:val="24"/>
          <w:lang w:val="es-ES" w:eastAsia="es-ES"/>
        </w:rPr>
        <w:t xml:space="preserve">Como bien lo dispone el numeral 16 de la Ley No. 7969, </w:t>
      </w:r>
      <w:r>
        <w:rPr>
          <w:sz w:val="23"/>
          <w:szCs w:val="23"/>
          <w:lang w:val="es-ES" w:eastAsia="es-ES"/>
        </w:rPr>
        <w:t xml:space="preserve">las Resoluciones dictadas por este </w:t>
      </w:r>
      <w:r>
        <w:rPr>
          <w:sz w:val="24"/>
          <w:szCs w:val="24"/>
          <w:lang w:val="es-ES" w:eastAsia="es-ES"/>
        </w:rPr>
        <w:t xml:space="preserve">Tribunal </w:t>
      </w:r>
      <w:r>
        <w:rPr>
          <w:i/>
          <w:iCs/>
          <w:sz w:val="24"/>
          <w:szCs w:val="24"/>
          <w:lang w:val="es-ES" w:eastAsia="es-ES"/>
        </w:rPr>
        <w:t>--dentro del ámbito de sus competencias</w:t>
      </w:r>
      <w:r>
        <w:rPr>
          <w:i/>
          <w:iCs/>
          <w:sz w:val="27"/>
          <w:szCs w:val="27"/>
          <w:lang w:val="es-ES" w:eastAsia="es-ES"/>
        </w:rPr>
        <w:t xml:space="preserve">- </w:t>
      </w:r>
      <w:r>
        <w:rPr>
          <w:sz w:val="23"/>
          <w:szCs w:val="23"/>
          <w:lang w:val="es-ES" w:eastAsia="es-ES"/>
        </w:rPr>
        <w:t xml:space="preserve">son de acatamiento </w:t>
      </w:r>
      <w:r>
        <w:rPr>
          <w:sz w:val="24"/>
          <w:szCs w:val="24"/>
          <w:lang w:val="es-ES" w:eastAsia="es-ES"/>
        </w:rPr>
        <w:t xml:space="preserve">necesario y obligatorio para el Consejo de </w:t>
      </w:r>
      <w:r>
        <w:rPr>
          <w:sz w:val="23"/>
          <w:szCs w:val="23"/>
          <w:lang w:val="es-ES" w:eastAsia="es-ES"/>
        </w:rPr>
        <w:t xml:space="preserve">Transporte Público, como bien lo </w:t>
      </w:r>
      <w:r>
        <w:rPr>
          <w:sz w:val="24"/>
          <w:szCs w:val="24"/>
          <w:lang w:val="es-ES" w:eastAsia="es-ES"/>
        </w:rPr>
        <w:t xml:space="preserve">advierte </w:t>
      </w:r>
      <w:r>
        <w:rPr>
          <w:i/>
          <w:iCs/>
          <w:sz w:val="27"/>
          <w:szCs w:val="27"/>
          <w:lang w:val="es-ES" w:eastAsia="es-ES"/>
        </w:rPr>
        <w:t>—</w:t>
      </w:r>
      <w:r>
        <w:rPr>
          <w:i/>
          <w:iCs/>
          <w:sz w:val="24"/>
          <w:szCs w:val="24"/>
          <w:lang w:val="es-ES" w:eastAsia="es-ES"/>
        </w:rPr>
        <w:t>inclusive</w:t>
      </w:r>
      <w:r>
        <w:rPr>
          <w:i/>
          <w:iCs/>
          <w:sz w:val="27"/>
          <w:szCs w:val="27"/>
          <w:lang w:val="es-ES" w:eastAsia="es-ES"/>
        </w:rPr>
        <w:t xml:space="preserve">- </w:t>
      </w:r>
      <w:r>
        <w:rPr>
          <w:sz w:val="24"/>
          <w:szCs w:val="24"/>
          <w:lang w:val="es-ES" w:eastAsia="es-ES"/>
        </w:rPr>
        <w:t xml:space="preserve">nuestra Resolución No. TAT-2429-2014 </w:t>
      </w:r>
      <w:r>
        <w:rPr>
          <w:sz w:val="23"/>
          <w:szCs w:val="23"/>
          <w:lang w:val="es-ES" w:eastAsia="es-ES"/>
        </w:rPr>
        <w:t xml:space="preserve">de las 11:45 horas del </w:t>
      </w:r>
      <w:r>
        <w:rPr>
          <w:sz w:val="24"/>
          <w:szCs w:val="24"/>
          <w:lang w:val="es-ES" w:eastAsia="es-ES"/>
        </w:rPr>
        <w:t xml:space="preserve">16 de Diciembre del 2014. Amén de que las </w:t>
      </w:r>
      <w:r>
        <w:rPr>
          <w:sz w:val="23"/>
          <w:szCs w:val="23"/>
          <w:lang w:val="es-ES" w:eastAsia="es-ES"/>
        </w:rPr>
        <w:t xml:space="preserve">Resoluciones en cuestión </w:t>
      </w:r>
      <w:r>
        <w:rPr>
          <w:i/>
          <w:iCs/>
          <w:sz w:val="24"/>
          <w:szCs w:val="24"/>
          <w:lang w:val="es-ES" w:eastAsia="es-ES"/>
        </w:rPr>
        <w:t>(como Actos A</w:t>
      </w:r>
      <w:r>
        <w:rPr>
          <w:i/>
          <w:iCs/>
          <w:sz w:val="24"/>
          <w:szCs w:val="24"/>
          <w:lang w:val="es-ES" w:eastAsia="es-ES"/>
        </w:rPr>
        <w:t xml:space="preserve">dministrativos que son) </w:t>
      </w:r>
      <w:r>
        <w:rPr>
          <w:sz w:val="23"/>
          <w:szCs w:val="23"/>
          <w:lang w:val="es-ES" w:eastAsia="es-ES"/>
        </w:rPr>
        <w:t xml:space="preserve">van Revestidas </w:t>
      </w:r>
      <w:r>
        <w:rPr>
          <w:i/>
          <w:iCs/>
          <w:sz w:val="24"/>
          <w:szCs w:val="24"/>
          <w:lang w:val="es-ES" w:eastAsia="es-ES"/>
        </w:rPr>
        <w:t xml:space="preserve">—además- </w:t>
      </w:r>
      <w:r>
        <w:rPr>
          <w:sz w:val="23"/>
          <w:szCs w:val="23"/>
          <w:lang w:val="es-ES" w:eastAsia="es-ES"/>
        </w:rPr>
        <w:t xml:space="preserve">de los Principios de Ejecutividad y Ejecutoriedad </w:t>
      </w:r>
      <w:r>
        <w:rPr>
          <w:sz w:val="24"/>
          <w:szCs w:val="24"/>
          <w:lang w:val="es-ES" w:eastAsia="es-ES"/>
        </w:rPr>
        <w:t xml:space="preserve">señalados por los </w:t>
      </w:r>
      <w:r>
        <w:rPr>
          <w:sz w:val="23"/>
          <w:szCs w:val="23"/>
          <w:lang w:val="es-ES" w:eastAsia="es-ES"/>
        </w:rPr>
        <w:t xml:space="preserve">numerales 140 a 151 de la Ley General de </w:t>
      </w:r>
      <w:r>
        <w:rPr>
          <w:sz w:val="24"/>
          <w:szCs w:val="24"/>
          <w:lang w:val="es-ES" w:eastAsia="es-ES"/>
        </w:rPr>
        <w:t>la Administración Pública.</w:t>
      </w:r>
    </w:p>
    <w:p w:rsidR="00000000" w:rsidRDefault="008849EF" w:rsidP="00644661">
      <w:pPr>
        <w:kinsoku w:val="0"/>
        <w:overflowPunct w:val="0"/>
        <w:autoSpaceDE/>
        <w:autoSpaceDN/>
        <w:adjustRightInd/>
        <w:spacing w:before="275" w:line="283" w:lineRule="exact"/>
        <w:ind w:left="576" w:right="648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Así las cosas, se hace innecesaria </w:t>
      </w:r>
      <w:r>
        <w:rPr>
          <w:sz w:val="24"/>
          <w:szCs w:val="24"/>
          <w:lang w:val="es-ES" w:eastAsia="es-ES"/>
        </w:rPr>
        <w:t>una instancia de instrucción en cuant</w:t>
      </w:r>
      <w:r>
        <w:rPr>
          <w:sz w:val="24"/>
          <w:szCs w:val="24"/>
          <w:lang w:val="es-ES" w:eastAsia="es-ES"/>
        </w:rPr>
        <w:t xml:space="preserve">o a su </w:t>
      </w:r>
      <w:r>
        <w:rPr>
          <w:sz w:val="23"/>
          <w:szCs w:val="23"/>
          <w:lang w:val="es-ES" w:eastAsia="es-ES"/>
        </w:rPr>
        <w:t xml:space="preserve">observancia y </w:t>
      </w:r>
      <w:r>
        <w:rPr>
          <w:sz w:val="24"/>
          <w:szCs w:val="24"/>
          <w:lang w:val="es-ES" w:eastAsia="es-ES"/>
        </w:rPr>
        <w:t>cumplimiento, pues el mandato de la Ley es preclaro.</w:t>
      </w:r>
    </w:p>
    <w:p w:rsidR="00000000" w:rsidRDefault="008849EF">
      <w:pPr>
        <w:kinsoku w:val="0"/>
        <w:overflowPunct w:val="0"/>
        <w:autoSpaceDE/>
        <w:autoSpaceDN/>
        <w:adjustRightInd/>
        <w:spacing w:before="293" w:line="278" w:lineRule="exact"/>
        <w:ind w:left="576" w:right="648"/>
        <w:jc w:val="both"/>
        <w:textAlignment w:val="baseline"/>
        <w:rPr>
          <w:spacing w:val="3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Ahora bien, no </w:t>
      </w:r>
      <w:r>
        <w:rPr>
          <w:spacing w:val="3"/>
          <w:sz w:val="24"/>
          <w:szCs w:val="24"/>
          <w:lang w:val="es-ES" w:eastAsia="es-ES"/>
        </w:rPr>
        <w:t xml:space="preserve">obstante lo </w:t>
      </w:r>
      <w:r>
        <w:rPr>
          <w:spacing w:val="3"/>
          <w:sz w:val="23"/>
          <w:szCs w:val="23"/>
          <w:lang w:val="es-ES" w:eastAsia="es-ES"/>
        </w:rPr>
        <w:t xml:space="preserve">anterior, este Tribunal </w:t>
      </w:r>
      <w:r>
        <w:rPr>
          <w:spacing w:val="3"/>
          <w:sz w:val="24"/>
          <w:szCs w:val="24"/>
          <w:lang w:val="es-ES" w:eastAsia="es-ES"/>
        </w:rPr>
        <w:t xml:space="preserve">lo que ejerce es </w:t>
      </w:r>
      <w:r>
        <w:rPr>
          <w:spacing w:val="3"/>
          <w:sz w:val="23"/>
          <w:szCs w:val="23"/>
          <w:lang w:val="es-ES" w:eastAsia="es-ES"/>
        </w:rPr>
        <w:t xml:space="preserve">una Jerarquía Impropia en </w:t>
      </w:r>
      <w:r>
        <w:rPr>
          <w:spacing w:val="3"/>
          <w:sz w:val="24"/>
          <w:szCs w:val="24"/>
          <w:lang w:val="es-ES" w:eastAsia="es-ES"/>
        </w:rPr>
        <w:t xml:space="preserve">cuanto a la Revisión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(sentido laxo) </w:t>
      </w:r>
      <w:r>
        <w:rPr>
          <w:spacing w:val="3"/>
          <w:sz w:val="23"/>
          <w:szCs w:val="23"/>
          <w:lang w:val="es-ES" w:eastAsia="es-ES"/>
        </w:rPr>
        <w:t xml:space="preserve">SOLO de Legalidad de las Actuaciones </w:t>
      </w:r>
      <w:r>
        <w:rPr>
          <w:spacing w:val="3"/>
          <w:sz w:val="24"/>
          <w:szCs w:val="24"/>
          <w:lang w:val="es-ES" w:eastAsia="es-ES"/>
        </w:rPr>
        <w:t xml:space="preserve">de </w:t>
      </w:r>
      <w:r>
        <w:rPr>
          <w:spacing w:val="3"/>
          <w:sz w:val="23"/>
          <w:szCs w:val="23"/>
          <w:lang w:val="es-ES" w:eastAsia="es-ES"/>
        </w:rPr>
        <w:t xml:space="preserve">la Junta Directiva del Consejo de Transporte Público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(artículo 181 de la Ley General de la Administración Pública) </w:t>
      </w:r>
      <w:r>
        <w:rPr>
          <w:spacing w:val="3"/>
          <w:sz w:val="23"/>
          <w:szCs w:val="23"/>
          <w:lang w:val="es-ES" w:eastAsia="es-ES"/>
        </w:rPr>
        <w:t>y exclusivamente en la materia particular y especializada del Transporte Público. Así las cosas, no presenta este Tribunal una Relación Jerár</w:t>
      </w:r>
      <w:r>
        <w:rPr>
          <w:spacing w:val="3"/>
          <w:sz w:val="23"/>
          <w:szCs w:val="23"/>
          <w:lang w:val="es-ES" w:eastAsia="es-ES"/>
        </w:rPr>
        <w:t xml:space="preserve">quica propiamente, según lo dispuesto en los numerales 101 a 106 de la Ley General de la Administración Pública, ni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—per se- </w:t>
      </w:r>
      <w:r>
        <w:rPr>
          <w:spacing w:val="3"/>
          <w:sz w:val="23"/>
          <w:szCs w:val="23"/>
          <w:lang w:val="es-ES" w:eastAsia="es-ES"/>
        </w:rPr>
        <w:t xml:space="preserve">una Relación o Potestades de Dirección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(artículos 99 y 100 de la misma Ley General de la Administración Pública). </w:t>
      </w:r>
      <w:r>
        <w:rPr>
          <w:spacing w:val="3"/>
          <w:sz w:val="24"/>
          <w:szCs w:val="24"/>
          <w:lang w:val="es-ES" w:eastAsia="es-ES"/>
        </w:rPr>
        <w:t>Importando lo ant</w:t>
      </w:r>
      <w:r>
        <w:rPr>
          <w:spacing w:val="3"/>
          <w:sz w:val="24"/>
          <w:szCs w:val="24"/>
          <w:lang w:val="es-ES" w:eastAsia="es-ES"/>
        </w:rPr>
        <w:t xml:space="preserve">erior que adolezcamos de Potestades de Dirección, Instruir, Ordenar, Ajustar la </w:t>
      </w:r>
      <w:r>
        <w:rPr>
          <w:spacing w:val="3"/>
          <w:sz w:val="23"/>
          <w:szCs w:val="23"/>
          <w:lang w:val="es-ES" w:eastAsia="es-ES"/>
        </w:rPr>
        <w:t xml:space="preserve">Conducta, Avocación o similares, en cuanto a los Procederes y Conductas </w:t>
      </w:r>
      <w:r>
        <w:rPr>
          <w:i/>
          <w:iCs/>
          <w:spacing w:val="3"/>
          <w:sz w:val="24"/>
          <w:szCs w:val="24"/>
          <w:lang w:val="es-ES" w:eastAsia="es-ES"/>
        </w:rPr>
        <w:t xml:space="preserve">(activas y omisivas) </w:t>
      </w:r>
      <w:r>
        <w:rPr>
          <w:spacing w:val="3"/>
          <w:sz w:val="24"/>
          <w:szCs w:val="24"/>
          <w:lang w:val="es-ES" w:eastAsia="es-ES"/>
        </w:rPr>
        <w:t xml:space="preserve">del referido Consejo. </w:t>
      </w:r>
      <w:r>
        <w:rPr>
          <w:spacing w:val="3"/>
          <w:sz w:val="23"/>
          <w:szCs w:val="23"/>
          <w:lang w:val="es-ES" w:eastAsia="es-ES"/>
        </w:rPr>
        <w:t>Y siendo en mérito de lo anterior que no presenta competencia</w:t>
      </w:r>
      <w:r>
        <w:rPr>
          <w:spacing w:val="3"/>
          <w:sz w:val="23"/>
          <w:szCs w:val="23"/>
          <w:lang w:val="es-ES" w:eastAsia="es-ES"/>
        </w:rPr>
        <w:t xml:space="preserve"> y/o capacidad jurídica este Tribunal a efecto de acceder a lo pedido por la firma Gestionante, la cual deberá procurar la satisfacción de </w:t>
      </w:r>
      <w:r>
        <w:rPr>
          <w:spacing w:val="3"/>
          <w:sz w:val="24"/>
          <w:szCs w:val="24"/>
          <w:lang w:val="es-ES" w:eastAsia="es-ES"/>
        </w:rPr>
        <w:t xml:space="preserve">sus derechos </w:t>
      </w:r>
      <w:r>
        <w:rPr>
          <w:spacing w:val="3"/>
          <w:sz w:val="23"/>
          <w:szCs w:val="23"/>
          <w:lang w:val="es-ES" w:eastAsia="es-ES"/>
        </w:rPr>
        <w:t>y/o intereses por otros mecanismos previsto por el Ordenamiento Jurídico costarricense al efecto.</w:t>
      </w:r>
    </w:p>
    <w:p w:rsidR="00000000" w:rsidRDefault="008849EF">
      <w:pPr>
        <w:kinsoku w:val="0"/>
        <w:overflowPunct w:val="0"/>
        <w:autoSpaceDE/>
        <w:autoSpaceDN/>
        <w:adjustRightInd/>
        <w:spacing w:before="289" w:line="279" w:lineRule="exact"/>
        <w:ind w:left="576" w:right="648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En cua</w:t>
      </w:r>
      <w:r>
        <w:rPr>
          <w:sz w:val="23"/>
          <w:szCs w:val="23"/>
          <w:lang w:val="es-ES" w:eastAsia="es-ES"/>
        </w:rPr>
        <w:t>nto al tema la Sala Constitucional en su Sentencia No. 6866 de las catorce horas con treinta y siete minutos del primero de junio de dos mil cinco (Expediente No. 04-005845-007-CO), bien señala:</w:t>
      </w:r>
    </w:p>
    <w:p w:rsidR="00000000" w:rsidRDefault="008849EF">
      <w:pPr>
        <w:widowControl/>
        <w:rPr>
          <w:sz w:val="24"/>
          <w:szCs w:val="24"/>
        </w:rPr>
        <w:sectPr w:rsidR="00000000">
          <w:pgSz w:w="12134" w:h="15840"/>
          <w:pgMar w:top="1360" w:right="1458" w:bottom="886" w:left="1676" w:header="720" w:footer="720" w:gutter="0"/>
          <w:cols w:space="720"/>
          <w:noEndnote/>
        </w:sectPr>
      </w:pPr>
    </w:p>
    <w:p w:rsidR="00000000" w:rsidRDefault="00644661" w:rsidP="00644661">
      <w:pPr>
        <w:kinsoku w:val="0"/>
        <w:overflowPunct w:val="0"/>
        <w:autoSpaceDE/>
        <w:autoSpaceDN/>
        <w:adjustRightInd/>
        <w:spacing w:before="118" w:line="278" w:lineRule="exact"/>
        <w:jc w:val="both"/>
        <w:textAlignment w:val="baseline"/>
        <w:rPr>
          <w:spacing w:val="6"/>
          <w:sz w:val="23"/>
          <w:szCs w:val="23"/>
          <w:lang w:val="es-ES" w:eastAsia="es-ES"/>
        </w:rPr>
      </w:pPr>
      <w:r w:rsidRPr="00644661">
        <w:rPr>
          <w:b/>
          <w:i/>
          <w:noProof/>
          <w:lang w:val="es-CR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6870065</wp:posOffset>
                </wp:positionH>
                <wp:positionV relativeFrom="page">
                  <wp:posOffset>850900</wp:posOffset>
                </wp:positionV>
                <wp:extent cx="332105" cy="8540115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8540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849E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0.95pt;margin-top:67pt;width:26.15pt;height:67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a8KiwIAABw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" o:allowincell="f" stroked="f">
                <v:fill opacity="0"/>
                <v:textbox inset="0,0,0,0">
                  <w:txbxContent>
                    <w:p w:rsidR="00000000" w:rsidRDefault="008849E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44661">
        <w:rPr>
          <w:b/>
          <w:i/>
          <w:spacing w:val="6"/>
          <w:sz w:val="23"/>
          <w:szCs w:val="23"/>
          <w:lang w:val="es-ES" w:eastAsia="es-ES"/>
        </w:rPr>
        <w:t>…“ VII.-</w:t>
      </w:r>
      <w:r w:rsidR="008849EF" w:rsidRPr="00644661">
        <w:rPr>
          <w:b/>
          <w:i/>
          <w:spacing w:val="6"/>
          <w:sz w:val="23"/>
          <w:szCs w:val="23"/>
          <w:lang w:val="es-ES" w:eastAsia="es-ES"/>
        </w:rPr>
        <w:t>JER</w:t>
      </w:r>
      <w:r w:rsidR="008849EF" w:rsidRPr="00644661">
        <w:rPr>
          <w:b/>
          <w:i/>
          <w:spacing w:val="6"/>
          <w:sz w:val="23"/>
          <w:szCs w:val="23"/>
          <w:lang w:val="es-ES" w:eastAsia="es-ES"/>
        </w:rPr>
        <w:t xml:space="preserve">ÁRQUIAS IMPROPIAS. 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En el ámbito del procedimiento administrativo, se distingue entre el control jerárquico propio o natural que ejerce el superior jerárquico sobre lo que resuelva el inferior, el cual resulta consustancial a la estructura jerárquica o pira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midal de la organización administrativa de los órganos y entes públicos. El superior jerárquico tiene una serie de competencias o potestades respecto de sus inferiores, dentro de las cuales destaca la de fiscalizar la conducta de éstos para que se adecue a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l bloque de legalidad, los criterios de oportunidad, conveniencia o mérito y al concepto jurídico indeterminado de buena administración, todo con el propósito de respetar los principios de legalidad, objetividad, eficiencia y eficacia en el desempeño de la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 xml:space="preserve"> función administrativa, garantizándose, de esa forma, la buena marcha administrativa y su actuar coherente y razonable. </w:t>
      </w:r>
      <w:r w:rsidR="008849EF" w:rsidRPr="00644661">
        <w:rPr>
          <w:i/>
          <w:spacing w:val="6"/>
          <w:sz w:val="23"/>
          <w:szCs w:val="23"/>
          <w:lang w:val="es-ES" w:eastAsia="es-ES"/>
        </w:rPr>
        <w:t>En ese particular</w:t>
      </w:r>
      <w:r w:rsidR="008849EF" w:rsidRPr="00644661">
        <w:rPr>
          <w:b/>
          <w:i/>
          <w:spacing w:val="6"/>
          <w:sz w:val="23"/>
          <w:szCs w:val="23"/>
          <w:lang w:val="es-ES" w:eastAsia="es-ES"/>
        </w:rPr>
        <w:t xml:space="preserve">, 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el numeral 102 de la Ley General de la Administración Pública preceptúa que el superior jerárquico tendrá, entre otr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as potestades, las siguientes: "b) Vigilar la acción del inferior para constatar su legalidad y conveniencia, y utilizar todos los medios necesarios o útiles para ese fin que no estén jurídicamente prohibidos (...) d) Adoptar las medidas necesarias para aj</w:t>
      </w:r>
      <w:r w:rsidR="008849EF" w:rsidRPr="00644661">
        <w:rPr>
          <w:b/>
          <w:i/>
          <w:iCs/>
          <w:spacing w:val="6"/>
          <w:sz w:val="23"/>
          <w:szCs w:val="23"/>
          <w:lang w:val="es-ES" w:eastAsia="es-ES"/>
        </w:rPr>
        <w:t>ustar la conducta del inferior a la ley y a la buena administración, revocándola, anulándola o reformándola de oficio, o en virtud e recurso administrativo (...)"</w:t>
      </w:r>
      <w:r w:rsidR="008849EF">
        <w:rPr>
          <w:i/>
          <w:iCs/>
          <w:spacing w:val="6"/>
          <w:sz w:val="23"/>
          <w:szCs w:val="23"/>
          <w:lang w:val="es-ES" w:eastAsia="es-ES"/>
        </w:rPr>
        <w:t xml:space="preserve"> </w:t>
      </w:r>
      <w:r w:rsidR="008849EF">
        <w:rPr>
          <w:spacing w:val="6"/>
          <w:sz w:val="23"/>
          <w:szCs w:val="23"/>
          <w:lang w:val="es-ES" w:eastAsia="es-ES"/>
        </w:rPr>
        <w:t>Este precepto debe ser concordado con los ordinales 344, párrafo 2°, y 180 de ese mismo cuerp</w:t>
      </w:r>
      <w:r w:rsidR="008849EF">
        <w:rPr>
          <w:spacing w:val="6"/>
          <w:sz w:val="23"/>
          <w:szCs w:val="23"/>
          <w:lang w:val="es-ES" w:eastAsia="es-ES"/>
        </w:rPr>
        <w:t>o normativo, al indicar, respectivamente, que "Si el acto recurrible emanare del inferior, cabrá solo el recurso de apelación (...)" y que "Será competente, en la vía administrativa, para anular o declarar la nulidad de un acto el órgano que lo dictó, el s</w:t>
      </w:r>
      <w:r w:rsidR="008849EF">
        <w:rPr>
          <w:spacing w:val="6"/>
          <w:sz w:val="23"/>
          <w:szCs w:val="23"/>
          <w:lang w:val="es-ES" w:eastAsia="es-ES"/>
        </w:rPr>
        <w:t xml:space="preserve">uperior jerárquico del mismo, actuando de oficio o en virtud de recurso administrativo (...)". </w:t>
      </w:r>
      <w:r w:rsidR="008849EF">
        <w:rPr>
          <w:i/>
          <w:iCs/>
          <w:spacing w:val="6"/>
          <w:sz w:val="23"/>
          <w:szCs w:val="23"/>
          <w:lang w:val="es-ES" w:eastAsia="es-ES"/>
        </w:rPr>
        <w:t>Frente a la jerarquía propia se encuentra el denominado control no jerárquico o la jerarquía impropia, así denominada, puesto que, en los supuestos en que cabe q</w:t>
      </w:r>
      <w:r w:rsidR="008849EF">
        <w:rPr>
          <w:i/>
          <w:iCs/>
          <w:spacing w:val="6"/>
          <w:sz w:val="23"/>
          <w:szCs w:val="23"/>
          <w:lang w:val="es-ES" w:eastAsia="es-ES"/>
        </w:rPr>
        <w:t xml:space="preserve">uien conoce y resuelve en grado es no es el superior jerárquico sino la instancia que indique expresamente la ley, </w:t>
      </w:r>
      <w:r w:rsidR="008849EF">
        <w:rPr>
          <w:i/>
          <w:iCs/>
          <w:spacing w:val="6"/>
          <w:sz w:val="23"/>
          <w:szCs w:val="23"/>
          <w:u w:val="single"/>
          <w:lang w:val="es-ES" w:eastAsia="es-ES"/>
        </w:rPr>
        <w:t>se trata de una  jerarquía legal y no natural.</w:t>
      </w:r>
      <w:r w:rsidR="008849EF">
        <w:rPr>
          <w:spacing w:val="6"/>
          <w:sz w:val="23"/>
          <w:szCs w:val="23"/>
          <w:lang w:val="es-ES" w:eastAsia="es-ES"/>
        </w:rPr>
        <w:t xml:space="preserve"> Ese contralor no jerárquico puede ser un ó</w:t>
      </w:r>
      <w:r w:rsidR="008849EF">
        <w:rPr>
          <w:spacing w:val="6"/>
          <w:sz w:val="23"/>
          <w:szCs w:val="23"/>
          <w:lang w:val="es-ES" w:eastAsia="es-ES"/>
        </w:rPr>
        <w:t>rgano administrativo que, generalmente, en nuestro ordenamiento jurídico administrativo, asume la forma de desconcentrado en grado máximo -jerarquía impropia monofásica-, garantizándose de esa forma independencia e imparcialidad al distorsionarse -o prácti</w:t>
      </w:r>
      <w:r w:rsidR="008849EF">
        <w:rPr>
          <w:spacing w:val="6"/>
          <w:sz w:val="23"/>
          <w:szCs w:val="23"/>
          <w:lang w:val="es-ES" w:eastAsia="es-ES"/>
        </w:rPr>
        <w:t>camente desaparecer-la relación jerárquica y el ejercicio de una competencia exclusiva de revisión (v. gr. el Tribunal Fiscal Administrativo respecto de las resoluciones de la Administración Tributaria, artículos 156, 157, 158 del Código de Normas y Proced</w:t>
      </w:r>
      <w:r w:rsidR="008849EF">
        <w:rPr>
          <w:spacing w:val="6"/>
          <w:sz w:val="23"/>
          <w:szCs w:val="23"/>
          <w:lang w:val="es-ES" w:eastAsia="es-ES"/>
        </w:rPr>
        <w:t>imientos Tributarios; el Tribunal Aduanero Nacional con relación a las resoluciones tomadas por el Servicio Nacional de Aduanas -Dirección General de Aduanas, las aduanas, sus dependencias y demás órganos aduaneros-, artículo 205 de la Ley General de Aduan</w:t>
      </w:r>
      <w:r w:rsidR="008849EF">
        <w:rPr>
          <w:spacing w:val="6"/>
          <w:sz w:val="23"/>
          <w:szCs w:val="23"/>
          <w:lang w:val="es-ES" w:eastAsia="es-ES"/>
        </w:rPr>
        <w:t>as; el Tribunal Administrativo de Transporte frente a las resoluciones emitidas por el Consejo de Transporte Público, artículos 16 a 23 de la Ley Reguladora del Servicio Público de Transporte Remunerado de Personas en Vehículos en la Modalidad Taxi, No. 79</w:t>
      </w:r>
      <w:r w:rsidR="008849EF">
        <w:rPr>
          <w:spacing w:val="6"/>
          <w:sz w:val="23"/>
          <w:szCs w:val="23"/>
          <w:lang w:val="es-ES" w:eastAsia="es-ES"/>
        </w:rPr>
        <w:t>69 del 22 de diciembre de 1999; el Tribunal Registra! Administrativo con referencia a las resoluciones dictadas por los Registros que integran el Registro Nacional, artículo 25 de la Ley de Procedimientos de Observancia de los</w:t>
      </w:r>
    </w:p>
    <w:p w:rsidR="00000000" w:rsidRDefault="008849EF">
      <w:pPr>
        <w:widowControl/>
        <w:rPr>
          <w:sz w:val="24"/>
          <w:szCs w:val="24"/>
        </w:rPr>
        <w:sectPr w:rsidR="00000000">
          <w:pgSz w:w="12134" w:h="15840"/>
          <w:pgMar w:top="1340" w:right="2112" w:bottom="260" w:left="2242" w:header="720" w:footer="720" w:gutter="0"/>
          <w:cols w:space="720"/>
          <w:noEndnote/>
        </w:sectPr>
      </w:pPr>
    </w:p>
    <w:p w:rsidR="00000000" w:rsidRDefault="008849EF">
      <w:pPr>
        <w:kinsoku w:val="0"/>
        <w:overflowPunct w:val="0"/>
        <w:autoSpaceDE/>
        <w:autoSpaceDN/>
        <w:adjustRightInd/>
        <w:spacing w:before="1" w:line="280" w:lineRule="exact"/>
        <w:ind w:left="576" w:right="576"/>
        <w:jc w:val="both"/>
        <w:textAlignment w:val="baseline"/>
        <w:rPr>
          <w:i/>
          <w:iCs/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lastRenderedPageBreak/>
        <w:t>Derechos de Propiedad Intelectual, No. 8039 del 12 de octubre del 2000, etc.) o bien un órgano adscrito al Poder Judicial -jerarquía impropia bifásica- que ejerce, en ta</w:t>
      </w:r>
      <w:r>
        <w:rPr>
          <w:sz w:val="24"/>
          <w:szCs w:val="24"/>
          <w:lang w:val="es-ES" w:eastAsia="es-ES"/>
        </w:rPr>
        <w:t>l caso, una función materialmente administrativa (v. gr. el Tribunal Contencioso Administrativo frente a los acuerdos adoptados por los Concejos Municipales, artículos 173 de la Constitución Política, 84, 85 y 86 de la Ley Reguladora de la Jurisdicción Con</w:t>
      </w:r>
      <w:r>
        <w:rPr>
          <w:sz w:val="24"/>
          <w:szCs w:val="24"/>
          <w:lang w:val="es-ES" w:eastAsia="es-ES"/>
        </w:rPr>
        <w:t>tencioso-Administrativa, No. 3667 del 12 de marzo de 1966, 156, párrafo 2°, del Código Municipal y Ley de Creación de la Sección Tercera, No. 7274 del 10 de diciembre de 1991; el Tribunal de Trabajo, ante las resoluciones de la Dirección Nacional de Pensio</w:t>
      </w:r>
      <w:r>
        <w:rPr>
          <w:sz w:val="24"/>
          <w:szCs w:val="24"/>
          <w:lang w:val="es-ES" w:eastAsia="es-ES"/>
        </w:rPr>
        <w:t xml:space="preserve">nes del Ministerio de Trabajo en materia de pensiones del magisterio nacional, Ley No. 7531 del 10 de julio de 1995 de Reforma Integral del Sistema de Pensiones y Jubilaciones del Magisterio Nacional y del Tribunal del Servicio Civil en materia de gestión </w:t>
      </w:r>
      <w:r>
        <w:rPr>
          <w:sz w:val="24"/>
          <w:szCs w:val="24"/>
          <w:lang w:val="es-ES" w:eastAsia="es-ES"/>
        </w:rPr>
        <w:t>de despidos, artículo 44 del Estatuto del Servicio Civil; el Tribunal Agrario respecto de la resoluciones del Instituto de Desarrollo Agrario en materia de su competencia, artículos 12, inciso d, Ley de la Jurisdicción Agraria y 100, inciso 2, de la Ley Or</w:t>
      </w:r>
      <w:r>
        <w:rPr>
          <w:sz w:val="24"/>
          <w:szCs w:val="24"/>
          <w:lang w:val="es-ES" w:eastAsia="es-ES"/>
        </w:rPr>
        <w:t>gánica del Poder Judicial y el Tribunal de Casación Penal en lo referente a las resoluciones de expulsión de extranjeros residentes dictadas por el Ministerio de Gobernación y Policía, artículos 125 de la Ley General de Migración y Extranjería y 93, inciso</w:t>
      </w:r>
      <w:r>
        <w:rPr>
          <w:sz w:val="24"/>
          <w:szCs w:val="24"/>
          <w:lang w:val="es-ES" w:eastAsia="es-ES"/>
        </w:rPr>
        <w:t xml:space="preserve"> 3, de la Ley Orgánica del Poder Judicial). </w:t>
      </w:r>
      <w:r>
        <w:rPr>
          <w:b/>
          <w:bCs/>
          <w:sz w:val="24"/>
          <w:szCs w:val="24"/>
          <w:lang w:val="es-ES" w:eastAsia="es-ES"/>
        </w:rPr>
        <w:t xml:space="preserve">El contralor no jerárquico, a tenor de lo establecido en el artículo 181 de la Ley General de la Administración Pública, </w:t>
      </w:r>
      <w:r>
        <w:rPr>
          <w:b/>
          <w:bCs/>
          <w:sz w:val="24"/>
          <w:szCs w:val="24"/>
          <w:u w:val="single"/>
          <w:lang w:val="es-ES" w:eastAsia="es-ES"/>
        </w:rPr>
        <w:t>puede</w:t>
      </w:r>
      <w:r>
        <w:rPr>
          <w:b/>
          <w:bCs/>
          <w:sz w:val="24"/>
          <w:szCs w:val="24"/>
          <w:u w:val="single"/>
          <w:lang w:val="es-ES" w:eastAsia="es-ES"/>
        </w:rPr>
        <w:t xml:space="preserve"> revisar, únicamente, la legalida</w:t>
      </w:r>
      <w:r w:rsidR="00644661">
        <w:rPr>
          <w:b/>
          <w:bCs/>
          <w:sz w:val="24"/>
          <w:szCs w:val="24"/>
          <w:u w:val="single"/>
          <w:lang w:val="es-ES" w:eastAsia="es-ES"/>
        </w:rPr>
        <w:t>d del acto en virtud de recurso</w:t>
      </w:r>
      <w:r>
        <w:rPr>
          <w:b/>
          <w:bCs/>
          <w:sz w:val="24"/>
          <w:szCs w:val="24"/>
          <w:u w:val="single"/>
          <w:lang w:val="es-ES" w:eastAsia="es-ES"/>
        </w:rPr>
        <w:t xml:space="preserve"> administrativo </w:t>
      </w:r>
      <w:r>
        <w:rPr>
          <w:sz w:val="21"/>
          <w:szCs w:val="21"/>
          <w:u w:val="single"/>
          <w:lang w:val="es-ES" w:eastAsia="es-ES"/>
        </w:rPr>
        <w:t xml:space="preserve">y </w:t>
      </w:r>
      <w:r>
        <w:rPr>
          <w:b/>
          <w:bCs/>
          <w:sz w:val="24"/>
          <w:szCs w:val="24"/>
          <w:u w:val="single"/>
          <w:lang w:val="es-ES" w:eastAsia="es-ES"/>
        </w:rPr>
        <w:t>de</w:t>
      </w:r>
      <w:r>
        <w:rPr>
          <w:b/>
          <w:bCs/>
          <w:sz w:val="24"/>
          <w:szCs w:val="24"/>
          <w:u w:val="single"/>
          <w:lang w:val="es-ES" w:eastAsia="es-ES"/>
        </w:rPr>
        <w:t xml:space="preserve">be decidir dentro del límite de las pretensiones </w:t>
      </w:r>
      <w:r>
        <w:rPr>
          <w:sz w:val="21"/>
          <w:szCs w:val="21"/>
          <w:u w:val="single"/>
          <w:lang w:val="es-ES" w:eastAsia="es-ES"/>
        </w:rPr>
        <w:t xml:space="preserve">y  </w:t>
      </w:r>
      <w:r>
        <w:rPr>
          <w:b/>
          <w:bCs/>
          <w:sz w:val="24"/>
          <w:szCs w:val="24"/>
          <w:u w:val="single"/>
          <w:lang w:val="es-ES" w:eastAsia="es-ES"/>
        </w:rPr>
        <w:t>cuestiones de hecho planteadas por el recurrente</w:t>
      </w:r>
      <w:r>
        <w:rPr>
          <w:b/>
          <w:bCs/>
          <w:sz w:val="24"/>
          <w:szCs w:val="24"/>
          <w:lang w:val="es-ES" w:eastAsia="es-ES"/>
        </w:rPr>
        <w:t xml:space="preserve"> pudiendo aplicar una norma no invocada en el recurso." </w:t>
      </w:r>
      <w:r>
        <w:rPr>
          <w:i/>
          <w:iCs/>
          <w:sz w:val="24"/>
          <w:szCs w:val="24"/>
          <w:lang w:val="es-ES" w:eastAsia="es-ES"/>
        </w:rPr>
        <w:t>(el resaltado es nuestro)</w:t>
      </w:r>
    </w:p>
    <w:p w:rsidR="00000000" w:rsidRDefault="008849EF">
      <w:pPr>
        <w:kinsoku w:val="0"/>
        <w:overflowPunct w:val="0"/>
        <w:autoSpaceDE/>
        <w:autoSpaceDN/>
        <w:adjustRightInd/>
        <w:spacing w:before="277" w:line="280" w:lineRule="exact"/>
        <w:ind w:left="576" w:right="576"/>
        <w:jc w:val="both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Siendo en rigor de lo antes explicado que se dispone el Rechazo de la Gestión de marras."... (RESOLUCIÓN </w:t>
      </w:r>
      <w:r>
        <w:rPr>
          <w:b/>
          <w:bCs/>
          <w:sz w:val="24"/>
          <w:szCs w:val="24"/>
          <w:lang w:val="es-ES" w:eastAsia="es-ES"/>
        </w:rPr>
        <w:t>No. TAT-2657-2015 DE LAS 11</w:t>
      </w:r>
      <w:bookmarkStart w:id="0" w:name="_GoBack"/>
      <w:bookmarkEnd w:id="0"/>
      <w:r>
        <w:rPr>
          <w:b/>
          <w:bCs/>
          <w:sz w:val="24"/>
          <w:szCs w:val="24"/>
          <w:lang w:val="es-ES" w:eastAsia="es-ES"/>
        </w:rPr>
        <w:t>.32 HORAS DEL 31 DE JULIO DEL 2015)</w:t>
      </w:r>
    </w:p>
    <w:p w:rsidR="00000000" w:rsidRDefault="008849EF">
      <w:pPr>
        <w:kinsoku w:val="0"/>
        <w:overflowPunct w:val="0"/>
        <w:autoSpaceDE/>
        <w:autoSpaceDN/>
        <w:adjustRightInd/>
        <w:spacing w:before="525" w:line="349" w:lineRule="exact"/>
        <w:jc w:val="both"/>
        <w:textAlignment w:val="baseline"/>
        <w:rPr>
          <w:spacing w:val="12"/>
          <w:sz w:val="24"/>
          <w:szCs w:val="24"/>
          <w:lang w:val="es-ES" w:eastAsia="es-ES"/>
        </w:rPr>
      </w:pPr>
      <w:r>
        <w:rPr>
          <w:spacing w:val="12"/>
          <w:sz w:val="24"/>
          <w:szCs w:val="24"/>
          <w:lang w:val="es-ES" w:eastAsia="es-ES"/>
        </w:rPr>
        <w:t>Así las cosas, por lo expuesto supra, la Gestión Valorada se determina como Improcedente</w:t>
      </w:r>
      <w:r>
        <w:rPr>
          <w:spacing w:val="12"/>
          <w:sz w:val="24"/>
          <w:szCs w:val="24"/>
          <w:lang w:val="es-ES" w:eastAsia="es-ES"/>
        </w:rPr>
        <w:t>.</w:t>
      </w:r>
    </w:p>
    <w:p w:rsidR="00000000" w:rsidRDefault="008849EF">
      <w:pPr>
        <w:kinsoku w:val="0"/>
        <w:overflowPunct w:val="0"/>
        <w:autoSpaceDE/>
        <w:autoSpaceDN/>
        <w:adjustRightInd/>
        <w:spacing w:before="698" w:line="277" w:lineRule="exact"/>
        <w:jc w:val="center"/>
        <w:textAlignment w:val="baseline"/>
        <w:rPr>
          <w:b/>
          <w:bCs/>
          <w:i/>
          <w:iCs/>
          <w:spacing w:val="9"/>
          <w:sz w:val="24"/>
          <w:szCs w:val="24"/>
          <w:lang w:val="es-ES" w:eastAsia="es-ES"/>
        </w:rPr>
      </w:pPr>
      <w:r>
        <w:rPr>
          <w:b/>
          <w:bCs/>
          <w:i/>
          <w:iCs/>
          <w:spacing w:val="9"/>
          <w:sz w:val="24"/>
          <w:szCs w:val="24"/>
          <w:lang w:val="es-ES" w:eastAsia="es-ES"/>
        </w:rPr>
        <w:t>Por Tanto</w:t>
      </w:r>
    </w:p>
    <w:p w:rsidR="00000000" w:rsidRDefault="008849EF" w:rsidP="00644661">
      <w:pPr>
        <w:kinsoku w:val="0"/>
        <w:overflowPunct w:val="0"/>
        <w:autoSpaceDE/>
        <w:autoSpaceDN/>
        <w:adjustRightInd/>
        <w:spacing w:before="261" w:line="347" w:lineRule="exact"/>
        <w:jc w:val="both"/>
        <w:textAlignment w:val="baseline"/>
        <w:rPr>
          <w:sz w:val="24"/>
          <w:szCs w:val="24"/>
        </w:rPr>
        <w:sectPr w:rsidR="00000000">
          <w:pgSz w:w="12134" w:h="15840"/>
          <w:pgMar w:top="1380" w:right="1604" w:bottom="905" w:left="1690" w:header="720" w:footer="720" w:gutter="0"/>
          <w:cols w:space="720"/>
          <w:noEndnote/>
        </w:sectPr>
      </w:pPr>
      <w:r>
        <w:rPr>
          <w:b/>
          <w:bCs/>
          <w:spacing w:val="15"/>
          <w:sz w:val="24"/>
          <w:szCs w:val="24"/>
          <w:lang w:val="es-ES" w:eastAsia="es-ES"/>
        </w:rPr>
        <w:t xml:space="preserve">1.- </w:t>
      </w:r>
      <w:r w:rsidR="00644661">
        <w:rPr>
          <w:spacing w:val="15"/>
          <w:sz w:val="24"/>
          <w:szCs w:val="24"/>
          <w:lang w:val="es-ES" w:eastAsia="es-ES"/>
        </w:rPr>
        <w:t>Conf</w:t>
      </w:r>
      <w:r>
        <w:rPr>
          <w:spacing w:val="15"/>
          <w:sz w:val="24"/>
          <w:szCs w:val="24"/>
          <w:lang w:val="es-ES" w:eastAsia="es-ES"/>
        </w:rPr>
        <w:t xml:space="preserve">orme todo lo ya expuesto, </w:t>
      </w:r>
      <w:r>
        <w:rPr>
          <w:b/>
          <w:bCs/>
          <w:spacing w:val="15"/>
          <w:sz w:val="24"/>
          <w:szCs w:val="24"/>
          <w:u w:val="single"/>
          <w:lang w:val="es-ES" w:eastAsia="es-ES"/>
        </w:rPr>
        <w:t>SE RECHAZAN</w:t>
      </w:r>
      <w:r>
        <w:rPr>
          <w:b/>
          <w:bCs/>
          <w:spacing w:val="15"/>
          <w:sz w:val="24"/>
          <w:szCs w:val="24"/>
          <w:lang w:val="es-ES" w:eastAsia="es-ES"/>
        </w:rPr>
        <w:t xml:space="preserve"> las GESTIONES O SOLICITUDES DE CUMPLIMIENTO DE LA RESOLUCIÓN No. TAT-2570-2015 DE ESTE TRIBUNAL Y DE ANULACIÓN DEL ACUERDO No. 7.8.3 DE LA SESIÓN ORDINARIA No. 37</w:t>
      </w:r>
      <w:r>
        <w:rPr>
          <w:b/>
          <w:bCs/>
          <w:spacing w:val="15"/>
          <w:sz w:val="24"/>
          <w:szCs w:val="24"/>
          <w:lang w:val="es-ES" w:eastAsia="es-ES"/>
        </w:rPr>
        <w:t xml:space="preserve">-2015 DE LA JUNTA DIRECTIVA DEL CONSEJO DE TRANSPORTE PÚBLICO, </w:t>
      </w:r>
      <w:r>
        <w:rPr>
          <w:spacing w:val="15"/>
          <w:sz w:val="24"/>
          <w:szCs w:val="24"/>
          <w:lang w:val="es-ES" w:eastAsia="es-ES"/>
        </w:rPr>
        <w:t>presentadas por el D</w:t>
      </w:r>
      <w:r w:rsidR="00644661">
        <w:rPr>
          <w:spacing w:val="15"/>
          <w:sz w:val="24"/>
          <w:szCs w:val="24"/>
          <w:lang w:val="es-ES" w:eastAsia="es-ES"/>
        </w:rPr>
        <w:t>.E.R.F.</w:t>
      </w:r>
      <w:r>
        <w:rPr>
          <w:spacing w:val="15"/>
          <w:sz w:val="24"/>
          <w:szCs w:val="24"/>
          <w:lang w:val="es-ES" w:eastAsia="es-ES"/>
        </w:rPr>
        <w:t>, de calidades conocidas, quien actúa en su condición de Apoderado Especial Administrativo de la firma A</w:t>
      </w:r>
      <w:r w:rsidR="00644661">
        <w:rPr>
          <w:spacing w:val="15"/>
          <w:sz w:val="24"/>
          <w:szCs w:val="24"/>
          <w:lang w:val="es-ES" w:eastAsia="es-ES"/>
        </w:rPr>
        <w:t>.</w:t>
      </w:r>
      <w:r w:rsidR="00644661">
        <w:rPr>
          <w:sz w:val="24"/>
          <w:szCs w:val="24"/>
        </w:rPr>
        <w:t xml:space="preserve"> </w:t>
      </w:r>
    </w:p>
    <w:p w:rsidR="00000000" w:rsidRDefault="008849EF">
      <w:pPr>
        <w:kinsoku w:val="0"/>
        <w:overflowPunct w:val="0"/>
        <w:autoSpaceDE/>
        <w:autoSpaceDN/>
        <w:adjustRightInd/>
        <w:spacing w:line="324" w:lineRule="exact"/>
        <w:ind w:right="576"/>
        <w:jc w:val="both"/>
        <w:textAlignment w:val="baseline"/>
        <w:rPr>
          <w:spacing w:val="12"/>
          <w:sz w:val="24"/>
          <w:szCs w:val="24"/>
          <w:lang w:val="es-ES" w:eastAsia="es-ES"/>
        </w:rPr>
      </w:pPr>
      <w:r>
        <w:rPr>
          <w:spacing w:val="12"/>
          <w:sz w:val="24"/>
          <w:szCs w:val="24"/>
          <w:lang w:val="es-ES" w:eastAsia="es-ES"/>
        </w:rPr>
        <w:lastRenderedPageBreak/>
        <w:t>D</w:t>
      </w:r>
      <w:r w:rsidR="00644661">
        <w:rPr>
          <w:spacing w:val="12"/>
          <w:sz w:val="24"/>
          <w:szCs w:val="24"/>
          <w:lang w:val="es-ES" w:eastAsia="es-ES"/>
        </w:rPr>
        <w:t>.P.A.</w:t>
      </w:r>
      <w:r>
        <w:rPr>
          <w:spacing w:val="12"/>
          <w:sz w:val="24"/>
          <w:szCs w:val="24"/>
          <w:lang w:val="es-ES" w:eastAsia="es-ES"/>
        </w:rPr>
        <w:t xml:space="preserve">S.A., cédula jurídica número </w:t>
      </w:r>
      <w:r w:rsidR="00644661">
        <w:rPr>
          <w:spacing w:val="12"/>
          <w:sz w:val="24"/>
          <w:szCs w:val="24"/>
          <w:lang w:val="es-ES" w:eastAsia="es-ES"/>
        </w:rPr>
        <w:t>…</w:t>
      </w:r>
      <w:r>
        <w:rPr>
          <w:spacing w:val="12"/>
          <w:sz w:val="24"/>
          <w:szCs w:val="24"/>
          <w:lang w:val="es-ES" w:eastAsia="es-ES"/>
        </w:rPr>
        <w:t>, según lo determinado a los Expedientes de este Tribunal Nos. TAT-270-15 y TAT-219-15.</w:t>
      </w:r>
    </w:p>
    <w:p w:rsidR="00000000" w:rsidRDefault="008849EF">
      <w:pPr>
        <w:kinsoku w:val="0"/>
        <w:overflowPunct w:val="0"/>
        <w:autoSpaceDE/>
        <w:autoSpaceDN/>
        <w:adjustRightInd/>
        <w:spacing w:before="319" w:after="297" w:line="288" w:lineRule="exact"/>
        <w:textAlignment w:val="baseline"/>
        <w:rPr>
          <w:b/>
          <w:spacing w:val="19"/>
          <w:sz w:val="24"/>
          <w:szCs w:val="24"/>
          <w:lang w:val="es-ES" w:eastAsia="es-ES"/>
        </w:rPr>
      </w:pPr>
      <w:r w:rsidRPr="00644661">
        <w:rPr>
          <w:b/>
          <w:spacing w:val="19"/>
          <w:sz w:val="24"/>
          <w:szCs w:val="24"/>
          <w:lang w:val="es-ES" w:eastAsia="es-ES"/>
        </w:rPr>
        <w:t>NOTIFÍQUESE</w:t>
      </w:r>
    </w:p>
    <w:p w:rsidR="00644661" w:rsidRPr="008127B1" w:rsidRDefault="00644661" w:rsidP="00644661">
      <w:pPr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127B1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644661" w:rsidRDefault="00644661" w:rsidP="00644661">
      <w:pPr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644661" w:rsidRPr="00AE0D42" w:rsidRDefault="00644661" w:rsidP="00644661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144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644661" w:rsidRDefault="00644661" w:rsidP="00644661">
      <w:pPr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AE0D42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644661" w:rsidRDefault="00644661" w:rsidP="00644661">
      <w:pPr>
        <w:kinsoku w:val="0"/>
        <w:overflowPunct w:val="0"/>
        <w:autoSpaceDE/>
        <w:autoSpaceDN/>
        <w:adjustRightInd/>
        <w:spacing w:before="228" w:after="317" w:line="276" w:lineRule="exact"/>
        <w:ind w:right="72"/>
        <w:jc w:val="center"/>
        <w:textAlignment w:val="baseline"/>
        <w:rPr>
          <w:sz w:val="19"/>
          <w:szCs w:val="19"/>
          <w:lang w:val="es-ES" w:eastAsia="es-ES"/>
        </w:rPr>
      </w:pPr>
      <w:r>
        <w:rPr>
          <w:rStyle w:val="CharacterStyle1"/>
          <w:b/>
          <w:iCs/>
          <w:spacing w:val="5"/>
          <w:sz w:val="26"/>
          <w:szCs w:val="26"/>
        </w:rPr>
        <w:t>Jueza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</w:t>
      </w: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</w:p>
    <w:p w:rsidR="00644661" w:rsidRPr="00644661" w:rsidRDefault="00644661">
      <w:pPr>
        <w:kinsoku w:val="0"/>
        <w:overflowPunct w:val="0"/>
        <w:autoSpaceDE/>
        <w:autoSpaceDN/>
        <w:adjustRightInd/>
        <w:spacing w:before="319" w:after="297" w:line="288" w:lineRule="exact"/>
        <w:textAlignment w:val="baseline"/>
        <w:rPr>
          <w:b/>
          <w:spacing w:val="19"/>
          <w:sz w:val="24"/>
          <w:szCs w:val="24"/>
          <w:lang w:val="es-ES" w:eastAsia="es-ES"/>
        </w:rPr>
      </w:pPr>
    </w:p>
    <w:p w:rsidR="008849EF" w:rsidRDefault="008849EF">
      <w:pPr>
        <w:kinsoku w:val="0"/>
        <w:overflowPunct w:val="0"/>
        <w:autoSpaceDE/>
        <w:autoSpaceDN/>
        <w:adjustRightInd/>
        <w:spacing w:line="563" w:lineRule="exact"/>
        <w:jc w:val="right"/>
        <w:textAlignment w:val="baseline"/>
        <w:rPr>
          <w:rFonts w:ascii="Bookman Old Style" w:hAnsi="Bookman Old Style" w:cs="Bookman Old Style"/>
          <w:spacing w:val="7"/>
          <w:w w:val="125"/>
          <w:sz w:val="59"/>
          <w:szCs w:val="59"/>
          <w:lang w:val="es-ES" w:eastAsia="es-ES"/>
        </w:rPr>
      </w:pPr>
    </w:p>
    <w:sectPr w:rsidR="008849EF">
      <w:pgSz w:w="12134" w:h="15840"/>
      <w:pgMar w:top="1420" w:right="1015" w:bottom="180" w:left="16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70"/>
    <w:rsid w:val="00644661"/>
    <w:rsid w:val="008849EF"/>
    <w:rsid w:val="00F8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D5FB5"/>
  <w14:defaultImageDpi w14:val="0"/>
  <w15:docId w15:val="{05E67843-AE67-4478-994A-FB83D24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44661"/>
    <w:rPr>
      <w:lang w:val="es-CR"/>
    </w:rPr>
  </w:style>
  <w:style w:type="character" w:customStyle="1" w:styleId="CharacterStyle1">
    <w:name w:val="Character Style 1"/>
    <w:uiPriority w:val="99"/>
    <w:rsid w:val="006446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2016-07-21T17:57:00Z</dcterms:created>
  <dcterms:modified xsi:type="dcterms:W3CDTF">2016-07-21T17:57:00Z</dcterms:modified>
</cp:coreProperties>
</file>