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3F" w:rsidRPr="008708CF" w:rsidRDefault="0057113F" w:rsidP="0057113F">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No. TAT-</w:t>
      </w:r>
      <w:r>
        <w:rPr>
          <w:rStyle w:val="CharacterStyle1"/>
          <w:rFonts w:ascii="Verdana" w:eastAsia="Calibri" w:hAnsi="Verdana"/>
          <w:b/>
          <w:bCs/>
          <w:sz w:val="22"/>
          <w:szCs w:val="22"/>
          <w:lang w:val="es-ES" w:eastAsia="es-ES"/>
        </w:rPr>
        <w:t>2858</w:t>
      </w:r>
      <w:r w:rsidRPr="008708CF">
        <w:rPr>
          <w:rStyle w:val="CharacterStyle1"/>
          <w:rFonts w:ascii="Verdana" w:eastAsia="Calibri" w:hAnsi="Verdana"/>
          <w:b/>
          <w:bCs/>
          <w:sz w:val="22"/>
          <w:szCs w:val="22"/>
          <w:lang w:val="es-ES" w:eastAsia="es-ES"/>
        </w:rPr>
        <w:t>-2015</w:t>
      </w:r>
    </w:p>
    <w:p w:rsidR="0057113F" w:rsidRPr="008708CF" w:rsidRDefault="0057113F" w:rsidP="0057113F">
      <w:pPr>
        <w:pStyle w:val="Sinespaciado"/>
        <w:rPr>
          <w:rStyle w:val="CharacterStyle1"/>
          <w:rFonts w:ascii="Verdana" w:hAnsi="Verdana"/>
          <w:b/>
          <w:bCs/>
          <w:spacing w:val="5"/>
          <w:sz w:val="22"/>
          <w:szCs w:val="22"/>
          <w:lang w:val="es-ES" w:eastAsia="es-ES"/>
        </w:rPr>
      </w:pP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TRANSPORTE.- </w:t>
      </w:r>
      <w:r w:rsidRPr="008708CF">
        <w:rPr>
          <w:rStyle w:val="CharacterStyle1"/>
          <w:rFonts w:ascii="Verdana" w:eastAsia="Calibri" w:hAnsi="Verdana"/>
          <w:spacing w:val="5"/>
          <w:sz w:val="22"/>
          <w:szCs w:val="22"/>
          <w:lang w:val="es-ES" w:eastAsia="es-ES"/>
        </w:rPr>
        <w:t xml:space="preserve">San José, </w:t>
      </w:r>
      <w:r>
        <w:rPr>
          <w:rStyle w:val="CharacterStyle1"/>
          <w:rFonts w:ascii="Verdana" w:eastAsia="Calibri" w:hAnsi="Verdana"/>
          <w:spacing w:val="5"/>
          <w:sz w:val="22"/>
          <w:szCs w:val="22"/>
          <w:lang w:val="es-ES" w:eastAsia="es-ES"/>
        </w:rPr>
        <w:t xml:space="preserve">a las once horas seis minutos del catorce de diciembre </w:t>
      </w:r>
      <w:r w:rsidRPr="008708CF">
        <w:rPr>
          <w:rStyle w:val="CharacterStyle1"/>
          <w:rFonts w:ascii="Verdana" w:eastAsia="Calibri" w:hAnsi="Verdana"/>
          <w:spacing w:val="4"/>
          <w:sz w:val="22"/>
          <w:szCs w:val="22"/>
          <w:lang w:val="es-ES" w:eastAsia="es-ES"/>
        </w:rPr>
        <w:t xml:space="preserve"> de dos mil quince.</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Pr>
          <w:rStyle w:val="CharacterStyle1"/>
          <w:rFonts w:ascii="Verdana" w:eastAsia="Calibri" w:hAnsi="Verdana"/>
          <w:b/>
          <w:spacing w:val="4"/>
          <w:sz w:val="22"/>
          <w:szCs w:val="22"/>
          <w:lang w:val="es-ES" w:eastAsia="es-ES"/>
        </w:rPr>
        <w:t>A.P.A</w:t>
      </w:r>
      <w:r w:rsidRPr="008708CF">
        <w:rPr>
          <w:rStyle w:val="CharacterStyle1"/>
          <w:rFonts w:ascii="Verdana" w:eastAsia="Calibri" w:hAnsi="Verdana"/>
          <w:b/>
          <w:spacing w:val="4"/>
          <w:sz w:val="22"/>
          <w:szCs w:val="22"/>
          <w:lang w:val="es-ES" w:eastAsia="es-ES"/>
        </w:rPr>
        <w:t xml:space="preserve"> Cédula Jurídica </w:t>
      </w:r>
      <w:r>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Pr>
          <w:rStyle w:val="CharacterStyle1"/>
          <w:rFonts w:ascii="Verdana" w:eastAsia="Calibri" w:hAnsi="Verdana"/>
          <w:spacing w:val="4"/>
          <w:sz w:val="22"/>
          <w:szCs w:val="22"/>
          <w:lang w:val="es-ES" w:eastAsia="es-ES"/>
        </w:rPr>
        <w:t>Apoderado Generalísimo sin Límite de Suma</w:t>
      </w:r>
      <w:r w:rsidRPr="008708CF">
        <w:rPr>
          <w:rStyle w:val="CharacterStyle1"/>
          <w:rFonts w:ascii="Verdana" w:eastAsia="Calibri" w:hAnsi="Verdana"/>
          <w:spacing w:val="4"/>
          <w:sz w:val="22"/>
          <w:szCs w:val="22"/>
          <w:lang w:val="es-ES" w:eastAsia="es-ES"/>
        </w:rPr>
        <w:t xml:space="preserve"> señor </w:t>
      </w:r>
      <w:r>
        <w:rPr>
          <w:rStyle w:val="CharacterStyle1"/>
          <w:rFonts w:ascii="Verdana" w:eastAsia="Calibri" w:hAnsi="Verdana"/>
          <w:b/>
          <w:spacing w:val="4"/>
          <w:sz w:val="22"/>
          <w:szCs w:val="22"/>
          <w:lang w:val="es-ES" w:eastAsia="es-ES"/>
        </w:rPr>
        <w:t>L.G.G.</w:t>
      </w:r>
      <w:r w:rsidRPr="008708CF">
        <w:rPr>
          <w:rStyle w:val="CharacterStyle1"/>
          <w:rFonts w:ascii="Verdana" w:eastAsia="Calibri" w:hAnsi="Verdana"/>
          <w:b/>
          <w:spacing w:val="4"/>
          <w:sz w:val="22"/>
          <w:szCs w:val="22"/>
          <w:lang w:val="es-ES" w:eastAsia="es-ES"/>
        </w:rPr>
        <w:t xml:space="preserve">, cédula de identidad número </w:t>
      </w:r>
      <w:r>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w:t>
      </w:r>
      <w:r>
        <w:rPr>
          <w:rStyle w:val="CharacterStyle1"/>
          <w:rFonts w:ascii="Verdana" w:eastAsia="Calibri" w:hAnsi="Verdana"/>
          <w:b/>
          <w:spacing w:val="4"/>
          <w:sz w:val="22"/>
          <w:szCs w:val="22"/>
          <w:lang w:val="es-ES" w:eastAsia="es-ES"/>
        </w:rPr>
        <w:t>389</w:t>
      </w:r>
      <w:r w:rsidRPr="008708CF">
        <w:rPr>
          <w:rStyle w:val="CharacterStyle1"/>
          <w:rFonts w:ascii="Verdana" w:eastAsia="Calibri" w:hAnsi="Verdana"/>
          <w:b/>
          <w:spacing w:val="4"/>
          <w:sz w:val="22"/>
          <w:szCs w:val="22"/>
          <w:lang w:val="es-ES" w:eastAsia="es-ES"/>
        </w:rPr>
        <w:t>-15.-</w:t>
      </w:r>
    </w:p>
    <w:p w:rsidR="0057113F" w:rsidRPr="008708CF" w:rsidRDefault="0057113F" w:rsidP="0057113F">
      <w:pPr>
        <w:spacing w:line="276" w:lineRule="auto"/>
        <w:jc w:val="both"/>
        <w:rPr>
          <w:rStyle w:val="CharacterStyle1"/>
          <w:rFonts w:ascii="Verdana" w:eastAsia="Calibri" w:hAnsi="Verdana"/>
          <w:b/>
          <w:i/>
          <w:spacing w:val="4"/>
          <w:sz w:val="22"/>
          <w:szCs w:val="22"/>
          <w:lang w:val="es-ES" w:eastAsia="es-ES"/>
        </w:rPr>
      </w:pPr>
    </w:p>
    <w:p w:rsidR="0057113F" w:rsidRPr="008708CF" w:rsidRDefault="0057113F" w:rsidP="0057113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Acuerdo No. 7.8.2 de la  Sesión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folios  </w:t>
      </w:r>
      <w:r>
        <w:rPr>
          <w:rFonts w:ascii="Verdana" w:eastAsia="Calibri" w:hAnsi="Verdana"/>
          <w:spacing w:val="4"/>
          <w:sz w:val="22"/>
          <w:szCs w:val="22"/>
          <w:lang w:val="es-CR" w:eastAsia="es-ES"/>
        </w:rPr>
        <w:t>39 y 40</w:t>
      </w:r>
      <w:r w:rsidRPr="008708CF">
        <w:rPr>
          <w:rFonts w:ascii="Verdana" w:eastAsia="Calibri" w:hAnsi="Verdana"/>
          <w:spacing w:val="4"/>
          <w:sz w:val="22"/>
          <w:szCs w:val="22"/>
          <w:lang w:val="es-CR" w:eastAsia="es-ES"/>
        </w:rPr>
        <w:t xml:space="preserve"> del expediente administrativo) </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i/>
          <w:spacing w:val="4"/>
          <w:sz w:val="22"/>
          <w:szCs w:val="22"/>
          <w:lang w:val="es-ES" w:eastAsia="es-ES"/>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…”ARTÍCULO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rsidR="0057113F" w:rsidRPr="008708CF" w:rsidRDefault="0057113F" w:rsidP="0057113F">
      <w:pPr>
        <w:pStyle w:val="Default"/>
        <w:ind w:left="567" w:right="616"/>
        <w:jc w:val="both"/>
        <w:rPr>
          <w:rFonts w:ascii="Verdana" w:hAnsi="Verdana" w:cs="Times New Roman"/>
          <w:b/>
          <w:bCs/>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rsidR="0057113F" w:rsidRPr="008708CF" w:rsidRDefault="0057113F" w:rsidP="0057113F">
      <w:pPr>
        <w:pStyle w:val="Default"/>
        <w:ind w:left="567" w:right="616"/>
        <w:jc w:val="both"/>
        <w:rPr>
          <w:rFonts w:ascii="Verdana" w:hAnsi="Verdana" w:cs="Times New Roman"/>
          <w:b/>
          <w:bCs/>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rsidR="0057113F" w:rsidRPr="008708CF" w:rsidRDefault="0057113F" w:rsidP="0057113F">
      <w:pPr>
        <w:ind w:left="567" w:right="616"/>
        <w:jc w:val="both"/>
        <w:rPr>
          <w:rFonts w:ascii="Verdana" w:hAnsi="Verdana"/>
          <w:b/>
          <w:bCs/>
          <w:i/>
          <w:sz w:val="18"/>
          <w:szCs w:val="18"/>
          <w:lang w:val="es-CR"/>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que por tratarse el servicio especial estable de taxi de un servicio de carácter residual y limitado, en </w:t>
      </w:r>
      <w:r w:rsidRPr="008708CF">
        <w:rPr>
          <w:rFonts w:ascii="Verdana" w:hAnsi="Verdana" w:cs="Times New Roman"/>
          <w:i/>
          <w:sz w:val="18"/>
          <w:szCs w:val="18"/>
        </w:rPr>
        <w:lastRenderedPageBreak/>
        <w:t xml:space="preserve">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rsidR="0057113F" w:rsidRPr="008708CF" w:rsidRDefault="0057113F" w:rsidP="0057113F">
      <w:pPr>
        <w:pStyle w:val="Default"/>
        <w:ind w:left="567" w:right="616"/>
        <w:jc w:val="both"/>
        <w:rPr>
          <w:rFonts w:ascii="Verdana" w:hAnsi="Verdana" w:cs="Times New Roman"/>
          <w:b/>
          <w:bCs/>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 xml:space="preserve">La Procuraduría General de la República en el dictamen C-078-2015 del 13 de abril del 2015, determinó en forma vinculante, que el porcentaje de permisos especiales de taxi (seetaxi)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rsidR="0057113F" w:rsidRPr="008708CF" w:rsidRDefault="0057113F" w:rsidP="0057113F">
      <w:pPr>
        <w:pStyle w:val="Default"/>
        <w:ind w:left="567" w:right="616"/>
        <w:jc w:val="both"/>
        <w:rPr>
          <w:rFonts w:ascii="Verdana" w:hAnsi="Verdana" w:cs="Times New Roman"/>
          <w:b/>
          <w:bCs/>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 </w:t>
      </w:r>
      <w:r>
        <w:rPr>
          <w:rFonts w:ascii="Verdana" w:hAnsi="Verdana" w:cs="Times New Roman"/>
          <w:i/>
          <w:sz w:val="18"/>
          <w:szCs w:val="18"/>
        </w:rPr>
        <w:t>(XXXX)</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(ADJUNTAR COPIA DE LOS OFICIOS DAJ 2015-002164 y DE-2015-</w:t>
      </w:r>
      <w:r w:rsidRPr="008708CF">
        <w:rPr>
          <w:rFonts w:ascii="Verdana" w:hAnsi="Verdana" w:cs="Times New Roman"/>
          <w:b/>
          <w:bCs/>
          <w:i/>
          <w:sz w:val="18"/>
          <w:szCs w:val="18"/>
        </w:rPr>
        <w:lastRenderedPageBreak/>
        <w:t xml:space="preserve">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msalas@ctp. go.cr / Dirección General de la Policía de Tránsito </w:t>
      </w:r>
    </w:p>
    <w:p w:rsidR="0057113F" w:rsidRPr="008708CF" w:rsidRDefault="0057113F" w:rsidP="0057113F">
      <w:pPr>
        <w:pStyle w:val="Default"/>
        <w:ind w:left="567" w:right="616"/>
        <w:jc w:val="both"/>
        <w:rPr>
          <w:rFonts w:ascii="Verdana" w:hAnsi="Verdana" w:cs="Times New Roman"/>
          <w:i/>
          <w:sz w:val="18"/>
          <w:szCs w:val="18"/>
        </w:rPr>
      </w:pPr>
    </w:p>
    <w:p w:rsidR="0057113F" w:rsidRPr="008708CF" w:rsidRDefault="0057113F" w:rsidP="0057113F">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Se declara firme.-“…</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SEGUNDO: </w:t>
      </w:r>
      <w:r w:rsidRPr="008708CF">
        <w:rPr>
          <w:rStyle w:val="CharacterStyle1"/>
          <w:rFonts w:ascii="Verdana" w:eastAsia="Calibri" w:hAnsi="Verdana"/>
          <w:spacing w:val="4"/>
          <w:sz w:val="22"/>
          <w:szCs w:val="22"/>
          <w:lang w:val="es-ES" w:eastAsia="es-ES"/>
        </w:rPr>
        <w:t>La recurrente presenta recurso de Apelación en subsidio y Nulidad indicando</w:t>
      </w:r>
      <w:r>
        <w:rPr>
          <w:rStyle w:val="CharacterStyle1"/>
          <w:rFonts w:ascii="Verdana" w:eastAsia="Calibri" w:hAnsi="Verdana"/>
          <w:spacing w:val="4"/>
          <w:sz w:val="22"/>
          <w:szCs w:val="22"/>
          <w:lang w:val="es-ES" w:eastAsia="es-ES"/>
        </w:rPr>
        <w:t xml:space="preserve"> en lo conducente para el caso,</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que existe falta de competencia del órgano administrativo que emite el acto pues la Dirección de Asuntos Jurídicos es un órgano auxiliar del Consejo no tiene competencia para emitir actos, solo la Junta Directiva y tal vez en algunos aspectos  el Departamento de Administración y Concesiones y no consta acto alguno en el que la Junta Delegue en la Dirección de Trato tales competencias.  El acto administrativo carece de fundamento de motivación no se sabe de dónde se origina, lo que lo convierte en nulo. Solicita se revoque el acto y se suspenda el mismo.</w:t>
      </w:r>
      <w:r w:rsidRPr="008708CF">
        <w:rPr>
          <w:rStyle w:val="CharacterStyle1"/>
          <w:rFonts w:ascii="Verdana" w:eastAsia="Calibri" w:hAnsi="Verdana"/>
          <w:spacing w:val="4"/>
          <w:sz w:val="22"/>
          <w:szCs w:val="22"/>
          <w:lang w:val="es-ES" w:eastAsia="es-ES"/>
        </w:rPr>
        <w:t xml:space="preserve"> (Léase folios del </w:t>
      </w:r>
      <w:r>
        <w:rPr>
          <w:rStyle w:val="CharacterStyle1"/>
          <w:rFonts w:ascii="Verdana" w:eastAsia="Calibri" w:hAnsi="Verdana"/>
          <w:spacing w:val="4"/>
          <w:sz w:val="22"/>
          <w:szCs w:val="22"/>
          <w:lang w:val="es-ES" w:eastAsia="es-ES"/>
        </w:rPr>
        <w:t xml:space="preserve">59 </w:t>
      </w:r>
      <w:r w:rsidRPr="008708CF">
        <w:rPr>
          <w:rStyle w:val="CharacterStyle1"/>
          <w:rFonts w:ascii="Verdana" w:eastAsia="Calibri" w:hAnsi="Verdana"/>
          <w:spacing w:val="4"/>
          <w:sz w:val="22"/>
          <w:szCs w:val="22"/>
          <w:lang w:val="es-ES" w:eastAsia="es-ES"/>
        </w:rPr>
        <w:t xml:space="preserve">al </w:t>
      </w:r>
      <w:r>
        <w:rPr>
          <w:rStyle w:val="CharacterStyle1"/>
          <w:rFonts w:ascii="Verdana" w:eastAsia="Calibri" w:hAnsi="Verdana"/>
          <w:spacing w:val="4"/>
          <w:sz w:val="22"/>
          <w:szCs w:val="22"/>
          <w:lang w:val="es-ES" w:eastAsia="es-ES"/>
        </w:rPr>
        <w:t>65</w:t>
      </w:r>
      <w:r w:rsidRPr="008708CF">
        <w:rPr>
          <w:rStyle w:val="CharacterStyle1"/>
          <w:rFonts w:ascii="Verdana" w:eastAsia="Calibri" w:hAnsi="Verdana"/>
          <w:spacing w:val="4"/>
          <w:sz w:val="22"/>
          <w:szCs w:val="22"/>
          <w:lang w:val="es-ES" w:eastAsia="es-ES"/>
        </w:rPr>
        <w:t xml:space="preserve"> del expediente administrativo)</w:t>
      </w:r>
    </w:p>
    <w:p w:rsidR="0057113F" w:rsidRPr="008708CF" w:rsidRDefault="0057113F" w:rsidP="0057113F">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Pr="008708CF">
        <w:rPr>
          <w:rStyle w:val="CharacterStyle1"/>
          <w:rFonts w:ascii="Verdana" w:eastAsia="Calibri" w:hAnsi="Verdana"/>
          <w:spacing w:val="4"/>
          <w:sz w:val="22"/>
          <w:szCs w:val="22"/>
          <w:lang w:val="es-ES" w:eastAsia="es-ES"/>
        </w:rPr>
        <w:t xml:space="preserve">La Junta Directiva </w:t>
      </w:r>
      <w:r>
        <w:rPr>
          <w:rStyle w:val="CharacterStyle1"/>
          <w:rFonts w:ascii="Verdana" w:eastAsia="Calibri" w:hAnsi="Verdana"/>
          <w:spacing w:val="4"/>
          <w:sz w:val="22"/>
          <w:szCs w:val="22"/>
          <w:lang w:val="es-ES" w:eastAsia="es-ES"/>
        </w:rPr>
        <w:t xml:space="preserve">del Consejo de Transporte Público </w:t>
      </w:r>
      <w:r w:rsidRPr="008708CF">
        <w:rPr>
          <w:rStyle w:val="CharacterStyle1"/>
          <w:rFonts w:ascii="Verdana" w:eastAsia="Calibri" w:hAnsi="Verdana"/>
          <w:spacing w:val="4"/>
          <w:sz w:val="22"/>
          <w:szCs w:val="22"/>
          <w:lang w:val="es-ES" w:eastAsia="es-ES"/>
        </w:rPr>
        <w:t xml:space="preserve">mediante el </w:t>
      </w:r>
      <w:r w:rsidRPr="008708CF">
        <w:rPr>
          <w:rStyle w:val="CharacterStyle1"/>
          <w:rFonts w:ascii="Verdana" w:eastAsia="Calibri" w:hAnsi="Verdana"/>
          <w:b/>
          <w:spacing w:val="4"/>
          <w:sz w:val="22"/>
          <w:szCs w:val="22"/>
          <w:lang w:val="es-ES" w:eastAsia="es-ES"/>
        </w:rPr>
        <w:t>Acuerdo 7.</w:t>
      </w:r>
      <w:r>
        <w:rPr>
          <w:rStyle w:val="CharacterStyle1"/>
          <w:rFonts w:ascii="Verdana" w:eastAsia="Calibri" w:hAnsi="Verdana"/>
          <w:b/>
          <w:spacing w:val="4"/>
          <w:sz w:val="22"/>
          <w:szCs w:val="22"/>
          <w:lang w:val="es-ES" w:eastAsia="es-ES"/>
        </w:rPr>
        <w:t>9</w:t>
      </w:r>
      <w:r w:rsidRPr="008708CF">
        <w:rPr>
          <w:rStyle w:val="CharacterStyle1"/>
          <w:rFonts w:ascii="Verdana" w:eastAsia="Calibri" w:hAnsi="Verdana"/>
          <w:b/>
          <w:spacing w:val="4"/>
          <w:sz w:val="22"/>
          <w:szCs w:val="22"/>
          <w:lang w:val="es-ES" w:eastAsia="es-ES"/>
        </w:rPr>
        <w:t>.</w:t>
      </w:r>
      <w:r>
        <w:rPr>
          <w:rStyle w:val="CharacterStyle1"/>
          <w:rFonts w:ascii="Verdana" w:eastAsia="Calibri" w:hAnsi="Verdana"/>
          <w:b/>
          <w:spacing w:val="4"/>
          <w:sz w:val="22"/>
          <w:szCs w:val="22"/>
          <w:lang w:val="es-ES" w:eastAsia="es-ES"/>
        </w:rPr>
        <w:t>2</w:t>
      </w:r>
      <w:r w:rsidRPr="008708CF">
        <w:rPr>
          <w:rStyle w:val="CharacterStyle1"/>
          <w:rFonts w:ascii="Verdana" w:eastAsia="Calibri" w:hAnsi="Verdana"/>
          <w:b/>
          <w:spacing w:val="4"/>
          <w:sz w:val="22"/>
          <w:szCs w:val="22"/>
          <w:lang w:val="es-ES" w:eastAsia="es-ES"/>
        </w:rPr>
        <w:t xml:space="preserve"> de la Sesión </w:t>
      </w:r>
      <w:r>
        <w:rPr>
          <w:rStyle w:val="CharacterStyle1"/>
          <w:rFonts w:ascii="Verdana" w:eastAsia="Calibri" w:hAnsi="Verdana"/>
          <w:b/>
          <w:spacing w:val="4"/>
          <w:sz w:val="22"/>
          <w:szCs w:val="22"/>
          <w:lang w:val="es-ES" w:eastAsia="es-ES"/>
        </w:rPr>
        <w:t>O</w:t>
      </w:r>
      <w:r w:rsidRPr="008708CF">
        <w:rPr>
          <w:rStyle w:val="CharacterStyle1"/>
          <w:rFonts w:ascii="Verdana" w:eastAsia="Calibri" w:hAnsi="Verdana"/>
          <w:b/>
          <w:spacing w:val="4"/>
          <w:sz w:val="22"/>
          <w:szCs w:val="22"/>
          <w:lang w:val="es-ES" w:eastAsia="es-ES"/>
        </w:rPr>
        <w:t xml:space="preserve">rdinaria </w:t>
      </w:r>
      <w:r>
        <w:rPr>
          <w:rStyle w:val="CharacterStyle1"/>
          <w:rFonts w:ascii="Verdana" w:eastAsia="Calibri" w:hAnsi="Verdana"/>
          <w:b/>
          <w:spacing w:val="4"/>
          <w:sz w:val="22"/>
          <w:szCs w:val="22"/>
          <w:lang w:val="es-ES" w:eastAsia="es-ES"/>
        </w:rPr>
        <w:t>60</w:t>
      </w:r>
      <w:r w:rsidRPr="008708CF">
        <w:rPr>
          <w:rStyle w:val="CharacterStyle1"/>
          <w:rFonts w:ascii="Verdana" w:eastAsia="Calibri" w:hAnsi="Verdana"/>
          <w:b/>
          <w:spacing w:val="4"/>
          <w:sz w:val="22"/>
          <w:szCs w:val="22"/>
          <w:lang w:val="es-ES" w:eastAsia="es-ES"/>
        </w:rPr>
        <w:t xml:space="preserve">-2015 del </w:t>
      </w:r>
      <w:r>
        <w:rPr>
          <w:rStyle w:val="CharacterStyle1"/>
          <w:rFonts w:ascii="Verdana" w:eastAsia="Calibri" w:hAnsi="Verdana"/>
          <w:b/>
          <w:spacing w:val="4"/>
          <w:sz w:val="22"/>
          <w:szCs w:val="22"/>
          <w:lang w:val="es-ES" w:eastAsia="es-ES"/>
        </w:rPr>
        <w:t>28</w:t>
      </w:r>
      <w:r w:rsidRPr="008708CF">
        <w:rPr>
          <w:rStyle w:val="CharacterStyle1"/>
          <w:rFonts w:ascii="Verdana" w:eastAsia="Calibri" w:hAnsi="Verdana"/>
          <w:b/>
          <w:spacing w:val="4"/>
          <w:sz w:val="22"/>
          <w:szCs w:val="22"/>
          <w:lang w:val="es-ES" w:eastAsia="es-ES"/>
        </w:rPr>
        <w:t xml:space="preserve"> de </w:t>
      </w:r>
      <w:r>
        <w:rPr>
          <w:rStyle w:val="CharacterStyle1"/>
          <w:rFonts w:ascii="Verdana" w:eastAsia="Calibri" w:hAnsi="Verdana"/>
          <w:b/>
          <w:spacing w:val="4"/>
          <w:sz w:val="22"/>
          <w:szCs w:val="22"/>
          <w:lang w:val="es-ES" w:eastAsia="es-ES"/>
        </w:rPr>
        <w:t>octubre</w:t>
      </w:r>
      <w:r w:rsidRPr="008708CF">
        <w:rPr>
          <w:rStyle w:val="CharacterStyle1"/>
          <w:rFonts w:ascii="Verdana" w:eastAsia="Calibri" w:hAnsi="Verdana"/>
          <w:b/>
          <w:spacing w:val="4"/>
          <w:sz w:val="22"/>
          <w:szCs w:val="22"/>
          <w:lang w:val="es-ES" w:eastAsia="es-ES"/>
        </w:rPr>
        <w:t xml:space="preserve"> de 2015</w:t>
      </w:r>
      <w:r w:rsidRPr="008708CF">
        <w:rPr>
          <w:rStyle w:val="CharacterStyle1"/>
          <w:rFonts w:ascii="Verdana" w:eastAsia="Calibri" w:hAnsi="Verdana"/>
          <w:spacing w:val="4"/>
          <w:sz w:val="22"/>
          <w:szCs w:val="22"/>
          <w:lang w:val="es-ES" w:eastAsia="es-ES"/>
        </w:rPr>
        <w:t>, conoce y avala el informe de la Dirección de Asuntos Jurídicos DAJ</w:t>
      </w:r>
      <w:r w:rsidRPr="008708CF">
        <w:rPr>
          <w:rStyle w:val="CharacterStyle1"/>
          <w:rFonts w:ascii="Verdana" w:eastAsia="Calibri" w:hAnsi="Verdana"/>
          <w:b/>
          <w:spacing w:val="4"/>
          <w:sz w:val="22"/>
          <w:szCs w:val="22"/>
          <w:lang w:val="es-ES" w:eastAsia="es-ES"/>
        </w:rPr>
        <w:t>-201500</w:t>
      </w:r>
      <w:r>
        <w:rPr>
          <w:rStyle w:val="CharacterStyle1"/>
          <w:rFonts w:ascii="Verdana" w:eastAsia="Calibri" w:hAnsi="Verdana"/>
          <w:b/>
          <w:spacing w:val="4"/>
          <w:sz w:val="22"/>
          <w:szCs w:val="22"/>
          <w:lang w:val="es-ES" w:eastAsia="es-ES"/>
        </w:rPr>
        <w:t>3639</w:t>
      </w:r>
      <w:r w:rsidRPr="008708CF">
        <w:rPr>
          <w:rStyle w:val="CharacterStyle1"/>
          <w:rFonts w:ascii="Verdana" w:eastAsia="Calibri" w:hAnsi="Verdana"/>
          <w:b/>
          <w:spacing w:val="4"/>
          <w:sz w:val="22"/>
          <w:szCs w:val="22"/>
          <w:lang w:val="es-ES" w:eastAsia="es-ES"/>
        </w:rPr>
        <w:t xml:space="preserve"> de </w:t>
      </w:r>
      <w:r>
        <w:rPr>
          <w:rStyle w:val="CharacterStyle1"/>
          <w:rFonts w:ascii="Verdana" w:eastAsia="Calibri" w:hAnsi="Verdana"/>
          <w:b/>
          <w:spacing w:val="4"/>
          <w:sz w:val="22"/>
          <w:szCs w:val="22"/>
          <w:lang w:val="es-ES" w:eastAsia="es-ES"/>
        </w:rPr>
        <w:t>26 de octubre</w:t>
      </w:r>
      <w:r w:rsidRPr="008708CF">
        <w:rPr>
          <w:rStyle w:val="CharacterStyle1"/>
          <w:rFonts w:ascii="Verdana" w:eastAsia="Calibri" w:hAnsi="Verdana"/>
          <w:b/>
          <w:spacing w:val="4"/>
          <w:sz w:val="22"/>
          <w:szCs w:val="22"/>
          <w:lang w:val="es-ES" w:eastAsia="es-ES"/>
        </w:rPr>
        <w:t xml:space="preserve"> de 2015 </w:t>
      </w:r>
      <w:r w:rsidRPr="008708CF">
        <w:rPr>
          <w:rStyle w:val="CharacterStyle1"/>
          <w:rFonts w:ascii="Verdana" w:eastAsia="Calibri" w:hAnsi="Verdana"/>
          <w:spacing w:val="4"/>
          <w:sz w:val="22"/>
          <w:szCs w:val="22"/>
          <w:lang w:val="es-ES" w:eastAsia="es-ES"/>
        </w:rPr>
        <w:t xml:space="preserve">y dispone, rechazar por improcedente el Recurso de Apelación, así como la Nulidad concomitante dado que </w:t>
      </w:r>
      <w:r>
        <w:rPr>
          <w:rStyle w:val="CharacterStyle1"/>
          <w:rFonts w:ascii="Verdana" w:eastAsia="Calibri" w:hAnsi="Verdana"/>
          <w:spacing w:val="4"/>
          <w:sz w:val="22"/>
          <w:szCs w:val="22"/>
          <w:lang w:val="es-ES" w:eastAsia="es-ES"/>
        </w:rPr>
        <w:t>el recurso de Revocatoria fue presentado de manera extemporánea y en la especie no existe motivo suficiente para decretar la Nulidad del acto.</w:t>
      </w:r>
      <w:r w:rsidRPr="008708CF">
        <w:rPr>
          <w:rStyle w:val="CharacterStyle1"/>
          <w:rFonts w:ascii="Verdana" w:eastAsia="Calibri" w:hAnsi="Verdana"/>
          <w:spacing w:val="4"/>
          <w:sz w:val="22"/>
          <w:szCs w:val="22"/>
          <w:lang w:val="es-ES" w:eastAsia="es-ES"/>
        </w:rPr>
        <w:t xml:space="preserve"> (Léanse folios del 1 al </w:t>
      </w:r>
      <w:r>
        <w:rPr>
          <w:rStyle w:val="CharacterStyle1"/>
          <w:rFonts w:ascii="Verdana" w:eastAsia="Calibri" w:hAnsi="Verdana"/>
          <w:spacing w:val="4"/>
          <w:sz w:val="22"/>
          <w:szCs w:val="22"/>
          <w:lang w:val="es-ES" w:eastAsia="es-ES"/>
        </w:rPr>
        <w:t>5</w:t>
      </w:r>
      <w:r w:rsidRPr="008708CF">
        <w:rPr>
          <w:rStyle w:val="CharacterStyle1"/>
          <w:rFonts w:ascii="Verdana" w:eastAsia="Calibri" w:hAnsi="Verdana"/>
          <w:spacing w:val="4"/>
          <w:sz w:val="22"/>
          <w:szCs w:val="22"/>
          <w:lang w:val="es-ES" w:eastAsia="es-ES"/>
        </w:rPr>
        <w:t xml:space="preserve"> del expediente administrativo)</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CUARTO: </w:t>
      </w:r>
      <w:r w:rsidRPr="008708CF">
        <w:rPr>
          <w:rStyle w:val="CharacterStyle1"/>
          <w:rFonts w:ascii="Verdana" w:eastAsia="Calibri" w:hAnsi="Verdana"/>
          <w:spacing w:val="4"/>
          <w:sz w:val="22"/>
          <w:szCs w:val="22"/>
          <w:lang w:val="es-ES" w:eastAsia="es-ES"/>
        </w:rPr>
        <w:t>En los procedimientos se han observado las prescripciones del caso.</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REDACTA LA JUEZA PÉREZ PELÁEZ,</w:t>
      </w:r>
    </w:p>
    <w:p w:rsidR="0057113F" w:rsidRPr="008708CF" w:rsidRDefault="0057113F" w:rsidP="0057113F">
      <w:pPr>
        <w:spacing w:line="276" w:lineRule="auto"/>
        <w:jc w:val="both"/>
        <w:rPr>
          <w:rStyle w:val="CharacterStyle1"/>
          <w:rFonts w:ascii="Verdana" w:eastAsia="Calibri" w:hAnsi="Verdana"/>
          <w:b/>
          <w:spacing w:val="4"/>
          <w:sz w:val="22"/>
          <w:szCs w:val="22"/>
          <w:lang w:val="es-ES" w:eastAsia="es-ES"/>
        </w:rPr>
      </w:pPr>
    </w:p>
    <w:p w:rsidR="0057113F" w:rsidRPr="008708CF" w:rsidRDefault="0057113F" w:rsidP="0057113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rsidR="0057113F" w:rsidRPr="008708CF" w:rsidRDefault="0057113F" w:rsidP="0057113F">
      <w:pPr>
        <w:spacing w:line="276" w:lineRule="auto"/>
        <w:jc w:val="both"/>
        <w:rPr>
          <w:rStyle w:val="CharacterStyle1"/>
          <w:rFonts w:ascii="Verdana" w:eastAsia="Calibri" w:hAnsi="Verdana"/>
          <w:spacing w:val="4"/>
          <w:sz w:val="22"/>
          <w:szCs w:val="22"/>
          <w:lang w:val="es-ES" w:eastAsia="es-ES"/>
        </w:rPr>
      </w:pPr>
    </w:p>
    <w:p w:rsidR="0057113F" w:rsidRPr="008708CF" w:rsidRDefault="0057113F" w:rsidP="0057113F">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como de la </w:t>
      </w:r>
      <w:r w:rsidRPr="008708CF">
        <w:rPr>
          <w:rFonts w:ascii="Verdana" w:hAnsi="Verdana"/>
          <w:b/>
        </w:rPr>
        <w:t xml:space="preserve">NULIDAD </w:t>
      </w:r>
      <w:r w:rsidRPr="008708CF">
        <w:rPr>
          <w:rFonts w:ascii="Verdana" w:hAnsi="Verdana"/>
        </w:rPr>
        <w:t>correlativa, según los términos de la Ley General de la Administración Pública.-</w:t>
      </w:r>
    </w:p>
    <w:p w:rsidR="0057113F" w:rsidRPr="008708CF" w:rsidRDefault="0057113F" w:rsidP="0057113F">
      <w:pPr>
        <w:jc w:val="both"/>
        <w:rPr>
          <w:rFonts w:ascii="Verdana" w:hAnsi="Verdana"/>
          <w:b/>
          <w:sz w:val="22"/>
          <w:szCs w:val="22"/>
          <w:lang w:val="es-CR"/>
        </w:rPr>
      </w:pPr>
    </w:p>
    <w:p w:rsidR="0057113F" w:rsidRDefault="0057113F" w:rsidP="0057113F">
      <w:pPr>
        <w:jc w:val="both"/>
        <w:rPr>
          <w:rFonts w:ascii="Verdana" w:hAnsi="Verdana"/>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w:t>
      </w:r>
      <w:r>
        <w:rPr>
          <w:rFonts w:ascii="Verdana" w:hAnsi="Verdana"/>
          <w:sz w:val="22"/>
          <w:szCs w:val="22"/>
          <w:lang w:val="es-CR"/>
        </w:rPr>
        <w:t>r</w:t>
      </w:r>
      <w:r w:rsidRPr="008708CF">
        <w:rPr>
          <w:rFonts w:ascii="Verdana" w:hAnsi="Verdana"/>
          <w:sz w:val="22"/>
          <w:szCs w:val="22"/>
          <w:lang w:val="es-CR"/>
        </w:rPr>
        <w:t xml:space="preserve">elativas al Servicio </w:t>
      </w:r>
      <w:r w:rsidRPr="008708CF">
        <w:rPr>
          <w:rFonts w:ascii="Verdana" w:hAnsi="Verdana"/>
          <w:sz w:val="22"/>
          <w:szCs w:val="22"/>
          <w:lang w:val="es-CR"/>
        </w:rPr>
        <w:lastRenderedPageBreak/>
        <w:t xml:space="preserve">Público Especial Estable de Taxis como lo es la adecuación de la cifra de permisos a un tres por ciento respecto al número de concesiones de taxi por base de operación, lo cual incide directamente en los intereses de la recurrente que es operadora del SEETAXI, por lo que cuenta con la Legitimación necesaria para actuar en el presente asunto.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Pr="008708CF">
        <w:rPr>
          <w:rFonts w:ascii="Verdana" w:hAnsi="Verdana"/>
          <w:sz w:val="22"/>
          <w:szCs w:val="22"/>
          <w:lang w:val="es-ES"/>
        </w:rPr>
        <w:t xml:space="preserve">El Recurso de Apelación fue presentado </w:t>
      </w:r>
      <w:r>
        <w:rPr>
          <w:rFonts w:ascii="Verdana" w:hAnsi="Verdana"/>
          <w:sz w:val="22"/>
          <w:szCs w:val="22"/>
          <w:lang w:val="es-ES"/>
        </w:rPr>
        <w:t xml:space="preserve">fuera del plazo </w:t>
      </w:r>
      <w:r w:rsidRPr="008708CF">
        <w:rPr>
          <w:rFonts w:ascii="Verdana" w:hAnsi="Verdana"/>
          <w:sz w:val="22"/>
          <w:szCs w:val="22"/>
          <w:lang w:val="es-ES"/>
        </w:rPr>
        <w:t xml:space="preserve"> legal de cinco días establecido en el artículo 11 de la Ley N. 7969, ya que el acuerdo fue notificado el día 3 de julio de 2015 </w:t>
      </w:r>
      <w:r>
        <w:rPr>
          <w:rFonts w:ascii="Verdana" w:hAnsi="Verdana"/>
          <w:sz w:val="22"/>
          <w:szCs w:val="22"/>
          <w:lang w:val="es-ES"/>
        </w:rPr>
        <w:t xml:space="preserve"> (véase folios 42 y 43 del expediente administrativo) </w:t>
      </w:r>
      <w:r w:rsidRPr="008708CF">
        <w:rPr>
          <w:rFonts w:ascii="Verdana" w:hAnsi="Verdana"/>
          <w:sz w:val="22"/>
          <w:szCs w:val="22"/>
          <w:lang w:val="es-ES"/>
        </w:rPr>
        <w:t xml:space="preserve">y el recurso se presentó el </w:t>
      </w:r>
      <w:r>
        <w:rPr>
          <w:rFonts w:ascii="Verdana" w:hAnsi="Verdana"/>
          <w:sz w:val="22"/>
          <w:szCs w:val="22"/>
          <w:lang w:val="es-ES"/>
        </w:rPr>
        <w:t>30 de julio de 2015(véase folios 58 y 59 del expediente administrativo).</w:t>
      </w:r>
    </w:p>
    <w:p w:rsidR="0057113F" w:rsidRDefault="0057113F" w:rsidP="0057113F">
      <w:pPr>
        <w:pStyle w:val="Sinespaciado"/>
        <w:spacing w:line="276" w:lineRule="auto"/>
        <w:ind w:left="340" w:right="340"/>
        <w:jc w:val="both"/>
        <w:rPr>
          <w:rFonts w:ascii="Verdana" w:hAnsi="Verdana"/>
          <w:sz w:val="20"/>
          <w:szCs w:val="20"/>
        </w:rPr>
      </w:pPr>
    </w:p>
    <w:p w:rsidR="0057113F" w:rsidRDefault="0057113F" w:rsidP="0057113F">
      <w:pPr>
        <w:pStyle w:val="Sinespaciado"/>
        <w:spacing w:line="276" w:lineRule="auto"/>
        <w:ind w:left="340" w:right="340"/>
        <w:jc w:val="both"/>
        <w:rPr>
          <w:rFonts w:ascii="Verdana" w:hAnsi="Verdana"/>
          <w:sz w:val="20"/>
          <w:szCs w:val="20"/>
        </w:rPr>
      </w:pPr>
    </w:p>
    <w:p w:rsidR="0057113F" w:rsidRPr="003149AC" w:rsidRDefault="0057113F" w:rsidP="0057113F">
      <w:pPr>
        <w:pStyle w:val="Sinespaciado"/>
        <w:spacing w:line="276" w:lineRule="auto"/>
        <w:ind w:left="340" w:right="340"/>
        <w:jc w:val="both"/>
        <w:rPr>
          <w:rFonts w:ascii="Verdana" w:hAnsi="Verdana"/>
          <w:sz w:val="20"/>
          <w:szCs w:val="20"/>
        </w:rPr>
      </w:pPr>
      <w:r>
        <w:rPr>
          <w:rFonts w:ascii="Verdana" w:hAnsi="Verdana"/>
          <w:sz w:val="20"/>
          <w:szCs w:val="20"/>
        </w:rPr>
        <w:t>“</w:t>
      </w:r>
      <w:r w:rsidRPr="003149AC">
        <w:rPr>
          <w:rFonts w:ascii="Verdana" w:hAnsi="Verdana"/>
          <w:sz w:val="20"/>
          <w:szCs w:val="20"/>
        </w:rPr>
        <w:t>ARTÍCULO 11.- Funcionamiento del órgano en general</w:t>
      </w:r>
    </w:p>
    <w:p w:rsidR="0057113F" w:rsidRPr="003149AC" w:rsidRDefault="0057113F" w:rsidP="0057113F">
      <w:pPr>
        <w:pStyle w:val="Sinespaciado"/>
        <w:spacing w:line="276" w:lineRule="auto"/>
        <w:ind w:left="340" w:right="340"/>
        <w:jc w:val="both"/>
        <w:rPr>
          <w:rFonts w:ascii="Verdana" w:hAnsi="Verdana"/>
          <w:sz w:val="20"/>
          <w:szCs w:val="20"/>
        </w:rPr>
      </w:pPr>
    </w:p>
    <w:p w:rsidR="0057113F" w:rsidRPr="003149AC" w:rsidRDefault="0057113F" w:rsidP="0057113F">
      <w:pPr>
        <w:pStyle w:val="Sinespaciado"/>
        <w:spacing w:line="276" w:lineRule="auto"/>
        <w:ind w:left="340" w:right="340"/>
        <w:jc w:val="both"/>
        <w:rPr>
          <w:rFonts w:ascii="Verdana" w:hAnsi="Verdana"/>
          <w:sz w:val="20"/>
          <w:szCs w:val="20"/>
        </w:rPr>
      </w:pPr>
      <w:r w:rsidRPr="003149AC">
        <w:rPr>
          <w:rFonts w:ascii="Verdana" w:hAnsi="Verdana"/>
          <w:sz w:val="20"/>
          <w:szCs w:val="20"/>
        </w:rPr>
        <w:t>En cuanto al funcionamiento del órgano, salvo lo ordenado en esta ley y su reglamento, supletoriamente se aplicará lo dispuesto en el Título II, Capítulo II, de la Ley General de Administración Pública.</w:t>
      </w:r>
    </w:p>
    <w:p w:rsidR="0057113F" w:rsidRPr="003149AC" w:rsidRDefault="0057113F" w:rsidP="0057113F">
      <w:pPr>
        <w:pStyle w:val="Sinespaciado"/>
        <w:spacing w:line="276" w:lineRule="auto"/>
        <w:ind w:left="340" w:right="340"/>
        <w:jc w:val="both"/>
        <w:rPr>
          <w:rFonts w:ascii="Verdana" w:hAnsi="Verdana"/>
          <w:sz w:val="20"/>
          <w:szCs w:val="20"/>
        </w:rPr>
      </w:pPr>
      <w:r w:rsidRPr="003149AC">
        <w:rPr>
          <w:rFonts w:ascii="Verdana" w:hAnsi="Verdana"/>
          <w:sz w:val="20"/>
          <w:szCs w:val="20"/>
        </w:rPr>
        <w:t xml:space="preserve">Contra las resoluciones del Consejo cabrá recurso de revocatoria ante el órgano que dictó el acto, con apelación en subsidio para ante el Tribunal. Ambos recursos </w:t>
      </w:r>
      <w:r w:rsidRPr="003149AC">
        <w:rPr>
          <w:rFonts w:ascii="Verdana" w:hAnsi="Verdana"/>
          <w:b/>
          <w:sz w:val="20"/>
          <w:szCs w:val="20"/>
          <w:u w:val="single"/>
        </w:rPr>
        <w:t>deberán interponerse dentro del plazo de cinco días hábiles</w:t>
      </w:r>
      <w:r w:rsidRPr="003149AC">
        <w:rPr>
          <w:rFonts w:ascii="Verdana" w:hAnsi="Verdana"/>
          <w:sz w:val="20"/>
          <w:szCs w:val="20"/>
        </w:rPr>
        <w:t>, contados a partir de la notificación. (El resaltado es nuestro)</w:t>
      </w:r>
    </w:p>
    <w:p w:rsidR="0057113F" w:rsidRPr="003149AC" w:rsidRDefault="0057113F" w:rsidP="0057113F">
      <w:pPr>
        <w:pStyle w:val="Sinespaciado"/>
        <w:spacing w:line="276" w:lineRule="auto"/>
        <w:jc w:val="both"/>
        <w:rPr>
          <w:rFonts w:ascii="Verdana" w:hAnsi="Verdana"/>
          <w:sz w:val="20"/>
          <w:szCs w:val="20"/>
        </w:rPr>
      </w:pPr>
    </w:p>
    <w:p w:rsidR="0057113F" w:rsidRPr="003149AC" w:rsidRDefault="0057113F" w:rsidP="0057113F">
      <w:pPr>
        <w:spacing w:after="120" w:line="276" w:lineRule="auto"/>
        <w:jc w:val="both"/>
        <w:rPr>
          <w:rFonts w:ascii="Verdana" w:hAnsi="Verdana"/>
          <w:sz w:val="22"/>
          <w:szCs w:val="22"/>
          <w:lang w:val="es-CR"/>
        </w:rPr>
      </w:pPr>
      <w:r w:rsidRPr="003149AC">
        <w:rPr>
          <w:rFonts w:ascii="Verdana" w:hAnsi="Verdana"/>
          <w:sz w:val="22"/>
          <w:szCs w:val="22"/>
          <w:lang w:val="es-CR"/>
        </w:rPr>
        <w:t xml:space="preserve">Como puede verificarse de las piezas del expediente (ver folio </w:t>
      </w:r>
      <w:r>
        <w:rPr>
          <w:rFonts w:ascii="Verdana" w:hAnsi="Verdana"/>
          <w:sz w:val="22"/>
          <w:szCs w:val="22"/>
          <w:lang w:val="es-CR"/>
        </w:rPr>
        <w:t xml:space="preserve">34 </w:t>
      </w:r>
      <w:r w:rsidRPr="003149AC">
        <w:rPr>
          <w:rFonts w:ascii="Verdana" w:hAnsi="Verdana"/>
          <w:sz w:val="22"/>
          <w:szCs w:val="22"/>
          <w:lang w:val="es-CR"/>
        </w:rPr>
        <w:t xml:space="preserve">del expediente administrativo) la Recurrente fue notificada vía correo Electrónico en fecha </w:t>
      </w:r>
      <w:r>
        <w:rPr>
          <w:rFonts w:ascii="Verdana" w:hAnsi="Verdana"/>
          <w:sz w:val="22"/>
          <w:szCs w:val="22"/>
          <w:lang w:val="es-CR"/>
        </w:rPr>
        <w:t>3 de julio de 2015</w:t>
      </w:r>
      <w:r w:rsidRPr="003149AC">
        <w:rPr>
          <w:rFonts w:ascii="Verdana" w:hAnsi="Verdana"/>
          <w:sz w:val="22"/>
          <w:szCs w:val="22"/>
          <w:lang w:val="es-CR"/>
        </w:rPr>
        <w:t>.  A folio</w:t>
      </w:r>
      <w:r>
        <w:rPr>
          <w:rFonts w:ascii="Verdana" w:hAnsi="Verdana"/>
          <w:sz w:val="22"/>
          <w:szCs w:val="22"/>
          <w:lang w:val="es-CR"/>
        </w:rPr>
        <w:t>s</w:t>
      </w:r>
      <w:r w:rsidRPr="003149AC">
        <w:rPr>
          <w:rFonts w:ascii="Verdana" w:hAnsi="Verdana"/>
          <w:sz w:val="22"/>
          <w:szCs w:val="22"/>
          <w:lang w:val="es-CR"/>
        </w:rPr>
        <w:t xml:space="preserve"> </w:t>
      </w:r>
      <w:r>
        <w:rPr>
          <w:rFonts w:ascii="Verdana" w:hAnsi="Verdana"/>
          <w:sz w:val="22"/>
          <w:szCs w:val="22"/>
          <w:lang w:val="es-ES"/>
        </w:rPr>
        <w:t xml:space="preserve">58 y 59 </w:t>
      </w:r>
      <w:r w:rsidRPr="003149AC">
        <w:rPr>
          <w:rFonts w:ascii="Verdana" w:hAnsi="Verdana"/>
          <w:sz w:val="22"/>
          <w:szCs w:val="22"/>
          <w:lang w:val="es-CR"/>
        </w:rPr>
        <w:t xml:space="preserve"> del expediente se observa que la presentación del recurso fue el  </w:t>
      </w:r>
      <w:r>
        <w:rPr>
          <w:rFonts w:ascii="Verdana" w:hAnsi="Verdana"/>
          <w:sz w:val="22"/>
          <w:szCs w:val="22"/>
          <w:lang w:val="es-CR"/>
        </w:rPr>
        <w:t>30 de julio de 2015</w:t>
      </w:r>
      <w:r w:rsidRPr="003149AC">
        <w:rPr>
          <w:rFonts w:ascii="Verdana" w:hAnsi="Verdana"/>
          <w:sz w:val="22"/>
          <w:szCs w:val="22"/>
          <w:lang w:val="es-CR"/>
        </w:rPr>
        <w:t>, por lo que es claro que se encuentra sobradamente pasado el plazo de cinco días y por lo tanto se presentó el líbelo extemporáneamente.</w:t>
      </w:r>
    </w:p>
    <w:p w:rsidR="0057113F" w:rsidRPr="003149AC" w:rsidRDefault="0057113F" w:rsidP="0057113F">
      <w:pPr>
        <w:spacing w:after="120" w:line="276" w:lineRule="auto"/>
        <w:jc w:val="both"/>
        <w:rPr>
          <w:rFonts w:ascii="Verdana" w:hAnsi="Verdana"/>
          <w:sz w:val="22"/>
          <w:szCs w:val="22"/>
          <w:lang w:val="es-CR"/>
        </w:rPr>
      </w:pPr>
      <w:r w:rsidRPr="003149AC">
        <w:rPr>
          <w:rFonts w:ascii="Verdana" w:hAnsi="Verdana"/>
          <w:sz w:val="22"/>
          <w:szCs w:val="22"/>
          <w:lang w:val="es-CR"/>
        </w:rPr>
        <w:t>La Ley General de la Administración Pública en su artículo 347 dispone:</w:t>
      </w:r>
    </w:p>
    <w:p w:rsidR="0057113F" w:rsidRPr="003149AC" w:rsidRDefault="0057113F" w:rsidP="0057113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Artículo 347.-</w:t>
      </w:r>
    </w:p>
    <w:p w:rsidR="0057113F" w:rsidRPr="003149AC" w:rsidRDefault="0057113F" w:rsidP="0057113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1. Los recursos podrán también interponerse haciéndolo constar en el acta de la notificación</w:t>
      </w:r>
    </w:p>
    <w:p w:rsidR="0057113F" w:rsidRPr="003149AC" w:rsidRDefault="0057113F" w:rsidP="0057113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respectiva.</w:t>
      </w:r>
    </w:p>
    <w:p w:rsidR="0057113F" w:rsidRPr="003149AC" w:rsidRDefault="0057113F" w:rsidP="0057113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xml:space="preserve">2. Es potestativo usar ambos recursos ordinarios o uno solo de ellos, </w:t>
      </w:r>
      <w:r w:rsidRPr="003149AC">
        <w:rPr>
          <w:rFonts w:ascii="Verdana" w:hAnsi="Verdana"/>
          <w:b/>
          <w:sz w:val="16"/>
          <w:szCs w:val="16"/>
          <w:u w:val="single"/>
          <w:lang w:val="es-CR"/>
        </w:rPr>
        <w:t>pero será inadmisible el que se interponga pasados los términos fijados en el artículo anterior</w:t>
      </w:r>
      <w:r w:rsidRPr="003149AC">
        <w:rPr>
          <w:rFonts w:ascii="Verdana" w:hAnsi="Verdana"/>
          <w:sz w:val="16"/>
          <w:szCs w:val="16"/>
          <w:lang w:val="es-CR"/>
        </w:rPr>
        <w:t>.</w:t>
      </w:r>
    </w:p>
    <w:p w:rsidR="0057113F" w:rsidRPr="003149AC" w:rsidRDefault="0057113F" w:rsidP="0057113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3. Si se interponen ambos recursos a la vez, se tramitará la apelación una vez declarada sin lugar la revocatoria. ( El resaltado es nuestro)</w:t>
      </w:r>
    </w:p>
    <w:p w:rsidR="0057113F" w:rsidRPr="003149AC" w:rsidRDefault="0057113F" w:rsidP="0057113F">
      <w:pPr>
        <w:spacing w:after="120" w:line="276" w:lineRule="auto"/>
        <w:jc w:val="center"/>
        <w:rPr>
          <w:rFonts w:ascii="Verdana" w:hAnsi="Verdana"/>
          <w:b/>
          <w:sz w:val="22"/>
          <w:szCs w:val="22"/>
          <w:lang w:val="es-CR"/>
        </w:rPr>
      </w:pPr>
    </w:p>
    <w:p w:rsidR="0057113F" w:rsidRPr="003149AC" w:rsidRDefault="0057113F" w:rsidP="0057113F">
      <w:pPr>
        <w:spacing w:after="120" w:line="276" w:lineRule="auto"/>
        <w:jc w:val="both"/>
        <w:rPr>
          <w:rFonts w:ascii="Verdana" w:hAnsi="Verdana"/>
          <w:sz w:val="22"/>
          <w:szCs w:val="22"/>
          <w:lang w:val="es-CR"/>
        </w:rPr>
      </w:pPr>
      <w:r w:rsidRPr="003149AC">
        <w:rPr>
          <w:rFonts w:ascii="Verdana" w:hAnsi="Verdana"/>
          <w:sz w:val="22"/>
          <w:szCs w:val="22"/>
          <w:lang w:val="es-CR"/>
        </w:rPr>
        <w:t>De acuerdo con lo anterior debe rechazarse por extemporáneo el Recurso de Apelación presentado.</w:t>
      </w:r>
    </w:p>
    <w:p w:rsidR="0057113F" w:rsidRPr="003149AC" w:rsidRDefault="0057113F" w:rsidP="0057113F">
      <w:pPr>
        <w:ind w:right="397"/>
        <w:jc w:val="both"/>
        <w:rPr>
          <w:rFonts w:ascii="Verdana" w:hAnsi="Verdana"/>
          <w:b/>
          <w:sz w:val="22"/>
          <w:szCs w:val="22"/>
          <w:lang w:val="es-CR"/>
        </w:rPr>
      </w:pPr>
    </w:p>
    <w:p w:rsidR="0057113F" w:rsidRPr="003149AC" w:rsidRDefault="0057113F" w:rsidP="0057113F">
      <w:pPr>
        <w:ind w:right="397"/>
        <w:jc w:val="both"/>
        <w:rPr>
          <w:rFonts w:ascii="Verdana" w:hAnsi="Verdana"/>
          <w:b/>
          <w:sz w:val="22"/>
          <w:szCs w:val="22"/>
          <w:lang w:val="es-CR"/>
        </w:rPr>
      </w:pPr>
      <w:r w:rsidRPr="003149AC">
        <w:rPr>
          <w:rFonts w:ascii="Verdana" w:hAnsi="Verdana"/>
          <w:b/>
          <w:sz w:val="22"/>
          <w:szCs w:val="22"/>
          <w:lang w:val="es-CR"/>
        </w:rPr>
        <w:t>3. SOBRE LA NULIDAD.</w:t>
      </w:r>
    </w:p>
    <w:p w:rsidR="0057113F" w:rsidRPr="003149AC" w:rsidRDefault="0057113F" w:rsidP="0057113F">
      <w:pPr>
        <w:jc w:val="both"/>
        <w:rPr>
          <w:rFonts w:ascii="Verdana" w:hAnsi="Verdana"/>
          <w:bCs/>
          <w:iCs/>
          <w:sz w:val="22"/>
          <w:szCs w:val="22"/>
          <w:lang w:val="es-CR"/>
        </w:rPr>
      </w:pPr>
    </w:p>
    <w:p w:rsidR="0057113F" w:rsidRDefault="0057113F" w:rsidP="0057113F">
      <w:pPr>
        <w:spacing w:line="276" w:lineRule="auto"/>
        <w:jc w:val="both"/>
        <w:rPr>
          <w:rStyle w:val="CharacterStyle1"/>
          <w:rFonts w:ascii="Verdana" w:eastAsia="Calibri" w:hAnsi="Verdana"/>
          <w:spacing w:val="4"/>
          <w:sz w:val="22"/>
          <w:szCs w:val="22"/>
          <w:lang w:val="es-ES" w:eastAsia="es-ES"/>
        </w:rPr>
      </w:pPr>
      <w:r w:rsidRPr="003149AC">
        <w:rPr>
          <w:rFonts w:ascii="Verdana" w:hAnsi="Verdana"/>
          <w:sz w:val="22"/>
          <w:szCs w:val="22"/>
          <w:lang w:val="es-CR"/>
        </w:rPr>
        <w:t xml:space="preserve">En el caso concreto, este Tribunal al analizar las piezas que conforman los atestados del expediente bajo análisis, a podido determinar que el acuerdo </w:t>
      </w:r>
      <w:r w:rsidRPr="003149AC">
        <w:rPr>
          <w:rFonts w:ascii="Verdana" w:hAnsi="Verdana"/>
          <w:sz w:val="22"/>
          <w:szCs w:val="22"/>
          <w:lang w:val="es-CR"/>
        </w:rPr>
        <w:lastRenderedPageBreak/>
        <w:t xml:space="preserve">impugnado el </w:t>
      </w:r>
      <w:r w:rsidRPr="008708CF">
        <w:rPr>
          <w:rStyle w:val="CharacterStyle1"/>
          <w:rFonts w:ascii="Verdana" w:eastAsia="Calibri" w:hAnsi="Verdana"/>
          <w:b/>
          <w:spacing w:val="4"/>
          <w:sz w:val="22"/>
          <w:szCs w:val="22"/>
          <w:lang w:val="es-ES" w:eastAsia="es-ES"/>
        </w:rPr>
        <w:t>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3149AC">
        <w:rPr>
          <w:rFonts w:ascii="Verdana" w:hAnsi="Verdana"/>
          <w:sz w:val="22"/>
          <w:szCs w:val="22"/>
          <w:lang w:val="es-CR"/>
        </w:rPr>
        <w:t xml:space="preserve">, es un acto </w:t>
      </w:r>
      <w:r>
        <w:rPr>
          <w:rFonts w:ascii="Verdana" w:hAnsi="Verdana"/>
          <w:sz w:val="22"/>
          <w:szCs w:val="22"/>
          <w:lang w:val="es-CR"/>
        </w:rPr>
        <w:t xml:space="preserve">mediante el cual </w:t>
      </w:r>
      <w:r w:rsidRPr="008708CF">
        <w:rPr>
          <w:rStyle w:val="CharacterStyle1"/>
          <w:rFonts w:ascii="Verdana" w:eastAsia="Calibri" w:hAnsi="Verdana"/>
          <w:spacing w:val="4"/>
          <w:sz w:val="22"/>
          <w:szCs w:val="22"/>
          <w:lang w:val="es-ES" w:eastAsia="es-ES"/>
        </w:rPr>
        <w:t xml:space="preserve">se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enuevan</w:t>
      </w:r>
      <w:r>
        <w:rPr>
          <w:rStyle w:val="CharacterStyle1"/>
          <w:rFonts w:ascii="Verdana" w:eastAsia="Calibri" w:hAnsi="Verdana"/>
          <w:spacing w:val="4"/>
          <w:sz w:val="22"/>
          <w:szCs w:val="22"/>
          <w:lang w:val="es-ES" w:eastAsia="es-ES"/>
        </w:rPr>
        <w:t xml:space="preserve">, </w:t>
      </w:r>
      <w:r w:rsidRPr="0077536D">
        <w:rPr>
          <w:rStyle w:val="CharacterStyle1"/>
          <w:rFonts w:ascii="Verdana" w:eastAsia="Calibri" w:hAnsi="Verdana"/>
          <w:spacing w:val="4"/>
          <w:sz w:val="22"/>
          <w:szCs w:val="22"/>
          <w:lang w:val="es-ES" w:eastAsia="es-ES"/>
        </w:rPr>
        <w:t>de manera general</w:t>
      </w:r>
      <w:r>
        <w:rPr>
          <w:rStyle w:val="CharacterStyle1"/>
          <w:rFonts w:ascii="Verdana" w:eastAsia="Calibri" w:hAnsi="Verdana"/>
          <w:spacing w:val="4"/>
          <w:sz w:val="22"/>
          <w:szCs w:val="22"/>
          <w:lang w:val="es-ES" w:eastAsia="es-ES"/>
        </w:rPr>
        <w:t>,</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w:t>
      </w:r>
      <w:r w:rsidRPr="002E54C8">
        <w:rPr>
          <w:rStyle w:val="CharacterStyle1"/>
          <w:rFonts w:ascii="Verdana" w:eastAsia="Calibri" w:hAnsi="Verdana"/>
          <w:b/>
          <w:spacing w:val="4"/>
          <w:sz w:val="22"/>
          <w:szCs w:val="22"/>
          <w:lang w:val="es-ES" w:eastAsia="es-ES"/>
        </w:rPr>
        <w:t xml:space="preserve">SEETAXI en la Modalidad de </w:t>
      </w:r>
      <w:r w:rsidRPr="002E54C8">
        <w:rPr>
          <w:rStyle w:val="CharacterStyle1"/>
          <w:rFonts w:ascii="Verdana" w:eastAsia="Calibri" w:hAnsi="Verdana"/>
          <w:b/>
          <w:spacing w:val="4"/>
          <w:sz w:val="22"/>
          <w:szCs w:val="22"/>
          <w:u w:val="single"/>
          <w:lang w:val="es-ES" w:eastAsia="es-ES"/>
        </w:rPr>
        <w:t>Vehículos Sedanes</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y r</w:t>
      </w:r>
      <w:r w:rsidRPr="008708CF">
        <w:rPr>
          <w:rStyle w:val="CharacterStyle1"/>
          <w:rFonts w:ascii="Verdana" w:eastAsia="Calibri" w:hAnsi="Verdana"/>
          <w:spacing w:val="4"/>
          <w:sz w:val="22"/>
          <w:szCs w:val="22"/>
          <w:lang w:val="es-ES" w:eastAsia="es-ES"/>
        </w:rPr>
        <w:t>edimensiona</w:t>
      </w:r>
      <w:r>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lcances de la Ley No. 8955 y del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de SEETAXI y </w:t>
      </w:r>
      <w:r w:rsidRPr="00E33D0E">
        <w:rPr>
          <w:rStyle w:val="CharacterStyle1"/>
          <w:rFonts w:ascii="Verdana" w:eastAsia="Calibri" w:hAnsi="Verdana"/>
          <w:spacing w:val="4"/>
          <w:sz w:val="22"/>
          <w:szCs w:val="22"/>
          <w:lang w:val="es-ES" w:eastAsia="es-ES"/>
        </w:rPr>
        <w:t>disminuye e</w:t>
      </w:r>
      <w:r>
        <w:rPr>
          <w:rStyle w:val="CharacterStyle1"/>
          <w:rFonts w:ascii="Verdana" w:eastAsia="Calibri" w:hAnsi="Verdana"/>
          <w:spacing w:val="4"/>
          <w:sz w:val="22"/>
          <w:szCs w:val="22"/>
          <w:lang w:val="es-ES" w:eastAsia="es-ES"/>
        </w:rPr>
        <w:t>l número de c</w:t>
      </w:r>
      <w:r w:rsidRPr="008708CF">
        <w:rPr>
          <w:rStyle w:val="CharacterStyle1"/>
          <w:rFonts w:ascii="Verdana" w:eastAsia="Calibri" w:hAnsi="Verdana"/>
          <w:spacing w:val="4"/>
          <w:sz w:val="22"/>
          <w:szCs w:val="22"/>
          <w:lang w:val="es-ES" w:eastAsia="es-ES"/>
        </w:rPr>
        <w:t xml:space="preserve">ódigos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por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ermiso</w:t>
      </w:r>
      <w:r>
        <w:rPr>
          <w:rStyle w:val="CharacterStyle1"/>
          <w:rFonts w:ascii="Verdana" w:eastAsia="Calibri" w:hAnsi="Verdana"/>
          <w:spacing w:val="4"/>
          <w:sz w:val="22"/>
          <w:szCs w:val="22"/>
          <w:lang w:val="es-ES" w:eastAsia="es-ES"/>
        </w:rPr>
        <w:t xml:space="preserve"> a un 3% tres por ciento,  respecto del número de concesiones de taxi por base de operación.</w:t>
      </w:r>
    </w:p>
    <w:p w:rsidR="0057113F" w:rsidRPr="000F79CB" w:rsidRDefault="0057113F" w:rsidP="0057113F">
      <w:pPr>
        <w:jc w:val="both"/>
        <w:rPr>
          <w:rFonts w:ascii="Verdana" w:hAnsi="Verdana"/>
          <w:sz w:val="22"/>
          <w:szCs w:val="22"/>
          <w:lang w:val="es-ES"/>
        </w:rPr>
      </w:pPr>
    </w:p>
    <w:p w:rsidR="0057113F" w:rsidRPr="003149AC" w:rsidRDefault="0057113F" w:rsidP="0057113F">
      <w:pPr>
        <w:ind w:right="397"/>
        <w:jc w:val="both"/>
        <w:rPr>
          <w:rFonts w:ascii="Verdana" w:hAnsi="Verdana"/>
          <w:bCs/>
          <w:iCs/>
          <w:sz w:val="22"/>
          <w:szCs w:val="22"/>
          <w:lang w:val="es-CR"/>
        </w:rPr>
      </w:pPr>
      <w:r w:rsidRPr="008708CF">
        <w:rPr>
          <w:rStyle w:val="CharacterStyle1"/>
          <w:rFonts w:ascii="Verdana" w:eastAsia="Calibri" w:hAnsi="Verdana"/>
          <w:spacing w:val="4"/>
          <w:sz w:val="22"/>
          <w:szCs w:val="22"/>
          <w:lang w:val="es-ES" w:eastAsia="es-ES"/>
        </w:rPr>
        <w:t>De</w:t>
      </w:r>
      <w:r>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Pr>
          <w:rStyle w:val="CharacterStyle1"/>
          <w:rFonts w:ascii="Verdana" w:eastAsia="Calibri" w:hAnsi="Verdana"/>
          <w:spacing w:val="4"/>
          <w:sz w:val="22"/>
          <w:szCs w:val="22"/>
          <w:lang w:val="es-ES" w:eastAsia="es-ES"/>
        </w:rPr>
        <w:t xml:space="preserve"> que ha realizado este colegio sobre e</w:t>
      </w:r>
      <w:r w:rsidRPr="008708CF">
        <w:rPr>
          <w:rStyle w:val="CharacterStyle1"/>
          <w:rFonts w:ascii="Verdana" w:eastAsia="Calibri" w:hAnsi="Verdana"/>
          <w:spacing w:val="4"/>
          <w:sz w:val="22"/>
          <w:szCs w:val="22"/>
          <w:lang w:val="es-ES" w:eastAsia="es-ES"/>
        </w:rPr>
        <w:t xml:space="preserve">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Pr>
          <w:rStyle w:val="CharacterStyle1"/>
          <w:rFonts w:ascii="Verdana" w:eastAsia="Calibri" w:hAnsi="Verdana"/>
          <w:spacing w:val="4"/>
          <w:sz w:val="22"/>
          <w:szCs w:val="22"/>
          <w:lang w:val="es-ES" w:eastAsia="es-ES"/>
        </w:rPr>
        <w:t>en oportunidades anteriores el Tribunal se ha referido al tema de los porcentajes y  ha</w:t>
      </w:r>
      <w:r w:rsidRPr="008708CF">
        <w:rPr>
          <w:rStyle w:val="CharacterStyle1"/>
          <w:rFonts w:ascii="Verdana" w:eastAsia="Calibri" w:hAnsi="Verdana"/>
          <w:spacing w:val="4"/>
          <w:sz w:val="22"/>
          <w:szCs w:val="22"/>
          <w:lang w:val="es-ES" w:eastAsia="es-ES"/>
        </w:rPr>
        <w:t xml:space="preserve"> determinado que al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 xml:space="preserve">erro de Interpretación de la Ley No. 8955, pues el 30% de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las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 xml:space="preserve"> del Tribunal Administrativo</w:t>
      </w:r>
      <w:r>
        <w:rPr>
          <w:rFonts w:ascii="Verdana" w:hAnsi="Verdana"/>
          <w:b/>
          <w:sz w:val="22"/>
          <w:szCs w:val="22"/>
          <w:lang w:val="es-MX"/>
        </w:rPr>
        <w:t xml:space="preserve"> de Transporte.</w:t>
      </w:r>
    </w:p>
    <w:p w:rsidR="0057113F" w:rsidRDefault="0057113F" w:rsidP="0057113F">
      <w:pPr>
        <w:ind w:right="397"/>
        <w:jc w:val="both"/>
        <w:rPr>
          <w:rFonts w:ascii="Verdana" w:hAnsi="Verdana"/>
          <w:bCs/>
          <w:iCs/>
          <w:sz w:val="22"/>
          <w:szCs w:val="22"/>
          <w:lang w:val="es-CR"/>
        </w:rPr>
      </w:pPr>
    </w:p>
    <w:p w:rsidR="0057113F" w:rsidRPr="008708CF" w:rsidRDefault="0057113F" w:rsidP="0057113F">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Pr>
          <w:rFonts w:ascii="Verdana" w:hAnsi="Verdana"/>
          <w:lang w:val="es-MX"/>
        </w:rPr>
        <w:t>p</w:t>
      </w:r>
      <w:r w:rsidRPr="008708CF">
        <w:rPr>
          <w:rFonts w:ascii="Verdana" w:hAnsi="Verdana"/>
          <w:lang w:val="es-MX"/>
        </w:rPr>
        <w:t xml:space="preserve">ermisos y </w:t>
      </w:r>
      <w:r>
        <w:rPr>
          <w:rFonts w:ascii="Verdana" w:hAnsi="Verdana"/>
          <w:lang w:val="es-MX"/>
        </w:rPr>
        <w:t>c</w:t>
      </w:r>
      <w:r w:rsidRPr="008708CF">
        <w:rPr>
          <w:rFonts w:ascii="Verdana" w:hAnsi="Verdana"/>
          <w:lang w:val="es-MX"/>
        </w:rPr>
        <w:t xml:space="preserve">ódigos de SEETAXI otorgados, al haberse </w:t>
      </w:r>
      <w:r>
        <w:rPr>
          <w:rFonts w:ascii="Verdana" w:hAnsi="Verdana"/>
          <w:lang w:val="es-MX"/>
        </w:rPr>
        <w:t xml:space="preserve">dado </w:t>
      </w:r>
      <w:r w:rsidRPr="008708CF">
        <w:rPr>
          <w:rFonts w:ascii="Verdana" w:hAnsi="Verdana"/>
          <w:lang w:val="es-MX"/>
        </w:rPr>
        <w:t>sin un sustento técnico por el mandato de la Ley (</w:t>
      </w:r>
      <w:r w:rsidRPr="008708CF">
        <w:rPr>
          <w:rFonts w:ascii="Verdana" w:hAnsi="Verdana"/>
          <w:i/>
          <w:lang w:val="es-MX"/>
        </w:rPr>
        <w:t>ver Transitorio II de la Ley No. 8955</w:t>
      </w:r>
      <w:r w:rsidRPr="008708CF">
        <w:rPr>
          <w:rFonts w:ascii="Verdana" w:hAnsi="Verdana"/>
          <w:lang w:val="es-MX"/>
        </w:rPr>
        <w:t xml:space="preserve">), siempre han estado sujeto a los estudios </w:t>
      </w:r>
      <w:r>
        <w:rPr>
          <w:rFonts w:ascii="Verdana" w:hAnsi="Verdana"/>
          <w:lang w:val="es-MX"/>
        </w:rPr>
        <w:t>y</w:t>
      </w:r>
      <w:r w:rsidRPr="008708CF">
        <w:rPr>
          <w:rFonts w:ascii="Verdana" w:hAnsi="Verdana"/>
          <w:lang w:val="es-MX"/>
        </w:rPr>
        <w:t xml:space="preserve"> valoraciones que el Consejo de Transporte Púb</w:t>
      </w:r>
      <w:r>
        <w:rPr>
          <w:rFonts w:ascii="Verdana" w:hAnsi="Verdana"/>
          <w:lang w:val="es-MX"/>
        </w:rPr>
        <w:t>l</w:t>
      </w:r>
      <w:r w:rsidRPr="008708CF">
        <w:rPr>
          <w:rFonts w:ascii="Verdana" w:hAnsi="Verdana"/>
          <w:lang w:val="es-MX"/>
        </w:rPr>
        <w:t xml:space="preserve">ico disponga para establecer y cuantificar la necesidad del Servicio de SEETAXI y su requerimiento a </w:t>
      </w:r>
      <w:r>
        <w:rPr>
          <w:rFonts w:ascii="Verdana" w:hAnsi="Verdana"/>
          <w:lang w:val="es-MX"/>
        </w:rPr>
        <w:t>n</w:t>
      </w:r>
      <w:r w:rsidRPr="008708CF">
        <w:rPr>
          <w:rFonts w:ascii="Verdana" w:hAnsi="Verdana"/>
          <w:lang w:val="es-MX"/>
        </w:rPr>
        <w:t xml:space="preserve">ivel </w:t>
      </w:r>
      <w:r>
        <w:rPr>
          <w:rFonts w:ascii="Verdana" w:hAnsi="Verdana"/>
          <w:lang w:val="es-MX"/>
        </w:rPr>
        <w:t>n</w:t>
      </w:r>
      <w:r w:rsidRPr="008708CF">
        <w:rPr>
          <w:rFonts w:ascii="Verdana" w:hAnsi="Verdana"/>
          <w:lang w:val="es-MX"/>
        </w:rPr>
        <w:t xml:space="preserve">acional. Por ende, no cabe alegato sobre “Derechos Adquiridos” sobre un número determinado de </w:t>
      </w:r>
      <w:r>
        <w:rPr>
          <w:rFonts w:ascii="Verdana" w:hAnsi="Verdana"/>
          <w:lang w:val="es-MX"/>
        </w:rPr>
        <w:t>p</w:t>
      </w:r>
      <w:r w:rsidRPr="008708CF">
        <w:rPr>
          <w:rFonts w:ascii="Verdana" w:hAnsi="Verdana"/>
          <w:lang w:val="es-MX"/>
        </w:rPr>
        <w:t xml:space="preserve">ermisos </w:t>
      </w:r>
      <w:r>
        <w:rPr>
          <w:rFonts w:ascii="Verdana" w:hAnsi="Verdana"/>
          <w:lang w:val="es-MX"/>
        </w:rPr>
        <w:t>o</w:t>
      </w:r>
      <w:r w:rsidRPr="008708CF">
        <w:rPr>
          <w:rFonts w:ascii="Verdana" w:hAnsi="Verdana"/>
          <w:lang w:val="es-MX"/>
        </w:rPr>
        <w:t xml:space="preserve"> </w:t>
      </w:r>
      <w:r>
        <w:rPr>
          <w:rFonts w:ascii="Verdana" w:hAnsi="Verdana"/>
          <w:lang w:val="es-MX"/>
        </w:rPr>
        <w:t>c</w:t>
      </w:r>
      <w:r w:rsidRPr="008708CF">
        <w:rPr>
          <w:rFonts w:ascii="Verdana" w:hAnsi="Verdana"/>
          <w:lang w:val="es-MX"/>
        </w:rPr>
        <w:t>ódigos, pues la situación aludida subsiste desde la emisión de la misma Ley No. 8955.</w:t>
      </w:r>
    </w:p>
    <w:p w:rsidR="0057113F" w:rsidRPr="008708CF" w:rsidRDefault="0057113F" w:rsidP="0057113F">
      <w:pPr>
        <w:pStyle w:val="Sinespaciado"/>
        <w:spacing w:line="276" w:lineRule="auto"/>
        <w:ind w:right="49"/>
        <w:jc w:val="both"/>
        <w:rPr>
          <w:rFonts w:ascii="Verdana" w:hAnsi="Verdana"/>
          <w:lang w:val="es-MX"/>
        </w:rPr>
      </w:pPr>
    </w:p>
    <w:p w:rsidR="0057113F" w:rsidRPr="008708CF" w:rsidRDefault="0057113F" w:rsidP="0057113F">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Pr>
          <w:rFonts w:ascii="Verdana" w:hAnsi="Verdana"/>
          <w:lang w:val="es-MX"/>
        </w:rPr>
        <w:t>a</w:t>
      </w:r>
      <w:r w:rsidRPr="008708CF">
        <w:rPr>
          <w:rFonts w:ascii="Verdana" w:hAnsi="Verdana"/>
          <w:lang w:val="es-MX"/>
        </w:rPr>
        <w:t xml:space="preserve">dvenimiento del </w:t>
      </w:r>
      <w:r>
        <w:rPr>
          <w:rFonts w:ascii="Verdana" w:hAnsi="Verdana"/>
          <w:lang w:val="es-MX"/>
        </w:rPr>
        <w:t>p</w:t>
      </w:r>
      <w:r w:rsidRPr="008708CF">
        <w:rPr>
          <w:rFonts w:ascii="Verdana" w:hAnsi="Verdana"/>
          <w:lang w:val="es-MX"/>
        </w:rPr>
        <w:t xml:space="preserve">lazo </w:t>
      </w:r>
      <w:r>
        <w:rPr>
          <w:rFonts w:ascii="Verdana" w:hAnsi="Verdana"/>
          <w:lang w:val="es-MX"/>
        </w:rPr>
        <w:t>i</w:t>
      </w:r>
      <w:r w:rsidRPr="008708CF">
        <w:rPr>
          <w:rFonts w:ascii="Verdana" w:hAnsi="Verdana"/>
          <w:lang w:val="es-MX"/>
        </w:rPr>
        <w:t xml:space="preserve">nicial de </w:t>
      </w:r>
      <w:r>
        <w:rPr>
          <w:rFonts w:ascii="Verdana" w:hAnsi="Verdana"/>
          <w:lang w:val="es-MX"/>
        </w:rPr>
        <w:t>v</w:t>
      </w:r>
      <w:r w:rsidRPr="008708CF">
        <w:rPr>
          <w:rFonts w:ascii="Verdana" w:hAnsi="Verdana"/>
          <w:lang w:val="es-MX"/>
        </w:rPr>
        <w:t xml:space="preserve">igencia de los </w:t>
      </w:r>
      <w:r>
        <w:rPr>
          <w:rFonts w:ascii="Verdana" w:hAnsi="Verdana"/>
          <w:lang w:val="es-MX"/>
        </w:rPr>
        <w:t>p</w:t>
      </w:r>
      <w:r w:rsidRPr="008708CF">
        <w:rPr>
          <w:rFonts w:ascii="Verdana" w:hAnsi="Verdana"/>
          <w:lang w:val="es-MX"/>
        </w:rPr>
        <w:t xml:space="preserve">ermisos de SEETAXI otorgados a tenor de la Ley No. 8955, se tiene que a </w:t>
      </w:r>
      <w:r>
        <w:rPr>
          <w:rFonts w:ascii="Verdana" w:hAnsi="Verdana"/>
          <w:lang w:val="es-MX"/>
        </w:rPr>
        <w:t>i</w:t>
      </w:r>
      <w:r w:rsidRPr="008708CF">
        <w:rPr>
          <w:rFonts w:ascii="Verdana" w:hAnsi="Verdana"/>
          <w:lang w:val="es-MX"/>
        </w:rPr>
        <w:t xml:space="preserve">nicios del </w:t>
      </w:r>
      <w:r>
        <w:rPr>
          <w:rFonts w:ascii="Verdana" w:hAnsi="Verdana"/>
          <w:lang w:val="es-MX"/>
        </w:rPr>
        <w:t>p</w:t>
      </w:r>
      <w:r w:rsidRPr="008708CF">
        <w:rPr>
          <w:rFonts w:ascii="Verdana" w:hAnsi="Verdana"/>
          <w:lang w:val="es-MX"/>
        </w:rPr>
        <w:t>resente año</w:t>
      </w:r>
      <w:r>
        <w:rPr>
          <w:rFonts w:ascii="Verdana" w:hAnsi="Verdana"/>
          <w:lang w:val="es-MX"/>
        </w:rPr>
        <w:t xml:space="preserve"> 2015</w:t>
      </w:r>
      <w:r w:rsidRPr="008708CF">
        <w:rPr>
          <w:rFonts w:ascii="Verdana" w:hAnsi="Verdana"/>
          <w:lang w:val="es-MX"/>
        </w:rPr>
        <w:t xml:space="preserve"> (</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Pr>
          <w:rFonts w:ascii="Verdana" w:hAnsi="Verdana"/>
          <w:lang w:val="es-MX"/>
        </w:rPr>
        <w:t>a</w:t>
      </w:r>
      <w:r w:rsidRPr="008708CF">
        <w:rPr>
          <w:rFonts w:ascii="Verdana" w:hAnsi="Verdana"/>
          <w:lang w:val="es-MX"/>
        </w:rPr>
        <w:t xml:space="preserve">clarar el </w:t>
      </w:r>
      <w:r>
        <w:rPr>
          <w:rFonts w:ascii="Verdana" w:hAnsi="Verdana"/>
          <w:lang w:val="es-MX"/>
        </w:rPr>
        <w:t>p</w:t>
      </w:r>
      <w:r w:rsidRPr="008708CF">
        <w:rPr>
          <w:rFonts w:ascii="Verdana" w:hAnsi="Verdana"/>
          <w:lang w:val="es-MX"/>
        </w:rPr>
        <w:t xml:space="preserve">anorama sobre el </w:t>
      </w:r>
      <w:r>
        <w:rPr>
          <w:rFonts w:ascii="Verdana" w:hAnsi="Verdana"/>
          <w:lang w:val="es-MX"/>
        </w:rPr>
        <w:t>d</w:t>
      </w:r>
      <w:r w:rsidRPr="008708CF">
        <w:rPr>
          <w:rFonts w:ascii="Verdana" w:hAnsi="Verdana"/>
          <w:lang w:val="es-MX"/>
        </w:rPr>
        <w:t xml:space="preserve">imensionamiento </w:t>
      </w:r>
      <w:r>
        <w:rPr>
          <w:rFonts w:ascii="Verdana" w:hAnsi="Verdana"/>
          <w:lang w:val="es-MX"/>
        </w:rPr>
        <w:t xml:space="preserve"> de la </w:t>
      </w:r>
      <w:r w:rsidRPr="008708CF">
        <w:rPr>
          <w:rFonts w:ascii="Verdana" w:hAnsi="Verdana"/>
          <w:lang w:val="es-MX"/>
        </w:rPr>
        <w:t xml:space="preserve"> </w:t>
      </w:r>
      <w:r>
        <w:rPr>
          <w:rFonts w:ascii="Verdana" w:hAnsi="Verdana"/>
          <w:lang w:val="es-MX"/>
        </w:rPr>
        <w:t>c</w:t>
      </w:r>
      <w:r w:rsidRPr="008708CF">
        <w:rPr>
          <w:rFonts w:ascii="Verdana" w:hAnsi="Verdana"/>
          <w:lang w:val="es-MX"/>
        </w:rPr>
        <w:t xml:space="preserve">antidad de los </w:t>
      </w:r>
      <w:r>
        <w:rPr>
          <w:rFonts w:ascii="Verdana" w:hAnsi="Verdana"/>
          <w:lang w:val="es-MX"/>
        </w:rPr>
        <w:t>p</w:t>
      </w:r>
      <w:r w:rsidRPr="008708CF">
        <w:rPr>
          <w:rFonts w:ascii="Verdana" w:hAnsi="Verdana"/>
          <w:lang w:val="es-MX"/>
        </w:rPr>
        <w:t xml:space="preserve">ermisos de SEETAXI, específicamente en lo atinente a la </w:t>
      </w:r>
      <w:r>
        <w:rPr>
          <w:rFonts w:ascii="Verdana" w:hAnsi="Verdana"/>
          <w:lang w:val="es-MX"/>
        </w:rPr>
        <w:t>a</w:t>
      </w:r>
      <w:r w:rsidRPr="008708CF">
        <w:rPr>
          <w:rFonts w:ascii="Verdana" w:hAnsi="Verdana"/>
          <w:lang w:val="es-MX"/>
        </w:rPr>
        <w:t xml:space="preserve">plicación del </w:t>
      </w:r>
      <w:r>
        <w:rPr>
          <w:rFonts w:ascii="Verdana" w:hAnsi="Verdana"/>
          <w:lang w:val="es-MX"/>
        </w:rPr>
        <w:t>p</w:t>
      </w:r>
      <w:r w:rsidRPr="008708CF">
        <w:rPr>
          <w:rFonts w:ascii="Verdana" w:hAnsi="Verdana"/>
          <w:lang w:val="es-MX"/>
        </w:rPr>
        <w:t>orcentaje (30%) al que alude la Ley No. 8955.</w:t>
      </w:r>
    </w:p>
    <w:p w:rsidR="0057113F" w:rsidRPr="008708CF" w:rsidRDefault="0057113F" w:rsidP="0057113F">
      <w:pPr>
        <w:pStyle w:val="Sinespaciado"/>
        <w:tabs>
          <w:tab w:val="left" w:pos="8789"/>
        </w:tabs>
        <w:spacing w:line="276" w:lineRule="auto"/>
        <w:ind w:right="49"/>
        <w:jc w:val="both"/>
        <w:rPr>
          <w:rFonts w:ascii="Verdana" w:hAnsi="Verdana"/>
          <w:lang w:val="es-MX"/>
        </w:rPr>
      </w:pPr>
    </w:p>
    <w:p w:rsidR="0057113F" w:rsidRPr="008708CF" w:rsidRDefault="0057113F" w:rsidP="0057113F">
      <w:pPr>
        <w:pStyle w:val="Sinespaciado"/>
        <w:tabs>
          <w:tab w:val="left" w:pos="8789"/>
        </w:tabs>
        <w:spacing w:line="276" w:lineRule="auto"/>
        <w:ind w:right="49"/>
        <w:jc w:val="both"/>
        <w:rPr>
          <w:rFonts w:ascii="Verdana" w:hAnsi="Verdana"/>
          <w:lang w:val="es-MX"/>
        </w:rPr>
      </w:pPr>
      <w:r>
        <w:rPr>
          <w:rFonts w:ascii="Verdana" w:hAnsi="Verdana"/>
          <w:lang w:val="es-MX"/>
        </w:rPr>
        <w:t>De lo dicho anteriormente la Procuraduría General de República emite</w:t>
      </w:r>
      <w:r w:rsidRPr="008708CF">
        <w:rPr>
          <w:rFonts w:ascii="Verdana" w:hAnsi="Verdana"/>
          <w:lang w:val="es-MX"/>
        </w:rPr>
        <w:t xml:space="preserve"> el Dictamen No. C-078-2015, de fecha 13 de Abril del 2015, el cual es conteste con el </w:t>
      </w:r>
      <w:r>
        <w:rPr>
          <w:rFonts w:ascii="Verdana" w:hAnsi="Verdana"/>
          <w:lang w:val="es-MX"/>
        </w:rPr>
        <w:t>c</w:t>
      </w:r>
      <w:r w:rsidRPr="008708CF">
        <w:rPr>
          <w:rFonts w:ascii="Verdana" w:hAnsi="Verdana"/>
          <w:lang w:val="es-MX"/>
        </w:rPr>
        <w:t xml:space="preserve">riterio de este Tribunal y </w:t>
      </w:r>
      <w:r>
        <w:rPr>
          <w:rFonts w:ascii="Verdana" w:hAnsi="Verdana"/>
          <w:lang w:val="es-MX"/>
        </w:rPr>
        <w:t>define</w:t>
      </w:r>
      <w:r w:rsidRPr="008708CF">
        <w:rPr>
          <w:rFonts w:ascii="Verdana" w:hAnsi="Verdana"/>
          <w:lang w:val="es-MX"/>
        </w:rPr>
        <w:t xml:space="preserve"> de forma </w:t>
      </w:r>
      <w:r>
        <w:rPr>
          <w:rFonts w:ascii="Verdana" w:hAnsi="Verdana"/>
          <w:lang w:val="es-MX"/>
        </w:rPr>
        <w:t>v</w:t>
      </w:r>
      <w:r w:rsidRPr="008708CF">
        <w:rPr>
          <w:rFonts w:ascii="Verdana" w:hAnsi="Verdana"/>
          <w:lang w:val="es-MX"/>
        </w:rPr>
        <w:t xml:space="preserve">inculante para la Administración </w:t>
      </w:r>
      <w:r>
        <w:rPr>
          <w:rFonts w:ascii="Verdana" w:hAnsi="Verdana"/>
          <w:lang w:val="es-MX"/>
        </w:rPr>
        <w:t>p</w:t>
      </w:r>
      <w:r w:rsidRPr="008708CF">
        <w:rPr>
          <w:rFonts w:ascii="Verdana" w:hAnsi="Verdana"/>
          <w:lang w:val="es-MX"/>
        </w:rPr>
        <w:t>etente  lo siguiente:</w:t>
      </w:r>
    </w:p>
    <w:p w:rsidR="0057113F" w:rsidRPr="008708CF" w:rsidRDefault="0057113F" w:rsidP="0057113F">
      <w:pPr>
        <w:pStyle w:val="Sinespaciado"/>
        <w:tabs>
          <w:tab w:val="left" w:pos="8789"/>
        </w:tabs>
        <w:ind w:right="49"/>
        <w:jc w:val="both"/>
        <w:rPr>
          <w:rFonts w:ascii="Verdana" w:hAnsi="Verdana"/>
          <w:lang w:val="es-MX"/>
        </w:rPr>
      </w:pPr>
    </w:p>
    <w:p w:rsidR="0057113F" w:rsidRPr="006F1B21" w:rsidRDefault="0057113F" w:rsidP="0057113F">
      <w:pPr>
        <w:pStyle w:val="Sinespaciado"/>
        <w:ind w:left="567" w:right="616"/>
        <w:jc w:val="both"/>
        <w:rPr>
          <w:rFonts w:ascii="Verdana" w:hAnsi="Verdana"/>
          <w:i/>
          <w:sz w:val="20"/>
          <w:szCs w:val="20"/>
        </w:rPr>
      </w:pPr>
      <w:r w:rsidRPr="006F1B21">
        <w:rPr>
          <w:rFonts w:ascii="Verdana" w:hAnsi="Verdana"/>
          <w:i/>
          <w:iCs/>
          <w:sz w:val="20"/>
          <w:szCs w:val="20"/>
          <w:lang w:val="es-ES_tradnl"/>
        </w:rPr>
        <w:lastRenderedPageBreak/>
        <w:t xml:space="preserve"> “Ahora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57113F" w:rsidRPr="006F1B21" w:rsidRDefault="0057113F" w:rsidP="0057113F">
      <w:pPr>
        <w:pStyle w:val="Sinespaciado"/>
        <w:ind w:left="567" w:right="616"/>
        <w:jc w:val="both"/>
        <w:rPr>
          <w:rFonts w:ascii="Verdana" w:hAnsi="Verdana"/>
          <w:i/>
          <w:sz w:val="20"/>
          <w:szCs w:val="20"/>
        </w:rPr>
      </w:pPr>
    </w:p>
    <w:p w:rsidR="0057113F" w:rsidRPr="006F1B21" w:rsidRDefault="0057113F" w:rsidP="0057113F">
      <w:pPr>
        <w:pStyle w:val="Sinespaciado"/>
        <w:ind w:left="567" w:right="616"/>
        <w:jc w:val="both"/>
        <w:rPr>
          <w:rFonts w:ascii="Verdana" w:hAnsi="Verdana"/>
          <w:i/>
          <w:sz w:val="20"/>
          <w:szCs w:val="20"/>
        </w:rPr>
      </w:pPr>
      <w:r w:rsidRPr="006F1B21">
        <w:rPr>
          <w:rFonts w:ascii="Verdana" w:hAnsi="Verdana"/>
          <w:i/>
          <w:iCs/>
          <w:sz w:val="20"/>
          <w:szCs w:val="20"/>
          <w:lang w:val="es-ES_tradnl"/>
        </w:rPr>
        <w:t>Consecuentemente, </w:t>
      </w:r>
      <w:r w:rsidRPr="006F1B21">
        <w:rPr>
          <w:rFonts w:ascii="Verdana" w:hAnsi="Verdana"/>
          <w:i/>
          <w:iCs/>
          <w:sz w:val="20"/>
          <w:szCs w:val="20"/>
          <w:u w:val="single"/>
          <w:lang w:val="es-ES_tradnl"/>
        </w:rPr>
        <w:t>para el otorgamiento de permisos estables de taxi, 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sidRPr="006F1B21">
        <w:rPr>
          <w:rFonts w:ascii="Verdana" w:hAnsi="Verdana"/>
          <w:i/>
          <w:iCs/>
          <w:sz w:val="20"/>
          <w:szCs w:val="20"/>
          <w:lang w:val="es-ES_tradnl"/>
        </w:rPr>
        <w:t>. Esta interpretación parte de la premisa expuesta por las normas transitorias mencionadas, dado que </w:t>
      </w:r>
      <w:r w:rsidRPr="006F1B21">
        <w:rPr>
          <w:rFonts w:ascii="Verdana" w:hAnsi="Verdana"/>
          <w:i/>
          <w:iCs/>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6F1B21">
        <w:rPr>
          <w:rFonts w:ascii="Verdana" w:hAnsi="Verdana"/>
          <w:i/>
          <w:iCs/>
          <w:sz w:val="20"/>
          <w:szCs w:val="20"/>
          <w:lang w:val="es-ES_tradnl"/>
        </w:rPr>
        <w:t>, con fundamento en la razonabilidad, proporcionalidad, oportunidad y necesidad.</w:t>
      </w:r>
    </w:p>
    <w:p w:rsidR="0057113F" w:rsidRPr="006F1B21" w:rsidRDefault="0057113F" w:rsidP="0057113F">
      <w:pPr>
        <w:pStyle w:val="Sinespaciado"/>
        <w:ind w:left="567" w:right="616"/>
        <w:jc w:val="both"/>
        <w:rPr>
          <w:rFonts w:ascii="Verdana" w:hAnsi="Verdana"/>
          <w:i/>
          <w:sz w:val="20"/>
          <w:szCs w:val="20"/>
        </w:rPr>
      </w:pPr>
    </w:p>
    <w:p w:rsidR="0057113F" w:rsidRPr="006F1B21" w:rsidRDefault="0057113F" w:rsidP="0057113F">
      <w:pPr>
        <w:pStyle w:val="Sinespaciado"/>
        <w:ind w:left="567" w:right="616"/>
        <w:jc w:val="both"/>
        <w:rPr>
          <w:rFonts w:ascii="Verdana" w:hAnsi="Verdana"/>
          <w:i/>
          <w:sz w:val="20"/>
          <w:szCs w:val="20"/>
        </w:rPr>
      </w:pPr>
      <w:r w:rsidRPr="006F1B21">
        <w:rPr>
          <w:rFonts w:ascii="Verdana" w:hAnsi="Verdana"/>
          <w:i/>
          <w:iCs/>
          <w:sz w:val="20"/>
          <w:szCs w:val="20"/>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r>
        <w:rPr>
          <w:rFonts w:ascii="Verdana" w:hAnsi="Verdana"/>
          <w:i/>
          <w:iCs/>
          <w:sz w:val="20"/>
          <w:szCs w:val="20"/>
          <w:lang w:val="es-ES_tradnl"/>
        </w:rPr>
        <w:t>(…)</w:t>
      </w:r>
    </w:p>
    <w:p w:rsidR="0057113F" w:rsidRPr="006F1B21" w:rsidRDefault="0057113F" w:rsidP="0057113F">
      <w:pPr>
        <w:pStyle w:val="Sinespaciado"/>
        <w:ind w:right="616"/>
        <w:jc w:val="both"/>
        <w:rPr>
          <w:rFonts w:ascii="Verdana" w:hAnsi="Verdana"/>
          <w:i/>
          <w:sz w:val="20"/>
          <w:szCs w:val="20"/>
        </w:rPr>
      </w:pPr>
    </w:p>
    <w:p w:rsidR="0057113F" w:rsidRPr="006F1B21" w:rsidRDefault="0057113F" w:rsidP="0057113F">
      <w:pPr>
        <w:pStyle w:val="Sinespaciado"/>
        <w:ind w:left="567" w:right="616"/>
        <w:jc w:val="both"/>
        <w:rPr>
          <w:rFonts w:ascii="Verdana" w:hAnsi="Verdana"/>
          <w:b/>
          <w:i/>
          <w:sz w:val="20"/>
          <w:szCs w:val="20"/>
        </w:rPr>
      </w:pPr>
      <w:r w:rsidRPr="006F1B21">
        <w:rPr>
          <w:rFonts w:ascii="Verdana" w:hAnsi="Verdana"/>
          <w:b/>
          <w:i/>
          <w:sz w:val="20"/>
          <w:szCs w:val="20"/>
        </w:rPr>
        <w:t>III.- CONCLUSIÓN.-</w:t>
      </w:r>
    </w:p>
    <w:p w:rsidR="0057113F" w:rsidRPr="006F1B21" w:rsidRDefault="0057113F" w:rsidP="0057113F">
      <w:pPr>
        <w:pStyle w:val="Sinespaciado"/>
        <w:ind w:left="567" w:right="616"/>
        <w:jc w:val="both"/>
        <w:rPr>
          <w:rFonts w:ascii="Verdana" w:hAnsi="Verdana"/>
          <w:i/>
          <w:sz w:val="20"/>
          <w:szCs w:val="20"/>
        </w:rPr>
      </w:pPr>
    </w:p>
    <w:p w:rsidR="0057113F" w:rsidRPr="006F1B21" w:rsidRDefault="0057113F" w:rsidP="0057113F">
      <w:pPr>
        <w:pStyle w:val="Sinespaciado"/>
        <w:ind w:left="567" w:right="616"/>
        <w:jc w:val="both"/>
        <w:rPr>
          <w:rFonts w:ascii="Verdana" w:hAnsi="Verdana"/>
          <w:i/>
          <w:sz w:val="20"/>
          <w:szCs w:val="20"/>
        </w:rPr>
      </w:pPr>
      <w:r w:rsidRPr="006F1B21">
        <w:rPr>
          <w:rFonts w:ascii="Verdana" w:hAnsi="Verdana"/>
          <w:i/>
          <w:sz w:val="20"/>
          <w:szCs w:val="20"/>
        </w:rPr>
        <w:t xml:space="preserve">De conformidad con lo expuesto, es criterio de la Procuraduría General de la República que el Consejo de Transporte Público, en la determinación del porcentaje de permisos especiales estables de taxi (seetaxi) que puede otorgar, en atención a los principios de razonabilidad, proporcionalidad y necesidad, no puede igualar o superar la cantidad de concesiones de taxi </w:t>
      </w:r>
      <w:r w:rsidRPr="006F1B21">
        <w:rPr>
          <w:rFonts w:ascii="Verdana" w:hAnsi="Verdana"/>
          <w:b/>
          <w:i/>
          <w:sz w:val="20"/>
          <w:szCs w:val="20"/>
          <w:u w:val="single"/>
        </w:rPr>
        <w:t>por base de operación</w:t>
      </w:r>
      <w:r w:rsidRPr="006F1B21">
        <w:rPr>
          <w:rFonts w:ascii="Verdana" w:hAnsi="Verdana"/>
          <w:i/>
          <w:sz w:val="20"/>
          <w:szCs w:val="20"/>
        </w:rPr>
        <w:t xml:space="preserve"> pues, en caso contrario, podría hacer incurrir al Estado en responsabilidad administrativa por no garantizar el equilibrio económico y financiero de los contratos de concesión.”</w:t>
      </w:r>
    </w:p>
    <w:p w:rsidR="0057113F" w:rsidRDefault="0057113F" w:rsidP="0057113F">
      <w:pPr>
        <w:ind w:right="397"/>
        <w:jc w:val="both"/>
        <w:rPr>
          <w:rFonts w:ascii="Verdana" w:hAnsi="Verdana"/>
          <w:bCs/>
          <w:iCs/>
          <w:sz w:val="22"/>
          <w:szCs w:val="22"/>
          <w:lang w:val="es-CR"/>
        </w:rPr>
      </w:pPr>
    </w:p>
    <w:p w:rsidR="0057113F" w:rsidRDefault="0057113F" w:rsidP="0057113F">
      <w:pPr>
        <w:ind w:right="397"/>
        <w:jc w:val="both"/>
        <w:rPr>
          <w:rFonts w:ascii="Verdana" w:hAnsi="Verdana"/>
          <w:bCs/>
          <w:iCs/>
          <w:sz w:val="22"/>
          <w:szCs w:val="22"/>
          <w:lang w:val="es-CR"/>
        </w:rPr>
      </w:pPr>
      <w:r w:rsidRPr="003149AC">
        <w:rPr>
          <w:rFonts w:ascii="Verdana" w:hAnsi="Verdana"/>
          <w:bCs/>
          <w:iCs/>
          <w:sz w:val="22"/>
          <w:szCs w:val="22"/>
          <w:lang w:val="es-CR"/>
        </w:rPr>
        <w:t xml:space="preserve">Por lo </w:t>
      </w:r>
      <w:r>
        <w:rPr>
          <w:rFonts w:ascii="Verdana" w:hAnsi="Verdana"/>
          <w:bCs/>
          <w:iCs/>
          <w:sz w:val="22"/>
          <w:szCs w:val="22"/>
          <w:lang w:val="es-CR"/>
        </w:rPr>
        <w:t>anterior es claro que el Consejo de Transporte Público ha actuado apegado a la Legalidad y ha motivado adecuadamente el acto administrativo impugnado y no encuentra este Tribunal  Administrativo de Transporte, vicio alguno que conlleve anular dicho acto.</w:t>
      </w:r>
    </w:p>
    <w:p w:rsidR="0057113F" w:rsidRDefault="0057113F" w:rsidP="0057113F">
      <w:pPr>
        <w:ind w:right="397"/>
        <w:jc w:val="both"/>
        <w:rPr>
          <w:rFonts w:ascii="Verdana" w:hAnsi="Verdana"/>
          <w:bCs/>
          <w:iCs/>
          <w:sz w:val="22"/>
          <w:szCs w:val="22"/>
          <w:lang w:val="es-CR"/>
        </w:rPr>
      </w:pPr>
    </w:p>
    <w:p w:rsidR="0057113F" w:rsidRPr="003149AC" w:rsidRDefault="0057113F" w:rsidP="0057113F">
      <w:pPr>
        <w:ind w:right="397"/>
        <w:jc w:val="both"/>
        <w:rPr>
          <w:rFonts w:ascii="Verdana" w:hAnsi="Verdana"/>
          <w:bCs/>
          <w:iCs/>
          <w:sz w:val="22"/>
          <w:szCs w:val="22"/>
          <w:lang w:val="es-CR"/>
        </w:rPr>
      </w:pPr>
      <w:r>
        <w:rPr>
          <w:rFonts w:ascii="Verdana" w:hAnsi="Verdana"/>
          <w:bCs/>
          <w:iCs/>
          <w:sz w:val="22"/>
          <w:szCs w:val="22"/>
          <w:lang w:val="es-CR"/>
        </w:rPr>
        <w:t xml:space="preserve">Por </w:t>
      </w:r>
      <w:r w:rsidRPr="003149AC">
        <w:rPr>
          <w:rFonts w:ascii="Verdana" w:hAnsi="Verdana"/>
          <w:bCs/>
          <w:iCs/>
          <w:sz w:val="22"/>
          <w:szCs w:val="22"/>
          <w:lang w:val="es-CR"/>
        </w:rPr>
        <w:t xml:space="preserve">tanto al no existir nulidad alguna y haber sido presentado de manera </w:t>
      </w:r>
      <w:r w:rsidRPr="003149AC">
        <w:rPr>
          <w:rFonts w:ascii="Verdana" w:hAnsi="Verdana"/>
          <w:bCs/>
          <w:iCs/>
          <w:sz w:val="22"/>
          <w:szCs w:val="22"/>
          <w:lang w:val="es-CR"/>
        </w:rPr>
        <w:lastRenderedPageBreak/>
        <w:t>extemporánea el Recurso de Revocatoria</w:t>
      </w:r>
      <w:r>
        <w:rPr>
          <w:rFonts w:ascii="Verdana" w:hAnsi="Verdana"/>
          <w:bCs/>
          <w:iCs/>
          <w:sz w:val="22"/>
          <w:szCs w:val="22"/>
          <w:lang w:val="es-CR"/>
        </w:rPr>
        <w:t xml:space="preserve"> con Apelación en subsidio</w:t>
      </w:r>
      <w:r w:rsidRPr="003149AC">
        <w:rPr>
          <w:rFonts w:ascii="Verdana" w:hAnsi="Verdana"/>
          <w:bCs/>
          <w:iCs/>
          <w:sz w:val="22"/>
          <w:szCs w:val="22"/>
          <w:lang w:val="es-CR"/>
        </w:rPr>
        <w:t>, debe procederse a rechazar las presentes acciones impugnatorias por extemporáneas.</w:t>
      </w:r>
    </w:p>
    <w:p w:rsidR="0057113F" w:rsidRPr="003149AC" w:rsidRDefault="0057113F" w:rsidP="0057113F">
      <w:pPr>
        <w:ind w:right="397"/>
        <w:jc w:val="both"/>
        <w:rPr>
          <w:rFonts w:ascii="Verdana" w:hAnsi="Verdana"/>
          <w:bCs/>
          <w:i/>
          <w:sz w:val="22"/>
          <w:szCs w:val="22"/>
          <w:lang w:val="es-CR"/>
        </w:rPr>
      </w:pPr>
    </w:p>
    <w:p w:rsidR="0057113F" w:rsidRDefault="0057113F" w:rsidP="0057113F">
      <w:pPr>
        <w:spacing w:after="120" w:line="276" w:lineRule="auto"/>
        <w:jc w:val="center"/>
        <w:rPr>
          <w:rFonts w:ascii="Verdana" w:hAnsi="Verdana"/>
          <w:b/>
          <w:sz w:val="22"/>
          <w:szCs w:val="22"/>
          <w:lang w:val="es-CR"/>
        </w:rPr>
      </w:pPr>
    </w:p>
    <w:p w:rsidR="0057113F" w:rsidRPr="008A1D1A" w:rsidRDefault="0057113F" w:rsidP="0057113F">
      <w:pPr>
        <w:spacing w:after="120" w:line="276" w:lineRule="auto"/>
        <w:jc w:val="center"/>
        <w:rPr>
          <w:rFonts w:ascii="Verdana" w:hAnsi="Verdana"/>
          <w:b/>
          <w:sz w:val="22"/>
          <w:szCs w:val="22"/>
          <w:lang w:val="es-CR"/>
        </w:rPr>
      </w:pPr>
      <w:r w:rsidRPr="008A1D1A">
        <w:rPr>
          <w:rFonts w:ascii="Verdana" w:hAnsi="Verdana"/>
          <w:b/>
          <w:sz w:val="22"/>
          <w:szCs w:val="22"/>
          <w:lang w:val="es-CR"/>
        </w:rPr>
        <w:t>POR TANTO</w:t>
      </w:r>
    </w:p>
    <w:p w:rsidR="0057113F" w:rsidRPr="008708CF" w:rsidRDefault="0057113F" w:rsidP="0057113F">
      <w:pPr>
        <w:pStyle w:val="Sinespaciado"/>
        <w:rPr>
          <w:rFonts w:ascii="Verdana" w:hAnsi="Verdana"/>
        </w:rPr>
      </w:pPr>
    </w:p>
    <w:p w:rsidR="0057113F" w:rsidRDefault="0057113F" w:rsidP="0057113F">
      <w:pPr>
        <w:spacing w:line="276" w:lineRule="auto"/>
        <w:ind w:right="49"/>
        <w:jc w:val="both"/>
        <w:rPr>
          <w:rStyle w:val="CharacterStyle1"/>
          <w:rFonts w:ascii="Verdana" w:eastAsia="Calibri" w:hAnsi="Verdana"/>
          <w:spacing w:val="4"/>
          <w:sz w:val="22"/>
          <w:szCs w:val="22"/>
          <w:lang w:val="es-ES" w:eastAsia="es-ES"/>
        </w:rPr>
      </w:pPr>
      <w:r w:rsidRPr="008708CF">
        <w:rPr>
          <w:rFonts w:ascii="Verdana" w:hAnsi="Verdana"/>
          <w:b/>
          <w:sz w:val="22"/>
          <w:szCs w:val="22"/>
          <w:lang w:val="es-ES"/>
        </w:rPr>
        <w:t>I.</w:t>
      </w:r>
      <w:r w:rsidRPr="008708CF">
        <w:rPr>
          <w:rFonts w:ascii="Verdana" w:hAnsi="Verdana"/>
          <w:sz w:val="22"/>
          <w:szCs w:val="22"/>
          <w:lang w:val="es-ES"/>
        </w:rPr>
        <w:t xml:space="preserve"> </w:t>
      </w:r>
      <w:r>
        <w:rPr>
          <w:rFonts w:ascii="Verdana" w:hAnsi="Verdana"/>
          <w:sz w:val="22"/>
          <w:szCs w:val="22"/>
          <w:lang w:val="es-ES"/>
        </w:rPr>
        <w:t>Por voto de mayoría s</w:t>
      </w:r>
      <w:r w:rsidRPr="00715A4F">
        <w:rPr>
          <w:rFonts w:ascii="Verdana" w:hAnsi="Verdana"/>
          <w:sz w:val="22"/>
          <w:szCs w:val="22"/>
          <w:lang w:val="es-MX"/>
        </w:rPr>
        <w:t xml:space="preserve">e </w:t>
      </w:r>
      <w:r>
        <w:rPr>
          <w:rFonts w:ascii="Verdana" w:hAnsi="Verdana"/>
          <w:sz w:val="22"/>
          <w:szCs w:val="22"/>
          <w:lang w:val="es-MX"/>
        </w:rPr>
        <w:t xml:space="preserve">rechazan por extemporáneo el </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Pr>
          <w:rStyle w:val="CharacterStyle1"/>
          <w:rFonts w:ascii="Verdana" w:eastAsia="Calibri" w:hAnsi="Verdana"/>
          <w:b/>
          <w:spacing w:val="4"/>
          <w:sz w:val="22"/>
          <w:szCs w:val="22"/>
          <w:lang w:val="es-ES" w:eastAsia="es-ES"/>
        </w:rPr>
        <w:t>A.P.A</w:t>
      </w:r>
      <w:r w:rsidRPr="008708CF">
        <w:rPr>
          <w:rStyle w:val="CharacterStyle1"/>
          <w:rFonts w:ascii="Verdana" w:eastAsia="Calibri" w:hAnsi="Verdana"/>
          <w:b/>
          <w:spacing w:val="4"/>
          <w:sz w:val="22"/>
          <w:szCs w:val="22"/>
          <w:lang w:val="es-ES" w:eastAsia="es-ES"/>
        </w:rPr>
        <w:t xml:space="preserve">. Cédula Jurídica </w:t>
      </w:r>
      <w:r>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Pr>
          <w:rStyle w:val="CharacterStyle1"/>
          <w:rFonts w:ascii="Verdana" w:eastAsia="Calibri" w:hAnsi="Verdana"/>
          <w:spacing w:val="4"/>
          <w:sz w:val="22"/>
          <w:szCs w:val="22"/>
          <w:lang w:val="es-ES" w:eastAsia="es-ES"/>
        </w:rPr>
        <w:t>Apoderado Generalísimo sin Límite de Suma</w:t>
      </w:r>
      <w:r w:rsidRPr="008708CF">
        <w:rPr>
          <w:rStyle w:val="CharacterStyle1"/>
          <w:rFonts w:ascii="Verdana" w:eastAsia="Calibri" w:hAnsi="Verdana"/>
          <w:spacing w:val="4"/>
          <w:sz w:val="22"/>
          <w:szCs w:val="22"/>
          <w:lang w:val="es-ES" w:eastAsia="es-ES"/>
        </w:rPr>
        <w:t xml:space="preserve"> señor </w:t>
      </w:r>
      <w:r>
        <w:rPr>
          <w:rStyle w:val="CharacterStyle1"/>
          <w:rFonts w:ascii="Verdana" w:eastAsia="Calibri" w:hAnsi="Verdana"/>
          <w:b/>
          <w:spacing w:val="4"/>
          <w:sz w:val="22"/>
          <w:szCs w:val="22"/>
          <w:lang w:val="es-ES" w:eastAsia="es-ES"/>
        </w:rPr>
        <w:t>L.G.G</w:t>
      </w:r>
      <w:r w:rsidRPr="008708CF">
        <w:rPr>
          <w:rStyle w:val="CharacterStyle1"/>
          <w:rFonts w:ascii="Verdana" w:eastAsia="Calibri" w:hAnsi="Verdana"/>
          <w:b/>
          <w:spacing w:val="4"/>
          <w:sz w:val="22"/>
          <w:szCs w:val="22"/>
          <w:lang w:val="es-ES" w:eastAsia="es-ES"/>
        </w:rPr>
        <w:t xml:space="preserve">, cédula de identidad número </w:t>
      </w:r>
      <w:r>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w:t>
      </w:r>
      <w:r w:rsidRPr="008B7C8D">
        <w:rPr>
          <w:rFonts w:ascii="Verdana" w:eastAsia="Calibri" w:hAnsi="Verdana"/>
          <w:b/>
          <w:spacing w:val="4"/>
          <w:sz w:val="22"/>
          <w:szCs w:val="22"/>
          <w:lang w:val="es-ES" w:eastAsia="es-ES"/>
        </w:rPr>
        <w:t xml:space="preserve"> </w:t>
      </w:r>
      <w:r w:rsidRPr="00C92EF7">
        <w:rPr>
          <w:rStyle w:val="CharacterStyle1"/>
          <w:rFonts w:ascii="Verdana" w:eastAsia="Calibri" w:hAnsi="Verdana"/>
          <w:b/>
          <w:spacing w:val="4"/>
          <w:sz w:val="22"/>
          <w:szCs w:val="22"/>
          <w:lang w:val="es-ES" w:eastAsia="es-ES"/>
        </w:rPr>
        <w:t>Salva el voto el señor Juez Carlos Portuguez Méndez.</w:t>
      </w:r>
    </w:p>
    <w:p w:rsidR="0057113F" w:rsidRPr="00E27191" w:rsidRDefault="0057113F" w:rsidP="0057113F">
      <w:pPr>
        <w:spacing w:line="276" w:lineRule="auto"/>
        <w:ind w:right="49"/>
        <w:jc w:val="both"/>
        <w:rPr>
          <w:rFonts w:ascii="Verdana" w:hAnsi="Verdana"/>
          <w:lang w:val="es-ES"/>
        </w:rPr>
      </w:pPr>
    </w:p>
    <w:p w:rsidR="0057113F" w:rsidRPr="008708CF" w:rsidRDefault="0057113F" w:rsidP="0057113F">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rsidR="0057113F" w:rsidRPr="008708CF" w:rsidRDefault="0057113F" w:rsidP="0057113F">
      <w:pPr>
        <w:pStyle w:val="Sinespaciado"/>
        <w:rPr>
          <w:rFonts w:ascii="Verdana" w:hAnsi="Verdana"/>
        </w:rPr>
      </w:pPr>
    </w:p>
    <w:p w:rsidR="0057113F" w:rsidRPr="008708CF" w:rsidRDefault="0057113F" w:rsidP="0057113F">
      <w:pPr>
        <w:spacing w:line="276" w:lineRule="auto"/>
        <w:jc w:val="both"/>
        <w:rPr>
          <w:rFonts w:ascii="Verdana" w:hAnsi="Verdana"/>
          <w:b/>
          <w:sz w:val="22"/>
          <w:szCs w:val="22"/>
          <w:lang w:val="es-CR"/>
        </w:rPr>
      </w:pPr>
      <w:r w:rsidRPr="008708CF">
        <w:rPr>
          <w:rFonts w:ascii="Verdana" w:hAnsi="Verdana"/>
          <w:b/>
          <w:sz w:val="22"/>
          <w:szCs w:val="22"/>
          <w:lang w:val="es-CR"/>
        </w:rPr>
        <w:t>III.-</w:t>
      </w:r>
      <w:r w:rsidRPr="008708CF">
        <w:rPr>
          <w:rFonts w:ascii="Verdana" w:hAnsi="Verdana"/>
          <w:sz w:val="22"/>
          <w:szCs w:val="22"/>
          <w:lang w:val="es-CR"/>
        </w:rPr>
        <w:tab/>
      </w:r>
      <w:r w:rsidRPr="008708CF">
        <w:rPr>
          <w:rFonts w:ascii="Verdana" w:hAnsi="Verdana"/>
          <w:b/>
          <w:sz w:val="22"/>
          <w:szCs w:val="22"/>
          <w:lang w:val="es-CR"/>
        </w:rPr>
        <w:t>NOTIFIQUESE.</w:t>
      </w:r>
    </w:p>
    <w:p w:rsidR="0057113F" w:rsidRPr="008708CF" w:rsidRDefault="0057113F" w:rsidP="0057113F">
      <w:pPr>
        <w:pStyle w:val="Sinespaciado"/>
        <w:rPr>
          <w:rFonts w:ascii="Verdana" w:hAnsi="Verdana"/>
        </w:rPr>
      </w:pPr>
    </w:p>
    <w:p w:rsidR="0057113F" w:rsidRPr="008708CF" w:rsidRDefault="0057113F" w:rsidP="0057113F">
      <w:pPr>
        <w:pStyle w:val="Sinespaciado"/>
        <w:rPr>
          <w:rFonts w:ascii="Verdana" w:hAnsi="Verdana"/>
        </w:rPr>
      </w:pPr>
    </w:p>
    <w:p w:rsidR="0057113F" w:rsidRPr="008708CF" w:rsidRDefault="0057113F" w:rsidP="0057113F">
      <w:pPr>
        <w:pStyle w:val="Sinespaciado"/>
        <w:rPr>
          <w:rFonts w:ascii="Verdana" w:hAnsi="Verdana"/>
        </w:rPr>
      </w:pPr>
    </w:p>
    <w:p w:rsidR="0057113F" w:rsidRPr="008708CF" w:rsidRDefault="0057113F" w:rsidP="0057113F">
      <w:pPr>
        <w:spacing w:line="276" w:lineRule="auto"/>
        <w:jc w:val="center"/>
        <w:rPr>
          <w:rFonts w:ascii="Verdana" w:hAnsi="Verdana"/>
          <w:sz w:val="22"/>
          <w:szCs w:val="22"/>
          <w:lang w:val="es-CR"/>
        </w:rPr>
      </w:pPr>
      <w:r w:rsidRPr="008708CF">
        <w:rPr>
          <w:rFonts w:ascii="Verdana" w:hAnsi="Verdana"/>
          <w:sz w:val="22"/>
          <w:szCs w:val="22"/>
          <w:lang w:val="es-CR"/>
        </w:rPr>
        <w:t>Lic. Carlos Portuguez Méndez</w:t>
      </w:r>
    </w:p>
    <w:p w:rsidR="0057113F" w:rsidRPr="008708CF" w:rsidRDefault="0057113F" w:rsidP="0057113F">
      <w:pPr>
        <w:spacing w:line="276" w:lineRule="auto"/>
        <w:jc w:val="center"/>
        <w:rPr>
          <w:rFonts w:ascii="Verdana" w:hAnsi="Verdana"/>
          <w:b/>
          <w:sz w:val="22"/>
          <w:szCs w:val="22"/>
          <w:lang w:val="es-CR"/>
        </w:rPr>
      </w:pPr>
      <w:r w:rsidRPr="008708CF">
        <w:rPr>
          <w:rFonts w:ascii="Verdana" w:hAnsi="Verdana"/>
          <w:b/>
          <w:sz w:val="22"/>
          <w:szCs w:val="22"/>
          <w:lang w:val="es-CR"/>
        </w:rPr>
        <w:t>PRESIDENTE</w:t>
      </w:r>
    </w:p>
    <w:p w:rsidR="0057113F" w:rsidRPr="008708CF" w:rsidRDefault="0057113F" w:rsidP="0057113F">
      <w:pPr>
        <w:pStyle w:val="Sinespaciado"/>
        <w:spacing w:line="276" w:lineRule="auto"/>
        <w:rPr>
          <w:rFonts w:ascii="Verdana" w:hAnsi="Verdana"/>
        </w:rPr>
      </w:pPr>
    </w:p>
    <w:p w:rsidR="0057113F" w:rsidRPr="008708CF" w:rsidRDefault="0057113F" w:rsidP="0057113F">
      <w:pPr>
        <w:pStyle w:val="Sinespaciado"/>
        <w:rPr>
          <w:rFonts w:ascii="Verdana" w:hAnsi="Verdana"/>
        </w:rPr>
      </w:pPr>
    </w:p>
    <w:p w:rsidR="0057113F" w:rsidRPr="008708CF" w:rsidRDefault="0057113F" w:rsidP="0057113F">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rsidR="0057113F" w:rsidRPr="008708CF" w:rsidRDefault="0057113F" w:rsidP="0057113F">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rsidR="0057113F" w:rsidRPr="008708C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Pr>
        <w:spacing w:line="276" w:lineRule="auto"/>
        <w:jc w:val="both"/>
        <w:rPr>
          <w:rFonts w:ascii="Verdana" w:hAnsi="Verdana"/>
          <w:b/>
          <w:color w:val="000000" w:themeColor="text1"/>
          <w:sz w:val="22"/>
          <w:szCs w:val="22"/>
          <w:lang w:val="es-CR"/>
        </w:rPr>
      </w:pPr>
    </w:p>
    <w:p w:rsidR="0057113F" w:rsidRDefault="0057113F" w:rsidP="0057113F"/>
    <w:p w:rsidR="0057113F" w:rsidRDefault="0057113F" w:rsidP="0057113F"/>
    <w:p w:rsidR="0057113F" w:rsidRDefault="0057113F" w:rsidP="0057113F"/>
    <w:p w:rsidR="00BE52A5" w:rsidRDefault="00BE52A5">
      <w:bookmarkStart w:id="0" w:name="_GoBack"/>
      <w:bookmarkEnd w:id="0"/>
    </w:p>
    <w:sectPr w:rsidR="00BE52A5" w:rsidSect="00104C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3F"/>
    <w:rsid w:val="0057113F"/>
    <w:rsid w:val="00BE52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7BD17-C8FF-43F1-852D-D596D7C7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113F"/>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7113F"/>
    <w:pPr>
      <w:spacing w:after="0" w:line="240" w:lineRule="auto"/>
    </w:pPr>
    <w:rPr>
      <w:rFonts w:ascii="Calibri" w:eastAsia="Calibri" w:hAnsi="Calibri" w:cs="Times New Roman"/>
    </w:rPr>
  </w:style>
  <w:style w:type="character" w:customStyle="1" w:styleId="CharacterStyle1">
    <w:name w:val="Character Style 1"/>
    <w:uiPriority w:val="99"/>
    <w:rsid w:val="0057113F"/>
    <w:rPr>
      <w:sz w:val="25"/>
      <w:szCs w:val="25"/>
    </w:rPr>
  </w:style>
  <w:style w:type="character" w:customStyle="1" w:styleId="SinespaciadoCar">
    <w:name w:val="Sin espaciado Car"/>
    <w:basedOn w:val="Fuentedeprrafopredeter"/>
    <w:link w:val="Sinespaciado"/>
    <w:uiPriority w:val="1"/>
    <w:rsid w:val="0057113F"/>
    <w:rPr>
      <w:rFonts w:ascii="Calibri" w:eastAsia="Calibri" w:hAnsi="Calibri" w:cs="Times New Roman"/>
    </w:rPr>
  </w:style>
  <w:style w:type="paragraph" w:customStyle="1" w:styleId="Default">
    <w:name w:val="Default"/>
    <w:rsid w:val="005711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2770</Words>
  <Characters>15237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1</cp:revision>
  <dcterms:created xsi:type="dcterms:W3CDTF">2016-04-25T17:47:00Z</dcterms:created>
  <dcterms:modified xsi:type="dcterms:W3CDTF">2016-04-25T17:48:00Z</dcterms:modified>
</cp:coreProperties>
</file>