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A7A20">
      <w:pPr>
        <w:kinsoku w:val="0"/>
        <w:overflowPunct w:val="0"/>
        <w:autoSpaceDE/>
        <w:autoSpaceDN/>
        <w:adjustRightInd/>
        <w:spacing w:before="4" w:line="289" w:lineRule="exact"/>
        <w:jc w:val="center"/>
        <w:textAlignment w:val="baseline"/>
        <w:rPr>
          <w:rFonts w:ascii="Tahoma" w:hAnsi="Tahoma" w:cs="Tahoma"/>
          <w:b/>
          <w:bCs/>
          <w:spacing w:val="9"/>
          <w:sz w:val="25"/>
          <w:szCs w:val="25"/>
          <w:lang w:val="es-ES" w:eastAsia="es-ES"/>
        </w:rPr>
      </w:pPr>
      <w:r>
        <w:rPr>
          <w:rFonts w:ascii="Tahoma" w:hAnsi="Tahoma" w:cs="Tahoma"/>
          <w:b/>
          <w:bCs/>
          <w:spacing w:val="9"/>
          <w:sz w:val="25"/>
          <w:szCs w:val="25"/>
          <w:lang w:val="es-ES" w:eastAsia="es-ES"/>
        </w:rPr>
        <w:t>RESOLUCION No. TAT-3259-2017</w:t>
      </w:r>
    </w:p>
    <w:p w:rsidR="00000000" w:rsidRDefault="006A7A20">
      <w:pPr>
        <w:kinsoku w:val="0"/>
        <w:overflowPunct w:val="0"/>
        <w:autoSpaceDE/>
        <w:autoSpaceDN/>
        <w:adjustRightInd/>
        <w:spacing w:before="588" w:line="292" w:lineRule="exact"/>
        <w:ind w:right="144"/>
        <w:jc w:val="both"/>
        <w:textAlignment w:val="baseline"/>
        <w:rPr>
          <w:rFonts w:ascii="Tahoma" w:hAnsi="Tahoma" w:cs="Tahoma"/>
          <w:sz w:val="25"/>
          <w:szCs w:val="25"/>
          <w:lang w:val="es-ES" w:eastAsia="es-ES"/>
        </w:rPr>
      </w:pPr>
      <w:r>
        <w:rPr>
          <w:rFonts w:ascii="Tahoma" w:hAnsi="Tahoma" w:cs="Tahoma"/>
          <w:b/>
          <w:bCs/>
          <w:sz w:val="25"/>
          <w:szCs w:val="25"/>
          <w:lang w:val="es-ES" w:eastAsia="es-ES"/>
        </w:rPr>
        <w:t xml:space="preserve">TRIBUNAL ADMINISTRATIVO DE TRANSPORTE. </w:t>
      </w:r>
      <w:r>
        <w:rPr>
          <w:rFonts w:ascii="Tahoma" w:hAnsi="Tahoma" w:cs="Tahoma"/>
          <w:sz w:val="25"/>
          <w:szCs w:val="25"/>
          <w:lang w:val="es-ES" w:eastAsia="es-ES"/>
        </w:rPr>
        <w:t>San José</w:t>
      </w:r>
      <w:r>
        <w:rPr>
          <w:rFonts w:ascii="Tahoma" w:hAnsi="Tahoma" w:cs="Tahoma"/>
          <w:sz w:val="25"/>
          <w:szCs w:val="25"/>
          <w:lang w:val="es-ES" w:eastAsia="es-ES"/>
        </w:rPr>
        <w:t>, a las once horas del ocho de mayo de dos mil diecisiete.</w:t>
      </w:r>
    </w:p>
    <w:p w:rsidR="00000000" w:rsidRDefault="006A7A20">
      <w:pPr>
        <w:kinsoku w:val="0"/>
        <w:overflowPunct w:val="0"/>
        <w:autoSpaceDE/>
        <w:autoSpaceDN/>
        <w:adjustRightInd/>
        <w:spacing w:before="284" w:line="292" w:lineRule="exact"/>
        <w:ind w:right="144"/>
        <w:jc w:val="both"/>
        <w:textAlignment w:val="baseline"/>
        <w:rPr>
          <w:rFonts w:ascii="Tahoma" w:hAnsi="Tahoma" w:cs="Tahoma"/>
          <w:b/>
          <w:bCs/>
          <w:spacing w:val="10"/>
          <w:sz w:val="25"/>
          <w:szCs w:val="25"/>
          <w:lang w:val="es-ES" w:eastAsia="es-ES"/>
        </w:rPr>
      </w:pPr>
      <w:r>
        <w:rPr>
          <w:rFonts w:ascii="Tahoma" w:hAnsi="Tahoma" w:cs="Tahoma"/>
          <w:b/>
          <w:bCs/>
          <w:spacing w:val="10"/>
          <w:sz w:val="25"/>
          <w:szCs w:val="25"/>
          <w:lang w:val="es-ES" w:eastAsia="es-ES"/>
        </w:rPr>
        <w:t xml:space="preserve">Recurso de Revocatoria con Apelación y Nulidad concomitante e incidente de suspensión del acto, </w:t>
      </w:r>
      <w:r>
        <w:rPr>
          <w:rFonts w:ascii="Tahoma" w:hAnsi="Tahoma" w:cs="Tahoma"/>
          <w:spacing w:val="10"/>
          <w:sz w:val="25"/>
          <w:szCs w:val="25"/>
          <w:lang w:val="es-ES" w:eastAsia="es-ES"/>
        </w:rPr>
        <w:t xml:space="preserve">presentado por la empresa </w:t>
      </w:r>
      <w:r>
        <w:rPr>
          <w:rFonts w:ascii="Tahoma" w:hAnsi="Tahoma" w:cs="Tahoma"/>
          <w:b/>
          <w:bCs/>
          <w:spacing w:val="10"/>
          <w:sz w:val="25"/>
          <w:szCs w:val="25"/>
          <w:lang w:val="es-ES" w:eastAsia="es-ES"/>
        </w:rPr>
        <w:t>S</w:t>
      </w:r>
      <w:r w:rsidR="0071419D">
        <w:rPr>
          <w:rFonts w:ascii="Tahoma" w:hAnsi="Tahoma" w:cs="Tahoma"/>
          <w:b/>
          <w:bCs/>
          <w:spacing w:val="10"/>
          <w:sz w:val="25"/>
          <w:szCs w:val="25"/>
          <w:lang w:val="es-ES" w:eastAsia="es-ES"/>
        </w:rPr>
        <w:t>.M.D.T.P.S.M.T.S.R.S.A.</w:t>
      </w:r>
      <w:r>
        <w:rPr>
          <w:rFonts w:ascii="Tahoma" w:hAnsi="Tahoma" w:cs="Tahoma"/>
          <w:b/>
          <w:bCs/>
          <w:spacing w:val="10"/>
          <w:sz w:val="25"/>
          <w:szCs w:val="25"/>
          <w:lang w:val="es-ES" w:eastAsia="es-ES"/>
        </w:rPr>
        <w:t xml:space="preserve">, cédula </w:t>
      </w:r>
      <w:r>
        <w:rPr>
          <w:rFonts w:ascii="Tahoma" w:hAnsi="Tahoma" w:cs="Tahoma"/>
          <w:b/>
          <w:bCs/>
          <w:spacing w:val="10"/>
          <w:sz w:val="25"/>
          <w:szCs w:val="25"/>
          <w:lang w:val="es-ES" w:eastAsia="es-ES"/>
        </w:rPr>
        <w:t xml:space="preserve">jurídica número </w:t>
      </w:r>
      <w:r w:rsidR="0071419D">
        <w:rPr>
          <w:rFonts w:ascii="Tahoma" w:hAnsi="Tahoma" w:cs="Tahoma"/>
          <w:b/>
          <w:bCs/>
          <w:spacing w:val="10"/>
          <w:sz w:val="25"/>
          <w:szCs w:val="25"/>
          <w:lang w:val="es-ES" w:eastAsia="es-ES"/>
        </w:rPr>
        <w:t>…</w:t>
      </w:r>
      <w:r>
        <w:rPr>
          <w:rFonts w:ascii="Tahoma" w:hAnsi="Tahoma" w:cs="Tahoma"/>
          <w:b/>
          <w:bCs/>
          <w:spacing w:val="10"/>
          <w:sz w:val="25"/>
          <w:szCs w:val="25"/>
          <w:lang w:val="es-ES" w:eastAsia="es-ES"/>
        </w:rPr>
        <w:t xml:space="preserve">, </w:t>
      </w:r>
      <w:r>
        <w:rPr>
          <w:rFonts w:ascii="Tahoma" w:hAnsi="Tahoma" w:cs="Tahoma"/>
          <w:spacing w:val="10"/>
          <w:sz w:val="25"/>
          <w:szCs w:val="25"/>
          <w:lang w:val="es-ES" w:eastAsia="es-ES"/>
        </w:rPr>
        <w:t xml:space="preserve">por medio de su apoderado Generalísimo sin Límite de suma señor </w:t>
      </w:r>
      <w:r>
        <w:rPr>
          <w:rFonts w:ascii="Tahoma" w:hAnsi="Tahoma" w:cs="Tahoma"/>
          <w:b/>
          <w:bCs/>
          <w:spacing w:val="10"/>
          <w:sz w:val="25"/>
          <w:szCs w:val="25"/>
          <w:lang w:val="es-ES" w:eastAsia="es-ES"/>
        </w:rPr>
        <w:t>R</w:t>
      </w:r>
      <w:r w:rsidR="0071419D">
        <w:rPr>
          <w:rFonts w:ascii="Tahoma" w:hAnsi="Tahoma" w:cs="Tahoma"/>
          <w:b/>
          <w:bCs/>
          <w:spacing w:val="10"/>
          <w:sz w:val="25"/>
          <w:szCs w:val="25"/>
          <w:lang w:val="es-ES" w:eastAsia="es-ES"/>
        </w:rPr>
        <w:t>.R.H.</w:t>
      </w:r>
      <w:r>
        <w:rPr>
          <w:rFonts w:ascii="Tahoma" w:hAnsi="Tahoma" w:cs="Tahoma"/>
          <w:b/>
          <w:bCs/>
          <w:spacing w:val="10"/>
          <w:sz w:val="25"/>
          <w:szCs w:val="25"/>
          <w:lang w:val="es-ES" w:eastAsia="es-ES"/>
        </w:rPr>
        <w:t xml:space="preserve">, cédula de identidad </w:t>
      </w:r>
      <w:r w:rsidR="0071419D">
        <w:rPr>
          <w:rFonts w:ascii="Tahoma" w:hAnsi="Tahoma" w:cs="Tahoma"/>
          <w:b/>
          <w:bCs/>
          <w:spacing w:val="10"/>
          <w:sz w:val="25"/>
          <w:szCs w:val="25"/>
          <w:lang w:val="es-ES" w:eastAsia="es-ES"/>
        </w:rPr>
        <w:t>…</w:t>
      </w:r>
      <w:r>
        <w:rPr>
          <w:rFonts w:ascii="Tahoma" w:hAnsi="Tahoma" w:cs="Tahoma"/>
          <w:b/>
          <w:bCs/>
          <w:spacing w:val="10"/>
          <w:sz w:val="25"/>
          <w:szCs w:val="25"/>
          <w:lang w:val="es-ES" w:eastAsia="es-ES"/>
        </w:rPr>
        <w:t xml:space="preserve">, contra el Artículo 7.2.7 de la Sesión Ordinaria 65-2015 de 1 de diciembre de 2015, </w:t>
      </w:r>
      <w:r>
        <w:rPr>
          <w:rFonts w:ascii="Tahoma" w:hAnsi="Tahoma" w:cs="Tahoma"/>
          <w:spacing w:val="10"/>
          <w:sz w:val="25"/>
          <w:szCs w:val="25"/>
          <w:lang w:val="es-ES" w:eastAsia="es-ES"/>
        </w:rPr>
        <w:t>dictado por la Junt</w:t>
      </w:r>
      <w:r>
        <w:rPr>
          <w:rFonts w:ascii="Tahoma" w:hAnsi="Tahoma" w:cs="Tahoma"/>
          <w:spacing w:val="10"/>
          <w:sz w:val="25"/>
          <w:szCs w:val="25"/>
          <w:lang w:val="es-ES" w:eastAsia="es-ES"/>
        </w:rPr>
        <w:t xml:space="preserve">a Directiva del Consejo de Transporte Público y contra los oficios </w:t>
      </w:r>
      <w:r>
        <w:rPr>
          <w:rFonts w:ascii="Tahoma" w:hAnsi="Tahoma" w:cs="Tahoma"/>
          <w:b/>
          <w:bCs/>
          <w:spacing w:val="10"/>
          <w:sz w:val="25"/>
          <w:szCs w:val="25"/>
          <w:lang w:val="es-ES" w:eastAsia="es-ES"/>
        </w:rPr>
        <w:t>DAJ-2015-4037 del 27 de noviembre de 2015 de la Dirección de Asuntos Jurídicos y el DRE-2015-2010 del 30 de noviembre de 2015 del Departamento de Regionales de la Dirección Técnica del Cons</w:t>
      </w:r>
      <w:r>
        <w:rPr>
          <w:rFonts w:ascii="Tahoma" w:hAnsi="Tahoma" w:cs="Tahoma"/>
          <w:b/>
          <w:bCs/>
          <w:spacing w:val="10"/>
          <w:sz w:val="25"/>
          <w:szCs w:val="25"/>
          <w:lang w:val="es-ES" w:eastAsia="es-ES"/>
        </w:rPr>
        <w:t>ejo de Transporte Público. El caso se tramita en Expediente Administrativo N. TAT-410-15.</w:t>
      </w:r>
    </w:p>
    <w:p w:rsidR="00000000" w:rsidRDefault="006A7A20">
      <w:pPr>
        <w:kinsoku w:val="0"/>
        <w:overflowPunct w:val="0"/>
        <w:autoSpaceDE/>
        <w:autoSpaceDN/>
        <w:adjustRightInd/>
        <w:spacing w:before="284" w:line="289" w:lineRule="exact"/>
        <w:jc w:val="center"/>
        <w:textAlignment w:val="baseline"/>
        <w:rPr>
          <w:rFonts w:ascii="Tahoma" w:hAnsi="Tahoma" w:cs="Tahoma"/>
          <w:b/>
          <w:bCs/>
          <w:spacing w:val="8"/>
          <w:sz w:val="25"/>
          <w:szCs w:val="25"/>
          <w:lang w:val="es-ES" w:eastAsia="es-ES"/>
        </w:rPr>
      </w:pPr>
      <w:r>
        <w:rPr>
          <w:rFonts w:ascii="Tahoma" w:hAnsi="Tahoma" w:cs="Tahoma"/>
          <w:b/>
          <w:bCs/>
          <w:spacing w:val="8"/>
          <w:sz w:val="25"/>
          <w:szCs w:val="25"/>
          <w:lang w:val="es-ES" w:eastAsia="es-ES"/>
        </w:rPr>
        <w:t>RESULTANDO</w:t>
      </w:r>
    </w:p>
    <w:p w:rsidR="00000000" w:rsidRDefault="006A7A20">
      <w:pPr>
        <w:kinsoku w:val="0"/>
        <w:overflowPunct w:val="0"/>
        <w:autoSpaceDE/>
        <w:autoSpaceDN/>
        <w:adjustRightInd/>
        <w:spacing w:before="280" w:line="292" w:lineRule="exact"/>
        <w:ind w:right="144"/>
        <w:jc w:val="both"/>
        <w:textAlignment w:val="baseline"/>
        <w:rPr>
          <w:rFonts w:ascii="Tahoma" w:hAnsi="Tahoma" w:cs="Tahoma"/>
          <w:sz w:val="25"/>
          <w:szCs w:val="25"/>
          <w:lang w:val="es-ES" w:eastAsia="es-ES"/>
        </w:rPr>
      </w:pPr>
      <w:r>
        <w:rPr>
          <w:rFonts w:ascii="Tahoma" w:hAnsi="Tahoma" w:cs="Tahoma"/>
          <w:b/>
          <w:bCs/>
          <w:sz w:val="25"/>
          <w:szCs w:val="25"/>
          <w:lang w:val="es-ES" w:eastAsia="es-ES"/>
        </w:rPr>
        <w:t xml:space="preserve">PRIMERO: El Artículo 7.2.7 de la Sesión Ordinaria 65-2015 de 1 de diciembre de 2015, </w:t>
      </w:r>
      <w:r>
        <w:rPr>
          <w:rFonts w:ascii="Tahoma" w:hAnsi="Tahoma" w:cs="Tahoma"/>
          <w:sz w:val="25"/>
          <w:szCs w:val="25"/>
          <w:lang w:val="es-ES" w:eastAsia="es-ES"/>
        </w:rPr>
        <w:t>dictado por la JUNTA DIRECTIVA DEL CONSEJO DE TRANSPORTE PÚBLICO, medi</w:t>
      </w:r>
      <w:r>
        <w:rPr>
          <w:rFonts w:ascii="Tahoma" w:hAnsi="Tahoma" w:cs="Tahoma"/>
          <w:sz w:val="25"/>
          <w:szCs w:val="25"/>
          <w:lang w:val="es-ES" w:eastAsia="es-ES"/>
        </w:rPr>
        <w:t>ante el cual se dispone rechazar la solicitud de prórroga del permiso de servicio especial estable de taxi, formulada por la recurrente. (Léanse folios 67 y 68 del expediente administrativo).</w:t>
      </w:r>
    </w:p>
    <w:p w:rsidR="00000000" w:rsidRDefault="006A7A20">
      <w:pPr>
        <w:kinsoku w:val="0"/>
        <w:overflowPunct w:val="0"/>
        <w:autoSpaceDE/>
        <w:autoSpaceDN/>
        <w:adjustRightInd/>
        <w:spacing w:before="287" w:line="289" w:lineRule="exact"/>
        <w:ind w:left="432"/>
        <w:textAlignment w:val="baseline"/>
        <w:rPr>
          <w:rFonts w:ascii="Verdana" w:hAnsi="Verdana" w:cs="Verdana"/>
          <w:b/>
          <w:bCs/>
          <w:i/>
          <w:iCs/>
          <w:spacing w:val="4"/>
          <w:sz w:val="23"/>
          <w:szCs w:val="23"/>
          <w:lang w:val="es-ES" w:eastAsia="es-ES"/>
        </w:rPr>
      </w:pPr>
      <w:r>
        <w:rPr>
          <w:rFonts w:ascii="Verdana" w:hAnsi="Verdana" w:cs="Verdana"/>
          <w:b/>
          <w:bCs/>
          <w:i/>
          <w:iCs/>
          <w:spacing w:val="4"/>
          <w:sz w:val="23"/>
          <w:szCs w:val="23"/>
          <w:lang w:val="es-ES" w:eastAsia="es-ES"/>
        </w:rPr>
        <w:t>"POR TANTO, SE ACUERDA</w:t>
      </w:r>
    </w:p>
    <w:p w:rsidR="00000000" w:rsidRDefault="006A7A20">
      <w:pPr>
        <w:numPr>
          <w:ilvl w:val="0"/>
          <w:numId w:val="1"/>
        </w:numPr>
        <w:kinsoku w:val="0"/>
        <w:overflowPunct w:val="0"/>
        <w:autoSpaceDE/>
        <w:autoSpaceDN/>
        <w:adjustRightInd/>
        <w:spacing w:before="293" w:line="294" w:lineRule="exact"/>
        <w:ind w:right="504"/>
        <w:jc w:val="both"/>
        <w:textAlignment w:val="baseline"/>
        <w:rPr>
          <w:rFonts w:ascii="Tahoma" w:hAnsi="Tahoma" w:cs="Tahoma"/>
          <w:i/>
          <w:iCs/>
          <w:spacing w:val="10"/>
          <w:sz w:val="25"/>
          <w:szCs w:val="25"/>
          <w:lang w:val="es-ES" w:eastAsia="es-ES"/>
        </w:rPr>
      </w:pPr>
      <w:r>
        <w:rPr>
          <w:rFonts w:ascii="Tahoma" w:hAnsi="Tahoma" w:cs="Tahoma"/>
          <w:i/>
          <w:iCs/>
          <w:spacing w:val="10"/>
          <w:sz w:val="25"/>
          <w:szCs w:val="25"/>
          <w:lang w:val="es-ES" w:eastAsia="es-ES"/>
        </w:rPr>
        <w:t xml:space="preserve">Aprobar, basados en los fundamentos, motivos y contenidos, desarrollados en los considerandos del oficio </w:t>
      </w:r>
      <w:r>
        <w:rPr>
          <w:rFonts w:ascii="Verdana" w:hAnsi="Verdana" w:cs="Verdana"/>
          <w:b/>
          <w:bCs/>
          <w:i/>
          <w:iCs/>
          <w:spacing w:val="10"/>
          <w:sz w:val="23"/>
          <w:szCs w:val="23"/>
          <w:lang w:val="es-ES" w:eastAsia="es-ES"/>
        </w:rPr>
        <w:t xml:space="preserve">DAJ 2015-004037, </w:t>
      </w:r>
      <w:r>
        <w:rPr>
          <w:rFonts w:ascii="Tahoma" w:hAnsi="Tahoma" w:cs="Tahoma"/>
          <w:i/>
          <w:iCs/>
          <w:spacing w:val="10"/>
          <w:sz w:val="25"/>
          <w:szCs w:val="25"/>
          <w:lang w:val="es-ES" w:eastAsia="es-ES"/>
        </w:rPr>
        <w:t>todas las recomendaciones emitidas en el informe dicho, el cual forma parte integral de este acuerdo.</w:t>
      </w:r>
    </w:p>
    <w:p w:rsidR="00000000" w:rsidRDefault="006A7A20">
      <w:pPr>
        <w:numPr>
          <w:ilvl w:val="0"/>
          <w:numId w:val="1"/>
        </w:numPr>
        <w:kinsoku w:val="0"/>
        <w:overflowPunct w:val="0"/>
        <w:autoSpaceDE/>
        <w:autoSpaceDN/>
        <w:adjustRightInd/>
        <w:spacing w:after="493" w:line="291" w:lineRule="exact"/>
        <w:ind w:right="504"/>
        <w:jc w:val="both"/>
        <w:textAlignment w:val="baseline"/>
        <w:rPr>
          <w:rFonts w:ascii="Tahoma" w:hAnsi="Tahoma" w:cs="Tahoma"/>
          <w:i/>
          <w:iCs/>
          <w:spacing w:val="10"/>
          <w:sz w:val="25"/>
          <w:szCs w:val="25"/>
          <w:lang w:val="es-ES" w:eastAsia="es-ES"/>
        </w:rPr>
      </w:pPr>
      <w:r>
        <w:rPr>
          <w:rFonts w:ascii="Tahoma" w:hAnsi="Tahoma" w:cs="Tahoma"/>
          <w:i/>
          <w:iCs/>
          <w:spacing w:val="10"/>
          <w:sz w:val="25"/>
          <w:szCs w:val="25"/>
          <w:lang w:val="es-ES" w:eastAsia="es-ES"/>
        </w:rPr>
        <w:t>Acoger las recomendaciones establecidas en el Informe Técnico N° DRE 2015-3010 del 09 de noviembre del 2015, emitido por el Departamento de Regionales, y referido al estudio general de demanda del sistema de transporte Público modalidad estable, así</w:t>
      </w:r>
    </w:p>
    <w:p w:rsidR="00000000" w:rsidRDefault="006A7A20">
      <w:pPr>
        <w:widowControl/>
        <w:rPr>
          <w:sz w:val="24"/>
          <w:szCs w:val="24"/>
        </w:rPr>
        <w:sectPr w:rsidR="00000000">
          <w:pgSz w:w="12293" w:h="15706"/>
          <w:pgMar w:top="1480" w:right="1462" w:bottom="233" w:left="1771" w:header="720" w:footer="720" w:gutter="0"/>
          <w:cols w:space="720"/>
          <w:noEndnote/>
        </w:sectPr>
      </w:pPr>
    </w:p>
    <w:p w:rsidR="00000000" w:rsidRDefault="006A7A20">
      <w:pPr>
        <w:widowControl/>
        <w:rPr>
          <w:sz w:val="24"/>
          <w:szCs w:val="24"/>
        </w:rPr>
        <w:sectPr w:rsidR="00000000">
          <w:type w:val="continuous"/>
          <w:pgSz w:w="12293" w:h="15706"/>
          <w:pgMar w:top="1480" w:right="1551" w:bottom="233" w:left="7502" w:header="720" w:footer="720" w:gutter="0"/>
          <w:cols w:space="720"/>
          <w:noEndnote/>
        </w:sectPr>
      </w:pPr>
    </w:p>
    <w:p w:rsidR="00000000" w:rsidRDefault="006A7A20">
      <w:pPr>
        <w:kinsoku w:val="0"/>
        <w:overflowPunct w:val="0"/>
        <w:autoSpaceDE/>
        <w:autoSpaceDN/>
        <w:adjustRightInd/>
        <w:spacing w:before="32" w:line="270" w:lineRule="exact"/>
        <w:ind w:left="504" w:right="504"/>
        <w:jc w:val="both"/>
        <w:textAlignment w:val="baseline"/>
        <w:rPr>
          <w:rFonts w:ascii="Verdana" w:hAnsi="Verdana" w:cs="Verdana"/>
          <w:i/>
          <w:iCs/>
          <w:sz w:val="24"/>
          <w:szCs w:val="24"/>
          <w:lang w:val="es-ES" w:eastAsia="es-ES"/>
        </w:rPr>
      </w:pPr>
      <w:r>
        <w:rPr>
          <w:rFonts w:ascii="Verdana" w:hAnsi="Verdana" w:cs="Verdana"/>
          <w:i/>
          <w:iCs/>
          <w:sz w:val="24"/>
          <w:szCs w:val="24"/>
          <w:lang w:val="es-ES" w:eastAsia="es-ES"/>
        </w:rPr>
        <w:lastRenderedPageBreak/>
        <w:t>como el efecto comparativo con el servicio especial estable de taxi (seetaxi).</w:t>
      </w:r>
    </w:p>
    <w:p w:rsidR="00000000" w:rsidRDefault="006A7A20">
      <w:pPr>
        <w:kinsoku w:val="0"/>
        <w:overflowPunct w:val="0"/>
        <w:autoSpaceDE/>
        <w:autoSpaceDN/>
        <w:adjustRightInd/>
        <w:spacing w:before="14" w:line="289" w:lineRule="exact"/>
        <w:ind w:left="504" w:right="504"/>
        <w:jc w:val="both"/>
        <w:textAlignment w:val="baseline"/>
        <w:rPr>
          <w:rFonts w:ascii="Verdana" w:hAnsi="Verdana" w:cs="Verdana"/>
          <w:i/>
          <w:iCs/>
          <w:sz w:val="24"/>
          <w:szCs w:val="24"/>
          <w:lang w:val="es-ES" w:eastAsia="es-ES"/>
        </w:rPr>
      </w:pPr>
      <w:r>
        <w:rPr>
          <w:rFonts w:ascii="Verdana" w:hAnsi="Verdana" w:cs="Verdana"/>
          <w:i/>
          <w:iCs/>
          <w:sz w:val="24"/>
          <w:szCs w:val="24"/>
          <w:lang w:val="es-ES" w:eastAsia="es-ES"/>
        </w:rPr>
        <w:t>3. Rechazar la solicitud de prórroga del permiso de servicio especial estable de taxi, modalidad microbús formu</w:t>
      </w:r>
      <w:r>
        <w:rPr>
          <w:rFonts w:ascii="Verdana" w:hAnsi="Verdana" w:cs="Verdana"/>
          <w:i/>
          <w:iCs/>
          <w:sz w:val="24"/>
          <w:szCs w:val="24"/>
          <w:lang w:val="es-ES" w:eastAsia="es-ES"/>
        </w:rPr>
        <w:t xml:space="preserve">lada por la empresa </w:t>
      </w:r>
      <w:r>
        <w:rPr>
          <w:rFonts w:ascii="Verdana" w:hAnsi="Verdana" w:cs="Verdana"/>
          <w:b/>
          <w:bCs/>
          <w:i/>
          <w:iCs/>
          <w:sz w:val="24"/>
          <w:szCs w:val="24"/>
          <w:lang w:val="es-ES" w:eastAsia="es-ES"/>
        </w:rPr>
        <w:t xml:space="preserve">DAJ 2015-0004037 </w:t>
      </w:r>
      <w:r>
        <w:rPr>
          <w:rFonts w:ascii="Verdana" w:hAnsi="Verdana" w:cs="Verdana"/>
          <w:i/>
          <w:iCs/>
          <w:sz w:val="24"/>
          <w:szCs w:val="24"/>
          <w:lang w:val="es-ES" w:eastAsia="es-ES"/>
        </w:rPr>
        <w:t xml:space="preserve">referente a solicitud de prórroga Seetaxi (microbús) </w:t>
      </w:r>
      <w:r>
        <w:rPr>
          <w:rFonts w:ascii="Verdana" w:hAnsi="Verdana" w:cs="Verdana"/>
          <w:b/>
          <w:bCs/>
          <w:i/>
          <w:iCs/>
          <w:sz w:val="24"/>
          <w:szCs w:val="24"/>
          <w:lang w:val="es-ES" w:eastAsia="es-ES"/>
        </w:rPr>
        <w:t>S</w:t>
      </w:r>
      <w:r w:rsidR="0071419D">
        <w:rPr>
          <w:rFonts w:ascii="Verdana" w:hAnsi="Verdana" w:cs="Verdana"/>
          <w:b/>
          <w:bCs/>
          <w:i/>
          <w:iCs/>
          <w:sz w:val="24"/>
          <w:szCs w:val="24"/>
          <w:lang w:val="es-ES" w:eastAsia="es-ES"/>
        </w:rPr>
        <w:t>.M.D.T.P.S.M.T.S.R.S.A.</w:t>
      </w:r>
      <w:r>
        <w:rPr>
          <w:rFonts w:ascii="Verdana" w:hAnsi="Verdana" w:cs="Verdana"/>
          <w:b/>
          <w:bCs/>
          <w:i/>
          <w:iCs/>
          <w:sz w:val="24"/>
          <w:szCs w:val="24"/>
          <w:lang w:val="es-ES" w:eastAsia="es-ES"/>
        </w:rPr>
        <w:t xml:space="preserve">, </w:t>
      </w:r>
      <w:r>
        <w:rPr>
          <w:rFonts w:ascii="Verdana" w:hAnsi="Verdana" w:cs="Verdana"/>
          <w:i/>
          <w:iCs/>
          <w:sz w:val="24"/>
          <w:szCs w:val="24"/>
          <w:lang w:val="es-ES" w:eastAsia="es-ES"/>
        </w:rPr>
        <w:t>de conformidad con los motivos fundamento y exposiciones emitidas anteriormente, dado que desde e</w:t>
      </w:r>
      <w:r>
        <w:rPr>
          <w:rFonts w:ascii="Verdana" w:hAnsi="Verdana" w:cs="Verdana"/>
          <w:i/>
          <w:iCs/>
          <w:sz w:val="24"/>
          <w:szCs w:val="24"/>
          <w:lang w:val="es-ES" w:eastAsia="es-ES"/>
        </w:rPr>
        <w:t>l ámbito técnico-jurídico, resuelta improcedente prorrogar el permiso seetaxi en la modalidad microbús, ello de conformidad con el Informe N° DRE 2015-3010.</w:t>
      </w:r>
    </w:p>
    <w:p w:rsidR="00000000" w:rsidRDefault="006A7A20">
      <w:pPr>
        <w:numPr>
          <w:ilvl w:val="0"/>
          <w:numId w:val="2"/>
        </w:numPr>
        <w:kinsoku w:val="0"/>
        <w:overflowPunct w:val="0"/>
        <w:autoSpaceDE/>
        <w:autoSpaceDN/>
        <w:adjustRightInd/>
        <w:spacing w:before="20" w:line="288" w:lineRule="exact"/>
        <w:ind w:right="504"/>
        <w:jc w:val="both"/>
        <w:textAlignment w:val="baseline"/>
        <w:rPr>
          <w:rFonts w:ascii="Verdana" w:hAnsi="Verdana" w:cs="Verdana"/>
          <w:i/>
          <w:iCs/>
          <w:sz w:val="24"/>
          <w:szCs w:val="24"/>
          <w:lang w:val="es-ES" w:eastAsia="es-ES"/>
        </w:rPr>
      </w:pPr>
      <w:r>
        <w:rPr>
          <w:rFonts w:ascii="Verdana" w:hAnsi="Verdana" w:cs="Verdana"/>
          <w:i/>
          <w:iCs/>
          <w:sz w:val="24"/>
          <w:szCs w:val="24"/>
          <w:lang w:val="es-ES" w:eastAsia="es-ES"/>
        </w:rPr>
        <w:t>Instruir al Departamento de Administración de Concesiones y Permisos, para que realice el trámi</w:t>
      </w:r>
      <w:r>
        <w:rPr>
          <w:rFonts w:ascii="Verdana" w:hAnsi="Verdana" w:cs="Verdana"/>
          <w:i/>
          <w:iCs/>
          <w:sz w:val="24"/>
          <w:szCs w:val="24"/>
          <w:lang w:val="es-ES" w:eastAsia="es-ES"/>
        </w:rPr>
        <w:t xml:space="preserve">te correspondiente, a efecto de que registre que el permiso de servicio especial estable de taxi, modalidad microbús, a nombre de la empresa </w:t>
      </w:r>
      <w:r>
        <w:rPr>
          <w:rFonts w:ascii="Verdana" w:hAnsi="Verdana" w:cs="Verdana"/>
          <w:b/>
          <w:bCs/>
          <w:i/>
          <w:iCs/>
          <w:sz w:val="24"/>
          <w:szCs w:val="24"/>
          <w:lang w:val="es-ES" w:eastAsia="es-ES"/>
        </w:rPr>
        <w:t>S</w:t>
      </w:r>
      <w:r w:rsidR="0071419D">
        <w:rPr>
          <w:rFonts w:ascii="Verdana" w:hAnsi="Verdana" w:cs="Verdana"/>
          <w:b/>
          <w:bCs/>
          <w:i/>
          <w:iCs/>
          <w:sz w:val="24"/>
          <w:szCs w:val="24"/>
          <w:lang w:val="es-ES" w:eastAsia="es-ES"/>
        </w:rPr>
        <w:t>.M.D.T.P.S.M.T.S.R.S.A.</w:t>
      </w:r>
      <w:r>
        <w:rPr>
          <w:rFonts w:ascii="Verdana" w:hAnsi="Verdana" w:cs="Verdana"/>
          <w:b/>
          <w:bCs/>
          <w:i/>
          <w:iCs/>
          <w:sz w:val="24"/>
          <w:szCs w:val="24"/>
          <w:lang w:val="es-ES" w:eastAsia="es-ES"/>
        </w:rPr>
        <w:t xml:space="preserve">, </w:t>
      </w:r>
      <w:r>
        <w:rPr>
          <w:rFonts w:ascii="Verdana" w:hAnsi="Verdana" w:cs="Verdana"/>
          <w:i/>
          <w:iCs/>
          <w:sz w:val="24"/>
          <w:szCs w:val="24"/>
          <w:lang w:val="es-ES" w:eastAsia="es-ES"/>
        </w:rPr>
        <w:t>no fue prorrogado por resultar técnicamente imp</w:t>
      </w:r>
      <w:r>
        <w:rPr>
          <w:rFonts w:ascii="Verdana" w:hAnsi="Verdana" w:cs="Verdana"/>
          <w:i/>
          <w:iCs/>
          <w:sz w:val="24"/>
          <w:szCs w:val="24"/>
          <w:lang w:val="es-ES" w:eastAsia="es-ES"/>
        </w:rPr>
        <w:t>rocedente la prórroga requerida.</w:t>
      </w:r>
    </w:p>
    <w:p w:rsidR="00000000" w:rsidRDefault="006A7A20">
      <w:pPr>
        <w:numPr>
          <w:ilvl w:val="0"/>
          <w:numId w:val="3"/>
        </w:numPr>
        <w:kinsoku w:val="0"/>
        <w:overflowPunct w:val="0"/>
        <w:autoSpaceDE/>
        <w:autoSpaceDN/>
        <w:adjustRightInd/>
        <w:spacing w:before="11" w:line="289" w:lineRule="exact"/>
        <w:ind w:right="504"/>
        <w:jc w:val="both"/>
        <w:textAlignment w:val="baseline"/>
        <w:rPr>
          <w:rFonts w:ascii="Verdana" w:hAnsi="Verdana" w:cs="Verdana"/>
          <w:i/>
          <w:iCs/>
          <w:sz w:val="24"/>
          <w:szCs w:val="24"/>
          <w:lang w:val="es-ES" w:eastAsia="es-ES"/>
        </w:rPr>
      </w:pPr>
      <w:r>
        <w:rPr>
          <w:rFonts w:ascii="Verdana" w:hAnsi="Verdana" w:cs="Verdana"/>
          <w:i/>
          <w:iCs/>
          <w:sz w:val="24"/>
          <w:szCs w:val="24"/>
          <w:lang w:val="es-ES" w:eastAsia="es-ES"/>
        </w:rPr>
        <w:t>La interposición de los eventuales recursos en contra del presente acuerdo, de conformidad con el artículo 148 de la Ley General de la Administración Pública, se admitirán en efecto devolutivo y no suspensivo.</w:t>
      </w:r>
    </w:p>
    <w:p w:rsidR="00000000" w:rsidRDefault="006A7A20">
      <w:pPr>
        <w:numPr>
          <w:ilvl w:val="0"/>
          <w:numId w:val="2"/>
        </w:numPr>
        <w:kinsoku w:val="0"/>
        <w:overflowPunct w:val="0"/>
        <w:autoSpaceDE/>
        <w:autoSpaceDN/>
        <w:adjustRightInd/>
        <w:spacing w:before="3" w:line="285" w:lineRule="exact"/>
        <w:jc w:val="both"/>
        <w:textAlignment w:val="baseline"/>
        <w:rPr>
          <w:rFonts w:ascii="Verdana" w:hAnsi="Verdana" w:cs="Verdana"/>
          <w:i/>
          <w:iCs/>
          <w:spacing w:val="-3"/>
          <w:sz w:val="24"/>
          <w:szCs w:val="24"/>
          <w:lang w:val="es-ES" w:eastAsia="es-ES"/>
        </w:rPr>
      </w:pPr>
      <w:r>
        <w:rPr>
          <w:rFonts w:ascii="Verdana" w:hAnsi="Verdana" w:cs="Verdana"/>
          <w:i/>
          <w:iCs/>
          <w:spacing w:val="-3"/>
          <w:sz w:val="24"/>
          <w:szCs w:val="24"/>
          <w:lang w:val="es-ES" w:eastAsia="es-ES"/>
        </w:rPr>
        <w:t>Notif</w:t>
      </w:r>
      <w:r>
        <w:rPr>
          <w:rFonts w:ascii="Verdana" w:hAnsi="Verdana" w:cs="Verdana"/>
          <w:i/>
          <w:iCs/>
          <w:spacing w:val="-3"/>
          <w:sz w:val="24"/>
          <w:szCs w:val="24"/>
          <w:lang w:val="es-ES" w:eastAsia="es-ES"/>
        </w:rPr>
        <w:t>íquese: (...)</w:t>
      </w:r>
    </w:p>
    <w:p w:rsidR="00000000" w:rsidRDefault="006A7A20">
      <w:pPr>
        <w:numPr>
          <w:ilvl w:val="0"/>
          <w:numId w:val="4"/>
        </w:numPr>
        <w:kinsoku w:val="0"/>
        <w:overflowPunct w:val="0"/>
        <w:autoSpaceDE/>
        <w:autoSpaceDN/>
        <w:adjustRightInd/>
        <w:spacing w:line="282" w:lineRule="exact"/>
        <w:jc w:val="both"/>
        <w:textAlignment w:val="baseline"/>
        <w:rPr>
          <w:rFonts w:ascii="Verdana" w:hAnsi="Verdana" w:cs="Verdana"/>
          <w:b/>
          <w:bCs/>
          <w:i/>
          <w:iCs/>
          <w:spacing w:val="-5"/>
          <w:sz w:val="24"/>
          <w:szCs w:val="24"/>
          <w:lang w:val="es-ES" w:eastAsia="es-ES"/>
        </w:rPr>
      </w:pPr>
      <w:r>
        <w:rPr>
          <w:rFonts w:ascii="Verdana" w:hAnsi="Verdana" w:cs="Verdana"/>
          <w:b/>
          <w:bCs/>
          <w:i/>
          <w:iCs/>
          <w:spacing w:val="-5"/>
          <w:sz w:val="24"/>
          <w:szCs w:val="24"/>
          <w:lang w:val="es-ES" w:eastAsia="es-ES"/>
        </w:rPr>
        <w:t>Se declara firme. -"</w:t>
      </w:r>
    </w:p>
    <w:p w:rsidR="00000000" w:rsidRDefault="006A7A20">
      <w:pPr>
        <w:kinsoku w:val="0"/>
        <w:overflowPunct w:val="0"/>
        <w:autoSpaceDE/>
        <w:autoSpaceDN/>
        <w:adjustRightInd/>
        <w:spacing w:before="230" w:line="296"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SEGUNDO: </w:t>
      </w:r>
      <w:r w:rsidR="0071419D">
        <w:rPr>
          <w:rFonts w:ascii="Verdana" w:hAnsi="Verdana" w:cs="Verdana"/>
          <w:b/>
          <w:bCs/>
          <w:i/>
          <w:iCs/>
          <w:sz w:val="24"/>
          <w:szCs w:val="24"/>
          <w:lang w:val="es-ES" w:eastAsia="es-ES"/>
        </w:rPr>
        <w:t>S.M.D.T.P.S.M.T.S.R.S.A.</w:t>
      </w:r>
      <w:r>
        <w:rPr>
          <w:rFonts w:ascii="Verdana" w:hAnsi="Verdana" w:cs="Verdana"/>
          <w:b/>
          <w:bCs/>
          <w:sz w:val="24"/>
          <w:szCs w:val="24"/>
          <w:lang w:val="es-ES" w:eastAsia="es-ES"/>
        </w:rPr>
        <w:t xml:space="preserve">, cédula jurídica número </w:t>
      </w:r>
      <w:r w:rsidR="0071419D">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por medio de su apoderado Generalísimo sin Límite de suma señor </w:t>
      </w:r>
      <w:r>
        <w:rPr>
          <w:rFonts w:ascii="Verdana" w:hAnsi="Verdana" w:cs="Verdana"/>
          <w:b/>
          <w:bCs/>
          <w:sz w:val="24"/>
          <w:szCs w:val="24"/>
          <w:lang w:val="es-ES" w:eastAsia="es-ES"/>
        </w:rPr>
        <w:t>R</w:t>
      </w:r>
      <w:r w:rsidR="0071419D">
        <w:rPr>
          <w:rFonts w:ascii="Verdana" w:hAnsi="Verdana" w:cs="Verdana"/>
          <w:b/>
          <w:bCs/>
          <w:sz w:val="24"/>
          <w:szCs w:val="24"/>
          <w:lang w:val="es-ES" w:eastAsia="es-ES"/>
        </w:rPr>
        <w:t>.R.H.</w:t>
      </w:r>
      <w:r>
        <w:rPr>
          <w:rFonts w:ascii="Verdana" w:hAnsi="Verdana" w:cs="Verdana"/>
          <w:b/>
          <w:bCs/>
          <w:sz w:val="24"/>
          <w:szCs w:val="24"/>
          <w:lang w:val="es-ES" w:eastAsia="es-ES"/>
        </w:rPr>
        <w:t>, cé</w:t>
      </w:r>
      <w:r>
        <w:rPr>
          <w:rFonts w:ascii="Verdana" w:hAnsi="Verdana" w:cs="Verdana"/>
          <w:b/>
          <w:bCs/>
          <w:sz w:val="24"/>
          <w:szCs w:val="24"/>
          <w:lang w:val="es-ES" w:eastAsia="es-ES"/>
        </w:rPr>
        <w:t xml:space="preserve">dula de identidad </w:t>
      </w:r>
      <w:r w:rsidR="0071419D">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se apersona ante éste Tribunal Administrativo de Transporte el 9 de diciembre de 2015 y presenta </w:t>
      </w:r>
      <w:r>
        <w:rPr>
          <w:rFonts w:ascii="Verdana" w:hAnsi="Verdana" w:cs="Verdana"/>
          <w:b/>
          <w:bCs/>
          <w:sz w:val="24"/>
          <w:szCs w:val="24"/>
          <w:lang w:val="es-ES" w:eastAsia="es-ES"/>
        </w:rPr>
        <w:t xml:space="preserve">Recurso de Revocatoria con Apelación en Subsidio y Nulidad concomitante e incidente de suspensión del acto, </w:t>
      </w:r>
      <w:r>
        <w:rPr>
          <w:rFonts w:ascii="Verdana" w:hAnsi="Verdana" w:cs="Verdana"/>
          <w:sz w:val="24"/>
          <w:szCs w:val="24"/>
          <w:lang w:val="es-ES" w:eastAsia="es-ES"/>
        </w:rPr>
        <w:t xml:space="preserve">contra el </w:t>
      </w:r>
      <w:r>
        <w:rPr>
          <w:rFonts w:ascii="Verdana" w:hAnsi="Verdana" w:cs="Verdana"/>
          <w:b/>
          <w:bCs/>
          <w:sz w:val="24"/>
          <w:szCs w:val="24"/>
          <w:lang w:val="es-ES" w:eastAsia="es-ES"/>
        </w:rPr>
        <w:t>Artículo 7.2</w:t>
      </w:r>
      <w:r>
        <w:rPr>
          <w:rFonts w:ascii="Verdana" w:hAnsi="Verdana" w:cs="Verdana"/>
          <w:b/>
          <w:bCs/>
          <w:sz w:val="24"/>
          <w:szCs w:val="24"/>
          <w:lang w:val="es-ES" w:eastAsia="es-ES"/>
        </w:rPr>
        <w:t xml:space="preserve">.7 de la Sesión Ordinaria 65-2015 de 1 de diciembre de 2015, </w:t>
      </w:r>
      <w:r>
        <w:rPr>
          <w:rFonts w:ascii="Verdana" w:hAnsi="Verdana" w:cs="Verdana"/>
          <w:sz w:val="24"/>
          <w:szCs w:val="24"/>
          <w:lang w:val="es-ES" w:eastAsia="es-ES"/>
        </w:rPr>
        <w:t xml:space="preserve">dictado por la Junta Directiva del Consejo de Transporte Público y contra los oficios </w:t>
      </w:r>
      <w:r>
        <w:rPr>
          <w:rFonts w:ascii="Verdana" w:hAnsi="Verdana" w:cs="Verdana"/>
          <w:b/>
          <w:bCs/>
          <w:sz w:val="24"/>
          <w:szCs w:val="24"/>
          <w:lang w:val="es-ES" w:eastAsia="es-ES"/>
        </w:rPr>
        <w:t>DAJ-2015-4037 del 27 de noviembre de 2015 de la Dirección de Asuntos Jurídicos y el DRE-2015-2010 del 30 de n</w:t>
      </w:r>
      <w:r>
        <w:rPr>
          <w:rFonts w:ascii="Verdana" w:hAnsi="Verdana" w:cs="Verdana"/>
          <w:b/>
          <w:bCs/>
          <w:sz w:val="24"/>
          <w:szCs w:val="24"/>
          <w:lang w:val="es-ES" w:eastAsia="es-ES"/>
        </w:rPr>
        <w:t xml:space="preserve">oviembre de 2015 del Departamento de Regionales de la Dirección Técnica del Consejo de Transporte Público. </w:t>
      </w:r>
      <w:r>
        <w:rPr>
          <w:rFonts w:ascii="Verdana" w:hAnsi="Verdana" w:cs="Verdana"/>
          <w:sz w:val="24"/>
          <w:szCs w:val="24"/>
          <w:lang w:val="es-ES" w:eastAsia="es-ES"/>
        </w:rPr>
        <w:t>Del mismo documento presentado se verifica que el mismo libelo se presentó el 9 de setiembre de 2015 ante el Consejo de Transporte Público. (Léanse f</w:t>
      </w:r>
      <w:r>
        <w:rPr>
          <w:rFonts w:ascii="Verdana" w:hAnsi="Verdana" w:cs="Verdana"/>
          <w:sz w:val="24"/>
          <w:szCs w:val="24"/>
          <w:lang w:val="es-ES" w:eastAsia="es-ES"/>
        </w:rPr>
        <w:t>olios del 1 al 65 del Expediente Administrativo).</w:t>
      </w:r>
    </w:p>
    <w:p w:rsidR="00000000" w:rsidRDefault="006A7A20">
      <w:pPr>
        <w:widowControl/>
        <w:rPr>
          <w:sz w:val="24"/>
          <w:szCs w:val="24"/>
        </w:rPr>
        <w:sectPr w:rsidR="00000000">
          <w:pgSz w:w="12293" w:h="15706"/>
          <w:pgMar w:top="1300" w:right="1605" w:bottom="310" w:left="1628" w:header="720" w:footer="720" w:gutter="0"/>
          <w:cols w:space="720"/>
          <w:noEndnote/>
        </w:sectPr>
      </w:pPr>
    </w:p>
    <w:p w:rsidR="00000000" w:rsidRDefault="006A7A20">
      <w:pPr>
        <w:kinsoku w:val="0"/>
        <w:overflowPunct w:val="0"/>
        <w:autoSpaceDE/>
        <w:autoSpaceDN/>
        <w:adjustRightInd/>
        <w:spacing w:before="41" w:line="289" w:lineRule="exact"/>
        <w:ind w:left="72" w:right="72"/>
        <w:jc w:val="both"/>
        <w:textAlignment w:val="baseline"/>
        <w:rPr>
          <w:rFonts w:ascii="Tahoma" w:hAnsi="Tahoma" w:cs="Tahoma"/>
          <w:spacing w:val="14"/>
          <w:sz w:val="24"/>
          <w:szCs w:val="24"/>
          <w:lang w:val="es-ES" w:eastAsia="es-ES"/>
        </w:rPr>
      </w:pPr>
      <w:r>
        <w:rPr>
          <w:rFonts w:ascii="Verdana" w:hAnsi="Verdana" w:cs="Verdana"/>
          <w:b/>
          <w:bCs/>
          <w:spacing w:val="14"/>
          <w:sz w:val="24"/>
          <w:szCs w:val="24"/>
          <w:lang w:val="es-ES" w:eastAsia="es-ES"/>
        </w:rPr>
        <w:lastRenderedPageBreak/>
        <w:t xml:space="preserve">TERCERO: </w:t>
      </w:r>
      <w:r>
        <w:rPr>
          <w:rFonts w:ascii="Tahoma" w:hAnsi="Tahoma" w:cs="Tahoma"/>
          <w:spacing w:val="14"/>
          <w:sz w:val="24"/>
          <w:szCs w:val="24"/>
          <w:lang w:val="es-ES" w:eastAsia="es-ES"/>
        </w:rPr>
        <w:t>El Tribunal Administrativo de Transporte mediante prevención TAT-410-17 de veintisiete de abril de 2017, solicita al CTP informe si el recurrente present</w:t>
      </w:r>
      <w:r>
        <w:rPr>
          <w:rFonts w:ascii="Tahoma" w:hAnsi="Tahoma" w:cs="Tahoma"/>
          <w:spacing w:val="14"/>
          <w:sz w:val="24"/>
          <w:szCs w:val="24"/>
          <w:lang w:val="es-ES" w:eastAsia="es-ES"/>
        </w:rPr>
        <w:t>ó Recurso de Revocatoria contra el acuerdo y los oficios impugnados y mediante oficio CTP-SDA-17-000104 de 2 de mayo de 2017, la secretaría de actas indica que si se presentó el Recurso de Revocatoria, el cual se encuentra en este momento en estudio. (Léan</w:t>
      </w:r>
      <w:r>
        <w:rPr>
          <w:rFonts w:ascii="Tahoma" w:hAnsi="Tahoma" w:cs="Tahoma"/>
          <w:spacing w:val="14"/>
          <w:sz w:val="24"/>
          <w:szCs w:val="24"/>
          <w:lang w:val="es-ES" w:eastAsia="es-ES"/>
        </w:rPr>
        <w:t>se folios 477 y 482 del expediente administrativo)</w:t>
      </w:r>
    </w:p>
    <w:p w:rsidR="00000000" w:rsidRDefault="006A7A20">
      <w:pPr>
        <w:kinsoku w:val="0"/>
        <w:overflowPunct w:val="0"/>
        <w:autoSpaceDE/>
        <w:autoSpaceDN/>
        <w:adjustRightInd/>
        <w:spacing w:before="292" w:line="289" w:lineRule="exact"/>
        <w:ind w:left="72" w:right="72"/>
        <w:jc w:val="both"/>
        <w:textAlignment w:val="baseline"/>
        <w:rPr>
          <w:rFonts w:ascii="Tahoma" w:hAnsi="Tahoma" w:cs="Tahoma"/>
          <w:spacing w:val="13"/>
          <w:sz w:val="24"/>
          <w:szCs w:val="24"/>
          <w:lang w:val="es-ES" w:eastAsia="es-ES"/>
        </w:rPr>
      </w:pPr>
      <w:r>
        <w:rPr>
          <w:rFonts w:ascii="Verdana" w:hAnsi="Verdana" w:cs="Verdana"/>
          <w:b/>
          <w:bCs/>
          <w:spacing w:val="13"/>
          <w:sz w:val="24"/>
          <w:szCs w:val="24"/>
          <w:lang w:val="es-ES" w:eastAsia="es-ES"/>
        </w:rPr>
        <w:t xml:space="preserve">CUARTO: </w:t>
      </w:r>
      <w:r>
        <w:rPr>
          <w:rFonts w:ascii="Tahoma" w:hAnsi="Tahoma" w:cs="Tahoma"/>
          <w:spacing w:val="13"/>
          <w:sz w:val="24"/>
          <w:szCs w:val="24"/>
          <w:lang w:val="es-ES" w:eastAsia="es-ES"/>
        </w:rPr>
        <w:t xml:space="preserve">En los procedimientos seguidos se han observado las prescripciones legales, </w:t>
      </w:r>
      <w:r w:rsidR="0071419D">
        <w:rPr>
          <w:rFonts w:ascii="Verdana" w:hAnsi="Verdana" w:cs="Verdana"/>
          <w:b/>
          <w:bCs/>
          <w:i/>
          <w:iCs/>
          <w:spacing w:val="13"/>
          <w:sz w:val="24"/>
          <w:szCs w:val="24"/>
          <w:u w:val="single"/>
          <w:lang w:val="es-ES" w:eastAsia="es-ES"/>
        </w:rPr>
        <w:t>toda vez q</w:t>
      </w:r>
      <w:r>
        <w:rPr>
          <w:rFonts w:ascii="Verdana" w:hAnsi="Verdana" w:cs="Verdana"/>
          <w:b/>
          <w:bCs/>
          <w:i/>
          <w:iCs/>
          <w:spacing w:val="13"/>
          <w:sz w:val="24"/>
          <w:szCs w:val="24"/>
          <w:u w:val="single"/>
          <w:lang w:val="es-ES" w:eastAsia="es-ES"/>
        </w:rPr>
        <w:t>ue ha sido resuelta la acción de inconstitucionalidad</w:t>
      </w:r>
      <w:r>
        <w:rPr>
          <w:rFonts w:ascii="Tahoma" w:hAnsi="Tahoma" w:cs="Tahoma"/>
          <w:spacing w:val="13"/>
          <w:sz w:val="24"/>
          <w:szCs w:val="24"/>
          <w:lang w:val="es-ES" w:eastAsia="es-ES"/>
        </w:rPr>
        <w:t xml:space="preserve"> tramitada en la Sala Constitucional mediante expediente n</w:t>
      </w:r>
      <w:r>
        <w:rPr>
          <w:rFonts w:ascii="Tahoma" w:hAnsi="Tahoma" w:cs="Tahoma"/>
          <w:spacing w:val="13"/>
          <w:sz w:val="24"/>
          <w:szCs w:val="24"/>
          <w:lang w:val="es-ES" w:eastAsia="es-ES"/>
        </w:rPr>
        <w:t xml:space="preserve">úmero 15-015456-0007-CO, en </w:t>
      </w:r>
      <w:r>
        <w:rPr>
          <w:rFonts w:ascii="Verdana" w:hAnsi="Verdana" w:cs="Verdana"/>
          <w:b/>
          <w:bCs/>
          <w:spacing w:val="13"/>
          <w:sz w:val="24"/>
          <w:szCs w:val="24"/>
          <w:lang w:val="es-ES" w:eastAsia="es-ES"/>
        </w:rPr>
        <w:t xml:space="preserve">Voto No. 2017-002791, </w:t>
      </w:r>
      <w:r>
        <w:rPr>
          <w:rFonts w:ascii="Tahoma" w:hAnsi="Tahoma" w:cs="Tahoma"/>
          <w:spacing w:val="13"/>
          <w:sz w:val="24"/>
          <w:szCs w:val="24"/>
          <w:lang w:val="es-ES" w:eastAsia="es-ES"/>
        </w:rPr>
        <w:t>por la cual se había suspendido el conocimiento de este expediente, en este acto se retoma y resuelve.</w:t>
      </w:r>
    </w:p>
    <w:p w:rsidR="00000000" w:rsidRDefault="006A7A20">
      <w:pPr>
        <w:kinsoku w:val="0"/>
        <w:overflowPunct w:val="0"/>
        <w:autoSpaceDE/>
        <w:autoSpaceDN/>
        <w:adjustRightInd/>
        <w:spacing w:before="289" w:line="288" w:lineRule="exact"/>
        <w:ind w:left="72"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Redacta la Jueza Pérez Peláez</w:t>
      </w:r>
    </w:p>
    <w:p w:rsidR="00000000" w:rsidRDefault="006A7A20">
      <w:pPr>
        <w:kinsoku w:val="0"/>
        <w:overflowPunct w:val="0"/>
        <w:autoSpaceDE/>
        <w:autoSpaceDN/>
        <w:adjustRightInd/>
        <w:spacing w:before="283" w:line="288" w:lineRule="exact"/>
        <w:ind w:left="72" w:right="72"/>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CONSIDERANDO UNICO</w:t>
      </w:r>
    </w:p>
    <w:p w:rsidR="00000000" w:rsidRDefault="006A7A20">
      <w:pPr>
        <w:kinsoku w:val="0"/>
        <w:overflowPunct w:val="0"/>
        <w:autoSpaceDE/>
        <w:autoSpaceDN/>
        <w:adjustRightInd/>
        <w:spacing w:before="292" w:line="289" w:lineRule="exact"/>
        <w:ind w:left="72" w:right="72"/>
        <w:jc w:val="both"/>
        <w:textAlignment w:val="baseline"/>
        <w:rPr>
          <w:rFonts w:ascii="Tahoma" w:hAnsi="Tahoma" w:cs="Tahoma"/>
          <w:spacing w:val="15"/>
          <w:sz w:val="24"/>
          <w:szCs w:val="24"/>
          <w:lang w:val="es-ES" w:eastAsia="es-ES"/>
        </w:rPr>
      </w:pPr>
      <w:r>
        <w:rPr>
          <w:rFonts w:ascii="Tahoma" w:hAnsi="Tahoma" w:cs="Tahoma"/>
          <w:spacing w:val="15"/>
          <w:sz w:val="24"/>
          <w:szCs w:val="24"/>
          <w:lang w:val="es-ES" w:eastAsia="es-ES"/>
        </w:rPr>
        <w:t>Debe procederse a remitir al Consejo de Transporte Pú</w:t>
      </w:r>
      <w:r>
        <w:rPr>
          <w:rFonts w:ascii="Tahoma" w:hAnsi="Tahoma" w:cs="Tahoma"/>
          <w:spacing w:val="15"/>
          <w:sz w:val="24"/>
          <w:szCs w:val="24"/>
          <w:lang w:val="es-ES" w:eastAsia="es-ES"/>
        </w:rPr>
        <w:t>blico el expediente completo, ya que el recurrente accionó ante el Consejo de Transporte Público mediante Recurso de Revocatoria con Apelación en subsidio y a la vez ante el Tribunal Administrativo de Transporte, por lo que éste se ve inhibido para conocer</w:t>
      </w:r>
      <w:r>
        <w:rPr>
          <w:rFonts w:ascii="Tahoma" w:hAnsi="Tahoma" w:cs="Tahoma"/>
          <w:spacing w:val="15"/>
          <w:sz w:val="24"/>
          <w:szCs w:val="24"/>
          <w:lang w:val="es-ES" w:eastAsia="es-ES"/>
        </w:rPr>
        <w:t xml:space="preserve"> del asunto, pues no ha sido resuelto el recurso de primera instancia.</w:t>
      </w:r>
    </w:p>
    <w:p w:rsidR="00000000" w:rsidRDefault="006A7A20">
      <w:pPr>
        <w:kinsoku w:val="0"/>
        <w:overflowPunct w:val="0"/>
        <w:autoSpaceDE/>
        <w:autoSpaceDN/>
        <w:adjustRightInd/>
        <w:spacing w:before="288" w:line="289" w:lineRule="exact"/>
        <w:ind w:left="72" w:right="72"/>
        <w:jc w:val="both"/>
        <w:textAlignment w:val="baseline"/>
        <w:rPr>
          <w:rFonts w:ascii="Tahoma" w:hAnsi="Tahoma" w:cs="Tahoma"/>
          <w:spacing w:val="16"/>
          <w:sz w:val="24"/>
          <w:szCs w:val="24"/>
          <w:lang w:val="es-ES" w:eastAsia="es-ES"/>
        </w:rPr>
      </w:pPr>
      <w:r>
        <w:rPr>
          <w:rFonts w:ascii="Tahoma" w:hAnsi="Tahoma" w:cs="Tahoma"/>
          <w:spacing w:val="16"/>
          <w:sz w:val="24"/>
          <w:szCs w:val="24"/>
          <w:lang w:val="es-ES" w:eastAsia="es-ES"/>
        </w:rPr>
        <w:t>De conformidad con el numeral 22 de La Ley de Transporte Remunerado de Personas en Vehículos en la Modalidad de Taxi, N. 7969 del 22 de diciembre de 1999, el Tribunal es competente:</w:t>
      </w:r>
    </w:p>
    <w:p w:rsidR="00000000" w:rsidRDefault="006A7A20">
      <w:pPr>
        <w:kinsoku w:val="0"/>
        <w:overflowPunct w:val="0"/>
        <w:autoSpaceDE/>
        <w:autoSpaceDN/>
        <w:adjustRightInd/>
        <w:spacing w:before="272" w:line="288" w:lineRule="exact"/>
        <w:ind w:left="504" w:right="72"/>
        <w:textAlignment w:val="baseline"/>
        <w:rPr>
          <w:rFonts w:ascii="Verdana" w:hAnsi="Verdana" w:cs="Verdana"/>
          <w:i/>
          <w:iCs/>
          <w:sz w:val="24"/>
          <w:szCs w:val="24"/>
          <w:lang w:val="es-ES" w:eastAsia="es-ES"/>
        </w:rPr>
      </w:pPr>
      <w:r>
        <w:rPr>
          <w:rFonts w:ascii="Verdana" w:hAnsi="Verdana" w:cs="Verdana"/>
          <w:i/>
          <w:iCs/>
          <w:sz w:val="24"/>
          <w:szCs w:val="24"/>
          <w:lang w:val="es-ES" w:eastAsia="es-ES"/>
        </w:rPr>
        <w:t>"ARTÍCULO 22.- Competencia del Tribunal</w:t>
      </w:r>
    </w:p>
    <w:p w:rsidR="00000000" w:rsidRDefault="006A7A20">
      <w:pPr>
        <w:kinsoku w:val="0"/>
        <w:overflowPunct w:val="0"/>
        <w:autoSpaceDE/>
        <w:autoSpaceDN/>
        <w:adjustRightInd/>
        <w:spacing w:before="11" w:line="288" w:lineRule="exact"/>
        <w:ind w:left="504" w:right="72"/>
        <w:textAlignment w:val="baseline"/>
        <w:rPr>
          <w:rFonts w:ascii="Verdana" w:hAnsi="Verdana" w:cs="Verdana"/>
          <w:i/>
          <w:iCs/>
          <w:sz w:val="24"/>
          <w:szCs w:val="24"/>
          <w:lang w:val="es-ES" w:eastAsia="es-ES"/>
        </w:rPr>
      </w:pPr>
      <w:r>
        <w:rPr>
          <w:rFonts w:ascii="Verdana" w:hAnsi="Verdana" w:cs="Verdana"/>
          <w:i/>
          <w:iCs/>
          <w:sz w:val="24"/>
          <w:szCs w:val="24"/>
          <w:lang w:val="es-ES" w:eastAsia="es-ES"/>
        </w:rPr>
        <w:t>El Tribunal será competente para lo siguiente:</w:t>
      </w:r>
    </w:p>
    <w:p w:rsidR="00000000" w:rsidRDefault="006A7A20">
      <w:pPr>
        <w:numPr>
          <w:ilvl w:val="0"/>
          <w:numId w:val="5"/>
        </w:numPr>
        <w:kinsoku w:val="0"/>
        <w:overflowPunct w:val="0"/>
        <w:autoSpaceDE/>
        <w:autoSpaceDN/>
        <w:adjustRightInd/>
        <w:spacing w:before="294" w:line="283" w:lineRule="exact"/>
        <w:ind w:right="432"/>
        <w:jc w:val="both"/>
        <w:textAlignment w:val="baseline"/>
        <w:rPr>
          <w:rFonts w:ascii="Verdana" w:hAnsi="Verdana" w:cs="Verdana"/>
          <w:b/>
          <w:bCs/>
          <w:i/>
          <w:iCs/>
          <w:sz w:val="24"/>
          <w:szCs w:val="24"/>
          <w:lang w:val="es-ES" w:eastAsia="es-ES"/>
        </w:rPr>
      </w:pPr>
      <w:r>
        <w:rPr>
          <w:rFonts w:ascii="Verdana" w:hAnsi="Verdana" w:cs="Verdana"/>
          <w:b/>
          <w:bCs/>
          <w:i/>
          <w:iCs/>
          <w:sz w:val="24"/>
          <w:szCs w:val="24"/>
          <w:lang w:val="es-ES" w:eastAsia="es-ES"/>
        </w:rPr>
        <w:t>Conocer y resolver, en sede administrativa, los recursos de apelación que se interpongan contra cualquier acto o resolución del Consejo.</w:t>
      </w:r>
    </w:p>
    <w:p w:rsidR="00000000" w:rsidRDefault="006A7A20">
      <w:pPr>
        <w:numPr>
          <w:ilvl w:val="0"/>
          <w:numId w:val="6"/>
        </w:numPr>
        <w:kinsoku w:val="0"/>
        <w:overflowPunct w:val="0"/>
        <w:autoSpaceDE/>
        <w:autoSpaceDN/>
        <w:adjustRightInd/>
        <w:spacing w:before="19" w:line="288" w:lineRule="exact"/>
        <w:ind w:right="432"/>
        <w:jc w:val="both"/>
        <w:textAlignment w:val="baseline"/>
        <w:rPr>
          <w:rFonts w:ascii="Verdana" w:hAnsi="Verdana" w:cs="Verdana"/>
          <w:i/>
          <w:iCs/>
          <w:sz w:val="24"/>
          <w:szCs w:val="24"/>
          <w:lang w:val="es-ES" w:eastAsia="es-ES"/>
        </w:rPr>
      </w:pPr>
      <w:r>
        <w:rPr>
          <w:rFonts w:ascii="Verdana" w:hAnsi="Verdana" w:cs="Verdana"/>
          <w:i/>
          <w:iCs/>
          <w:sz w:val="24"/>
          <w:szCs w:val="24"/>
          <w:lang w:val="es-ES" w:eastAsia="es-ES"/>
        </w:rPr>
        <w:t>Establecer, en vía admin</w:t>
      </w:r>
      <w:r>
        <w:rPr>
          <w:rFonts w:ascii="Verdana" w:hAnsi="Verdana" w:cs="Verdana"/>
          <w:i/>
          <w:iCs/>
          <w:sz w:val="24"/>
          <w:szCs w:val="24"/>
          <w:lang w:val="es-ES" w:eastAsia="es-ES"/>
        </w:rPr>
        <w:t>istrativa, las indemnizaciones que puedan originarse en relación con los daños producidos por violaciones de la legislación del transporte público.</w:t>
      </w:r>
    </w:p>
    <w:p w:rsidR="00000000" w:rsidRDefault="006A7A20">
      <w:pPr>
        <w:numPr>
          <w:ilvl w:val="0"/>
          <w:numId w:val="6"/>
        </w:numPr>
        <w:kinsoku w:val="0"/>
        <w:overflowPunct w:val="0"/>
        <w:autoSpaceDE/>
        <w:autoSpaceDN/>
        <w:adjustRightInd/>
        <w:spacing w:before="10" w:line="295" w:lineRule="exact"/>
        <w:ind w:right="432"/>
        <w:jc w:val="both"/>
        <w:textAlignment w:val="baseline"/>
        <w:rPr>
          <w:rFonts w:ascii="Verdana" w:hAnsi="Verdana" w:cs="Verdana"/>
          <w:i/>
          <w:iCs/>
          <w:spacing w:val="-1"/>
          <w:sz w:val="24"/>
          <w:szCs w:val="24"/>
          <w:lang w:val="es-ES" w:eastAsia="es-ES"/>
        </w:rPr>
      </w:pPr>
      <w:r>
        <w:rPr>
          <w:rFonts w:ascii="Verdana" w:hAnsi="Verdana" w:cs="Verdana"/>
          <w:i/>
          <w:iCs/>
          <w:spacing w:val="-1"/>
          <w:sz w:val="24"/>
          <w:szCs w:val="24"/>
          <w:lang w:val="es-ES" w:eastAsia="es-ES"/>
        </w:rPr>
        <w:t xml:space="preserve">Las resoluciones del </w:t>
      </w:r>
      <w:r>
        <w:rPr>
          <w:rFonts w:ascii="Verdana" w:hAnsi="Verdana" w:cs="Verdana"/>
          <w:b/>
          <w:bCs/>
          <w:i/>
          <w:iCs/>
          <w:spacing w:val="-1"/>
          <w:sz w:val="24"/>
          <w:szCs w:val="24"/>
          <w:lang w:val="es-ES" w:eastAsia="es-ES"/>
        </w:rPr>
        <w:t xml:space="preserve">Tribunal </w:t>
      </w:r>
      <w:r>
        <w:rPr>
          <w:rFonts w:ascii="Verdana" w:hAnsi="Verdana" w:cs="Verdana"/>
          <w:i/>
          <w:iCs/>
          <w:spacing w:val="-1"/>
          <w:sz w:val="24"/>
          <w:szCs w:val="24"/>
          <w:lang w:val="es-ES" w:eastAsia="es-ES"/>
        </w:rPr>
        <w:t>no tendrán más recursos y darán por agotada la ví</w:t>
      </w:r>
      <w:r>
        <w:rPr>
          <w:rFonts w:ascii="Verdana" w:hAnsi="Verdana" w:cs="Verdana"/>
          <w:i/>
          <w:iCs/>
          <w:spacing w:val="-1"/>
          <w:sz w:val="24"/>
          <w:szCs w:val="24"/>
          <w:lang w:val="es-ES" w:eastAsia="es-ES"/>
        </w:rPr>
        <w:t>a administrativa." ( el resaltado es nuestro)</w:t>
      </w:r>
    </w:p>
    <w:p w:rsidR="00000000" w:rsidRDefault="006A7A20">
      <w:pPr>
        <w:kinsoku w:val="0"/>
        <w:overflowPunct w:val="0"/>
        <w:autoSpaceDE/>
        <w:autoSpaceDN/>
        <w:adjustRightInd/>
        <w:spacing w:before="300" w:after="653" w:line="289" w:lineRule="exact"/>
        <w:ind w:left="72" w:right="72"/>
        <w:jc w:val="both"/>
        <w:textAlignment w:val="baseline"/>
        <w:rPr>
          <w:rFonts w:ascii="Tahoma" w:hAnsi="Tahoma" w:cs="Tahoma"/>
          <w:spacing w:val="30"/>
          <w:sz w:val="24"/>
          <w:szCs w:val="24"/>
          <w:lang w:val="es-ES" w:eastAsia="es-ES"/>
        </w:rPr>
      </w:pPr>
      <w:r>
        <w:rPr>
          <w:rFonts w:ascii="Tahoma" w:hAnsi="Tahoma" w:cs="Tahoma"/>
          <w:spacing w:val="30"/>
          <w:sz w:val="24"/>
          <w:szCs w:val="24"/>
          <w:lang w:val="es-ES" w:eastAsia="es-ES"/>
        </w:rPr>
        <w:t>Como se puede verificar de lo dicho, el órgano de alzada tiene la competencia para conocer de los recursos de apelación que se le</w:t>
      </w:r>
    </w:p>
    <w:p w:rsidR="00000000" w:rsidRDefault="006A7A20">
      <w:pPr>
        <w:widowControl/>
        <w:rPr>
          <w:sz w:val="24"/>
          <w:szCs w:val="24"/>
        </w:rPr>
        <w:sectPr w:rsidR="00000000">
          <w:pgSz w:w="12278" w:h="15706"/>
          <w:pgMar w:top="1440" w:right="1539" w:bottom="223" w:left="1679" w:header="720" w:footer="720" w:gutter="0"/>
          <w:cols w:space="720"/>
          <w:noEndnote/>
        </w:sectPr>
      </w:pPr>
    </w:p>
    <w:p w:rsidR="00000000" w:rsidRDefault="006A7A20">
      <w:pPr>
        <w:widowControl/>
        <w:rPr>
          <w:sz w:val="24"/>
          <w:szCs w:val="24"/>
        </w:rPr>
        <w:sectPr w:rsidR="00000000">
          <w:type w:val="continuous"/>
          <w:pgSz w:w="12278" w:h="15706"/>
          <w:pgMar w:top="1440" w:right="1584" w:bottom="223" w:left="7454" w:header="720" w:footer="720" w:gutter="0"/>
          <w:cols w:space="720"/>
          <w:noEndnote/>
        </w:sectPr>
      </w:pPr>
    </w:p>
    <w:p w:rsidR="00000000" w:rsidRDefault="006A7A20">
      <w:pPr>
        <w:kinsoku w:val="0"/>
        <w:overflowPunct w:val="0"/>
        <w:autoSpaceDE/>
        <w:autoSpaceDN/>
        <w:adjustRightInd/>
        <w:spacing w:before="34" w:line="288" w:lineRule="exact"/>
        <w:ind w:left="72" w:right="144"/>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lastRenderedPageBreak/>
        <w:t>presenten cont</w:t>
      </w:r>
      <w:r>
        <w:rPr>
          <w:rFonts w:ascii="Tahoma" w:hAnsi="Tahoma" w:cs="Tahoma"/>
          <w:spacing w:val="8"/>
          <w:sz w:val="25"/>
          <w:szCs w:val="25"/>
          <w:lang w:val="es-ES" w:eastAsia="es-ES"/>
        </w:rPr>
        <w:t xml:space="preserve">ra los actos del Consejo de Transporte Público, una vez resuelto el Recurso de Revocatoria sin embargo, al revisar el recurso se verifica que la empresa </w:t>
      </w:r>
      <w:r>
        <w:rPr>
          <w:rFonts w:ascii="Tahoma" w:hAnsi="Tahoma" w:cs="Tahoma"/>
          <w:b/>
          <w:bCs/>
          <w:spacing w:val="8"/>
          <w:sz w:val="25"/>
          <w:szCs w:val="25"/>
          <w:lang w:val="es-ES" w:eastAsia="es-ES"/>
        </w:rPr>
        <w:t>S</w:t>
      </w:r>
      <w:r w:rsidR="0071419D">
        <w:rPr>
          <w:rFonts w:ascii="Tahoma" w:hAnsi="Tahoma" w:cs="Tahoma"/>
          <w:b/>
          <w:bCs/>
          <w:spacing w:val="8"/>
          <w:sz w:val="25"/>
          <w:szCs w:val="25"/>
          <w:lang w:val="es-ES" w:eastAsia="es-ES"/>
        </w:rPr>
        <w:t>.M.D.T.P.SM.T.S.R.S.A.</w:t>
      </w:r>
      <w:r>
        <w:rPr>
          <w:rFonts w:ascii="Tahoma" w:hAnsi="Tahoma" w:cs="Tahoma"/>
          <w:b/>
          <w:bCs/>
          <w:spacing w:val="8"/>
          <w:sz w:val="25"/>
          <w:szCs w:val="25"/>
          <w:lang w:val="es-ES" w:eastAsia="es-ES"/>
        </w:rPr>
        <w:t xml:space="preserve">, cédula jurídica número </w:t>
      </w:r>
      <w:r w:rsidR="0071419D">
        <w:rPr>
          <w:rFonts w:ascii="Tahoma" w:hAnsi="Tahoma" w:cs="Tahoma"/>
          <w:b/>
          <w:bCs/>
          <w:spacing w:val="8"/>
          <w:sz w:val="25"/>
          <w:szCs w:val="25"/>
          <w:lang w:val="es-ES" w:eastAsia="es-ES"/>
        </w:rPr>
        <w:t>…</w:t>
      </w:r>
      <w:r>
        <w:rPr>
          <w:rFonts w:ascii="Tahoma" w:hAnsi="Tahoma" w:cs="Tahoma"/>
          <w:b/>
          <w:bCs/>
          <w:spacing w:val="8"/>
          <w:sz w:val="25"/>
          <w:szCs w:val="25"/>
          <w:lang w:val="es-ES" w:eastAsia="es-ES"/>
        </w:rPr>
        <w:t xml:space="preserve">, </w:t>
      </w:r>
      <w:r>
        <w:rPr>
          <w:rFonts w:ascii="Tahoma" w:hAnsi="Tahoma" w:cs="Tahoma"/>
          <w:spacing w:val="8"/>
          <w:sz w:val="25"/>
          <w:szCs w:val="25"/>
          <w:lang w:val="es-ES" w:eastAsia="es-ES"/>
        </w:rPr>
        <w:t xml:space="preserve">por medio de su apoderado Generalísimo sin Límite de </w:t>
      </w:r>
      <w:r>
        <w:rPr>
          <w:rFonts w:ascii="Tahoma" w:hAnsi="Tahoma" w:cs="Tahoma"/>
          <w:b/>
          <w:bCs/>
          <w:spacing w:val="8"/>
          <w:sz w:val="25"/>
          <w:szCs w:val="25"/>
          <w:lang w:val="es-ES" w:eastAsia="es-ES"/>
        </w:rPr>
        <w:t xml:space="preserve">suma </w:t>
      </w:r>
      <w:r>
        <w:rPr>
          <w:rFonts w:ascii="Tahoma" w:hAnsi="Tahoma" w:cs="Tahoma"/>
          <w:spacing w:val="8"/>
          <w:sz w:val="25"/>
          <w:szCs w:val="25"/>
          <w:lang w:val="es-ES" w:eastAsia="es-ES"/>
        </w:rPr>
        <w:t xml:space="preserve">señor </w:t>
      </w:r>
      <w:r>
        <w:rPr>
          <w:rFonts w:ascii="Tahoma" w:hAnsi="Tahoma" w:cs="Tahoma"/>
          <w:b/>
          <w:bCs/>
          <w:spacing w:val="8"/>
          <w:sz w:val="25"/>
          <w:szCs w:val="25"/>
          <w:lang w:val="es-ES" w:eastAsia="es-ES"/>
        </w:rPr>
        <w:t>R</w:t>
      </w:r>
      <w:r w:rsidR="0071419D">
        <w:rPr>
          <w:rFonts w:ascii="Tahoma" w:hAnsi="Tahoma" w:cs="Tahoma"/>
          <w:b/>
          <w:bCs/>
          <w:spacing w:val="8"/>
          <w:sz w:val="25"/>
          <w:szCs w:val="25"/>
          <w:lang w:val="es-ES" w:eastAsia="es-ES"/>
        </w:rPr>
        <w:t>.R.H.</w:t>
      </w:r>
      <w:r>
        <w:rPr>
          <w:rFonts w:ascii="Tahoma" w:hAnsi="Tahoma" w:cs="Tahoma"/>
          <w:b/>
          <w:bCs/>
          <w:spacing w:val="8"/>
          <w:sz w:val="25"/>
          <w:szCs w:val="25"/>
          <w:lang w:val="es-ES" w:eastAsia="es-ES"/>
        </w:rPr>
        <w:t xml:space="preserve">, cédula de identidad </w:t>
      </w:r>
      <w:r w:rsidR="0071419D">
        <w:rPr>
          <w:rFonts w:ascii="Tahoma" w:hAnsi="Tahoma" w:cs="Tahoma"/>
          <w:b/>
          <w:bCs/>
          <w:spacing w:val="8"/>
          <w:sz w:val="25"/>
          <w:szCs w:val="25"/>
          <w:lang w:val="es-ES" w:eastAsia="es-ES"/>
        </w:rPr>
        <w:t>…</w:t>
      </w:r>
      <w:r>
        <w:rPr>
          <w:rFonts w:ascii="Tahoma" w:hAnsi="Tahoma" w:cs="Tahoma"/>
          <w:b/>
          <w:bCs/>
          <w:spacing w:val="8"/>
          <w:sz w:val="25"/>
          <w:szCs w:val="25"/>
          <w:lang w:val="es-ES" w:eastAsia="es-ES"/>
        </w:rPr>
        <w:t xml:space="preserve">, </w:t>
      </w:r>
      <w:r>
        <w:rPr>
          <w:rFonts w:ascii="Tahoma" w:hAnsi="Tahoma" w:cs="Tahoma"/>
          <w:spacing w:val="8"/>
          <w:sz w:val="25"/>
          <w:szCs w:val="25"/>
          <w:u w:val="single"/>
          <w:lang w:val="es-ES" w:eastAsia="es-ES"/>
        </w:rPr>
        <w:t xml:space="preserve">presenta </w:t>
      </w:r>
      <w:r>
        <w:rPr>
          <w:rFonts w:ascii="Verdana" w:hAnsi="Verdana" w:cs="Verdana"/>
          <w:b/>
          <w:bCs/>
          <w:spacing w:val="8"/>
          <w:sz w:val="24"/>
          <w:szCs w:val="24"/>
          <w:u w:val="single"/>
          <w:lang w:val="es-ES" w:eastAsia="es-ES"/>
        </w:rPr>
        <w:t>Recurso de Revocato</w:t>
      </w:r>
      <w:r w:rsidR="0071419D">
        <w:rPr>
          <w:rFonts w:ascii="Verdana" w:hAnsi="Verdana" w:cs="Verdana"/>
          <w:b/>
          <w:bCs/>
          <w:spacing w:val="8"/>
          <w:sz w:val="24"/>
          <w:szCs w:val="24"/>
          <w:u w:val="single"/>
          <w:lang w:val="es-ES" w:eastAsia="es-ES"/>
        </w:rPr>
        <w:t>ria con Apelación en  subsidio y</w:t>
      </w:r>
      <w:r>
        <w:rPr>
          <w:rFonts w:ascii="Verdana" w:hAnsi="Verdana" w:cs="Verdana"/>
          <w:b/>
          <w:bCs/>
          <w:spacing w:val="8"/>
          <w:sz w:val="24"/>
          <w:szCs w:val="24"/>
          <w:u w:val="single"/>
          <w:lang w:val="es-ES" w:eastAsia="es-ES"/>
        </w:rPr>
        <w:t xml:space="preserve"> Nulidad concomitante </w:t>
      </w:r>
      <w:r>
        <w:rPr>
          <w:rFonts w:ascii="Tahoma" w:hAnsi="Tahoma" w:cs="Tahoma"/>
          <w:b/>
          <w:bCs/>
          <w:spacing w:val="8"/>
          <w:sz w:val="25"/>
          <w:szCs w:val="25"/>
          <w:lang w:val="es-ES" w:eastAsia="es-ES"/>
        </w:rPr>
        <w:t xml:space="preserve"> e incidente de suspensió</w:t>
      </w:r>
      <w:r>
        <w:rPr>
          <w:rFonts w:ascii="Tahoma" w:hAnsi="Tahoma" w:cs="Tahoma"/>
          <w:b/>
          <w:bCs/>
          <w:spacing w:val="8"/>
          <w:sz w:val="25"/>
          <w:szCs w:val="25"/>
          <w:lang w:val="es-ES" w:eastAsia="es-ES"/>
        </w:rPr>
        <w:t xml:space="preserve">n del acto, contra el Artículo 7.2.7 de la Sesión Ordinaria 65-2015 de 1 de dicienribre de 2015, </w:t>
      </w:r>
      <w:r>
        <w:rPr>
          <w:rFonts w:ascii="Tahoma" w:hAnsi="Tahoma" w:cs="Tahoma"/>
          <w:spacing w:val="8"/>
          <w:sz w:val="25"/>
          <w:szCs w:val="25"/>
          <w:lang w:val="es-ES" w:eastAsia="es-ES"/>
        </w:rPr>
        <w:t xml:space="preserve">dictado por la Junta Directiva del Consejo de Transporte Público y contra los oficios </w:t>
      </w:r>
      <w:r>
        <w:rPr>
          <w:rFonts w:ascii="Tahoma" w:hAnsi="Tahoma" w:cs="Tahoma"/>
          <w:b/>
          <w:bCs/>
          <w:spacing w:val="8"/>
          <w:sz w:val="25"/>
          <w:szCs w:val="25"/>
          <w:lang w:val="es-ES" w:eastAsia="es-ES"/>
        </w:rPr>
        <w:t>DAJ-2015-4037 del 27 de noviembre de 2015 de la Dirección de Asuntos Jurí</w:t>
      </w:r>
      <w:r>
        <w:rPr>
          <w:rFonts w:ascii="Tahoma" w:hAnsi="Tahoma" w:cs="Tahoma"/>
          <w:b/>
          <w:bCs/>
          <w:spacing w:val="8"/>
          <w:sz w:val="25"/>
          <w:szCs w:val="25"/>
          <w:lang w:val="es-ES" w:eastAsia="es-ES"/>
        </w:rPr>
        <w:t xml:space="preserve">dicos y el DRE-2015-2010 del 30 de noviembre de 2015 del Departamento de Regionales de la Dirección Técnica del Consejo de Transporte Público, </w:t>
      </w:r>
      <w:r>
        <w:rPr>
          <w:rFonts w:ascii="Tahoma" w:hAnsi="Tahoma" w:cs="Tahoma"/>
          <w:spacing w:val="8"/>
          <w:sz w:val="25"/>
          <w:szCs w:val="25"/>
          <w:lang w:val="es-ES" w:eastAsia="es-ES"/>
        </w:rPr>
        <w:t>ante ese órgano y al Tribunal al mismo tiempo el 9 de setiembre de 2015.</w:t>
      </w:r>
    </w:p>
    <w:p w:rsidR="00000000" w:rsidRDefault="006A7A20">
      <w:pPr>
        <w:kinsoku w:val="0"/>
        <w:overflowPunct w:val="0"/>
        <w:autoSpaceDE/>
        <w:autoSpaceDN/>
        <w:adjustRightInd/>
        <w:spacing w:before="295" w:line="292" w:lineRule="exact"/>
        <w:ind w:left="72" w:right="144"/>
        <w:jc w:val="both"/>
        <w:textAlignment w:val="baseline"/>
        <w:rPr>
          <w:rFonts w:ascii="Tahoma" w:hAnsi="Tahoma" w:cs="Tahoma"/>
          <w:sz w:val="25"/>
          <w:szCs w:val="25"/>
          <w:lang w:val="es-ES" w:eastAsia="es-ES"/>
        </w:rPr>
      </w:pPr>
      <w:r>
        <w:rPr>
          <w:rFonts w:ascii="Tahoma" w:hAnsi="Tahoma" w:cs="Tahoma"/>
          <w:sz w:val="25"/>
          <w:szCs w:val="25"/>
          <w:lang w:val="es-ES" w:eastAsia="es-ES"/>
        </w:rPr>
        <w:t>De acuerdo a lo anterior, el Tribunal de</w:t>
      </w:r>
      <w:r>
        <w:rPr>
          <w:rFonts w:ascii="Tahoma" w:hAnsi="Tahoma" w:cs="Tahoma"/>
          <w:sz w:val="25"/>
          <w:szCs w:val="25"/>
          <w:lang w:val="es-ES" w:eastAsia="es-ES"/>
        </w:rPr>
        <w:t>be inhibirse en este momento de conocer el asunto de conformidad con el artículo 347 de la Ley General de la Administración Pública, el cual dispone lo siguiente:</w:t>
      </w:r>
    </w:p>
    <w:p w:rsidR="00000000" w:rsidRDefault="006A7A20">
      <w:pPr>
        <w:kinsoku w:val="0"/>
        <w:overflowPunct w:val="0"/>
        <w:autoSpaceDE/>
        <w:autoSpaceDN/>
        <w:adjustRightInd/>
        <w:spacing w:before="275" w:line="290" w:lineRule="exact"/>
        <w:ind w:left="648"/>
        <w:textAlignment w:val="baseline"/>
        <w:rPr>
          <w:rFonts w:ascii="Tahoma" w:hAnsi="Tahoma" w:cs="Tahoma"/>
          <w:sz w:val="24"/>
          <w:szCs w:val="24"/>
          <w:lang w:eastAsia="en-US"/>
        </w:rPr>
      </w:pPr>
      <w:r>
        <w:rPr>
          <w:rFonts w:ascii="Verdana" w:hAnsi="Verdana" w:cs="Verdana"/>
          <w:i/>
          <w:iCs/>
          <w:spacing w:val="-1"/>
          <w:sz w:val="24"/>
          <w:szCs w:val="24"/>
          <w:lang w:val="es-ES" w:eastAsia="es-ES"/>
        </w:rPr>
        <w:t>"Artículo 347.</w:t>
      </w:r>
      <w:r>
        <w:rPr>
          <w:rFonts w:ascii="Verdana" w:hAnsi="Verdana" w:cs="Verdana"/>
          <w:i/>
          <w:iCs/>
          <w:spacing w:val="-1"/>
          <w:sz w:val="24"/>
          <w:szCs w:val="24"/>
          <w:lang w:val="es-ES" w:eastAsia="es-ES"/>
        </w:rPr>
        <w:noBreakHyphen/>
      </w:r>
    </w:p>
    <w:p w:rsidR="00000000" w:rsidRDefault="006A7A20">
      <w:pPr>
        <w:numPr>
          <w:ilvl w:val="0"/>
          <w:numId w:val="7"/>
        </w:numPr>
        <w:kinsoku w:val="0"/>
        <w:overflowPunct w:val="0"/>
        <w:autoSpaceDE/>
        <w:autoSpaceDN/>
        <w:adjustRightInd/>
        <w:spacing w:before="273" w:line="290" w:lineRule="exact"/>
        <w:ind w:right="648"/>
        <w:jc w:val="both"/>
        <w:textAlignment w:val="baseline"/>
        <w:rPr>
          <w:rFonts w:ascii="Verdana" w:hAnsi="Verdana" w:cs="Verdana"/>
          <w:i/>
          <w:iCs/>
          <w:sz w:val="24"/>
          <w:szCs w:val="24"/>
          <w:lang w:val="es-ES" w:eastAsia="es-ES"/>
        </w:rPr>
      </w:pPr>
      <w:r>
        <w:rPr>
          <w:rFonts w:ascii="Verdana" w:hAnsi="Verdana" w:cs="Verdana"/>
          <w:i/>
          <w:iCs/>
          <w:sz w:val="24"/>
          <w:szCs w:val="24"/>
          <w:lang w:val="es-ES" w:eastAsia="es-ES"/>
        </w:rPr>
        <w:t>Los recursos podrán también interponerse hacié</w:t>
      </w:r>
      <w:r>
        <w:rPr>
          <w:rFonts w:ascii="Verdana" w:hAnsi="Verdana" w:cs="Verdana"/>
          <w:i/>
          <w:iCs/>
          <w:sz w:val="24"/>
          <w:szCs w:val="24"/>
          <w:lang w:val="es-ES" w:eastAsia="es-ES"/>
        </w:rPr>
        <w:t>ndolo constar en el acta de la notificación respectiva.</w:t>
      </w:r>
    </w:p>
    <w:p w:rsidR="00000000" w:rsidRDefault="006A7A20">
      <w:pPr>
        <w:numPr>
          <w:ilvl w:val="0"/>
          <w:numId w:val="7"/>
        </w:numPr>
        <w:kinsoku w:val="0"/>
        <w:overflowPunct w:val="0"/>
        <w:autoSpaceDE/>
        <w:autoSpaceDN/>
        <w:adjustRightInd/>
        <w:spacing w:before="6" w:line="287" w:lineRule="exact"/>
        <w:ind w:right="648"/>
        <w:jc w:val="both"/>
        <w:textAlignment w:val="baseline"/>
        <w:rPr>
          <w:rFonts w:ascii="Verdana" w:hAnsi="Verdana" w:cs="Verdana"/>
          <w:i/>
          <w:iCs/>
          <w:sz w:val="24"/>
          <w:szCs w:val="24"/>
          <w:lang w:val="es-ES" w:eastAsia="es-ES"/>
        </w:rPr>
      </w:pPr>
      <w:r>
        <w:rPr>
          <w:rFonts w:ascii="Verdana" w:hAnsi="Verdana" w:cs="Verdana"/>
          <w:i/>
          <w:iCs/>
          <w:sz w:val="24"/>
          <w:szCs w:val="24"/>
          <w:lang w:val="es-ES" w:eastAsia="es-ES"/>
        </w:rPr>
        <w:t>Es potestativo usar ambos recursos ordinarios o uno solo de ellos, pero será inadmisible el que se interponga pasados los términos fijados en, el artículo anterior.</w:t>
      </w:r>
    </w:p>
    <w:p w:rsidR="00000000" w:rsidRDefault="006A7A20">
      <w:pPr>
        <w:numPr>
          <w:ilvl w:val="0"/>
          <w:numId w:val="8"/>
        </w:numPr>
        <w:kinsoku w:val="0"/>
        <w:overflowPunct w:val="0"/>
        <w:autoSpaceDE/>
        <w:autoSpaceDN/>
        <w:adjustRightInd/>
        <w:spacing w:line="288" w:lineRule="exact"/>
        <w:ind w:right="648"/>
        <w:jc w:val="both"/>
        <w:textAlignment w:val="baseline"/>
        <w:rPr>
          <w:rFonts w:ascii="Verdana" w:hAnsi="Verdana" w:cs="Verdana"/>
          <w:i/>
          <w:iCs/>
          <w:spacing w:val="2"/>
          <w:sz w:val="24"/>
          <w:szCs w:val="24"/>
          <w:lang w:val="es-ES" w:eastAsia="es-ES"/>
        </w:rPr>
      </w:pPr>
      <w:r>
        <w:rPr>
          <w:rFonts w:ascii="Verdana" w:hAnsi="Verdana" w:cs="Verdana"/>
          <w:b/>
          <w:bCs/>
          <w:i/>
          <w:iCs/>
          <w:spacing w:val="2"/>
          <w:sz w:val="24"/>
          <w:szCs w:val="24"/>
          <w:lang w:val="es-ES" w:eastAsia="es-ES"/>
        </w:rPr>
        <w:t>Si se interponen ambos recursos</w:t>
      </w:r>
      <w:r>
        <w:rPr>
          <w:rFonts w:ascii="Verdana" w:hAnsi="Verdana" w:cs="Verdana"/>
          <w:b/>
          <w:bCs/>
          <w:i/>
          <w:iCs/>
          <w:spacing w:val="2"/>
          <w:sz w:val="24"/>
          <w:szCs w:val="24"/>
          <w:lang w:val="es-ES" w:eastAsia="es-ES"/>
        </w:rPr>
        <w:t xml:space="preserve"> a la vez, se tramitará la apelación una vez declarada sin lugar la revocatoria. </w:t>
      </w:r>
      <w:r w:rsidRPr="0071419D">
        <w:rPr>
          <w:rFonts w:ascii="Verdana" w:hAnsi="Verdana" w:cs="Verdana"/>
          <w:bCs/>
          <w:i/>
          <w:iCs/>
          <w:spacing w:val="2"/>
          <w:sz w:val="24"/>
          <w:szCs w:val="24"/>
          <w:lang w:val="es-ES" w:eastAsia="es-ES"/>
        </w:rPr>
        <w:t>"(El</w:t>
      </w:r>
      <w:r>
        <w:rPr>
          <w:rFonts w:ascii="Verdana" w:hAnsi="Verdana" w:cs="Verdana"/>
          <w:b/>
          <w:bCs/>
          <w:i/>
          <w:iCs/>
          <w:spacing w:val="2"/>
          <w:sz w:val="24"/>
          <w:szCs w:val="24"/>
          <w:lang w:val="es-ES" w:eastAsia="es-ES"/>
        </w:rPr>
        <w:t xml:space="preserve"> </w:t>
      </w:r>
      <w:r>
        <w:rPr>
          <w:rFonts w:ascii="Verdana" w:hAnsi="Verdana" w:cs="Verdana"/>
          <w:i/>
          <w:iCs/>
          <w:spacing w:val="2"/>
          <w:sz w:val="24"/>
          <w:szCs w:val="24"/>
          <w:lang w:val="es-ES" w:eastAsia="es-ES"/>
        </w:rPr>
        <w:t>Resaltado es nuestro)</w:t>
      </w:r>
    </w:p>
    <w:p w:rsidR="00000000" w:rsidRDefault="006A7A20">
      <w:pPr>
        <w:kinsoku w:val="0"/>
        <w:overflowPunct w:val="0"/>
        <w:autoSpaceDE/>
        <w:autoSpaceDN/>
        <w:adjustRightInd/>
        <w:spacing w:before="284" w:line="292" w:lineRule="exact"/>
        <w:ind w:left="72" w:right="144"/>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t>El Tribunal Administrativo de Transporte mediante prevención TAT-410-17 de veintisiete de abril d</w:t>
      </w:r>
      <w:r>
        <w:rPr>
          <w:rFonts w:ascii="Tahoma" w:hAnsi="Tahoma" w:cs="Tahoma"/>
          <w:spacing w:val="10"/>
          <w:sz w:val="25"/>
          <w:szCs w:val="25"/>
          <w:lang w:val="es-ES" w:eastAsia="es-ES"/>
        </w:rPr>
        <w:t>e 2017, solicita al CTP informe si el recurrente presentó Recurso de Revocatoria contra el acuerdo y los oficios impugnados y mediante oficio CTP-SDA-17-000104 de 2 de mayo de 2017, la secretaría de actas indica que si se presentó el Recurso de Revocatoria</w:t>
      </w:r>
      <w:r>
        <w:rPr>
          <w:rFonts w:ascii="Tahoma" w:hAnsi="Tahoma" w:cs="Tahoma"/>
          <w:spacing w:val="10"/>
          <w:sz w:val="25"/>
          <w:szCs w:val="25"/>
          <w:lang w:val="es-ES" w:eastAsia="es-ES"/>
        </w:rPr>
        <w:t>, el cual se encuentra en este momento en estudio.</w:t>
      </w:r>
    </w:p>
    <w:p w:rsidR="00000000" w:rsidRDefault="006A7A20">
      <w:pPr>
        <w:kinsoku w:val="0"/>
        <w:overflowPunct w:val="0"/>
        <w:autoSpaceDE/>
        <w:autoSpaceDN/>
        <w:adjustRightInd/>
        <w:spacing w:before="310" w:after="931" w:line="292" w:lineRule="exact"/>
        <w:ind w:left="72" w:right="144"/>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En conclusión, una vez resuelto el recurso de primera instancia y de ser declarado sin lugar por el CTP, el Tribunal Administrativo de Transporte podrá conocer del Recurso de Alzada, más en este momento de</w:t>
      </w:r>
      <w:r>
        <w:rPr>
          <w:rFonts w:ascii="Tahoma" w:hAnsi="Tahoma" w:cs="Tahoma"/>
          <w:spacing w:val="11"/>
          <w:sz w:val="25"/>
          <w:szCs w:val="25"/>
          <w:lang w:val="es-ES" w:eastAsia="es-ES"/>
        </w:rPr>
        <w:t>be procederse al archivo del mismo por prematuro.</w:t>
      </w:r>
    </w:p>
    <w:p w:rsidR="00000000" w:rsidRDefault="006A7A20">
      <w:pPr>
        <w:widowControl/>
        <w:rPr>
          <w:sz w:val="24"/>
          <w:szCs w:val="24"/>
        </w:rPr>
        <w:sectPr w:rsidR="00000000">
          <w:pgSz w:w="12278" w:h="15706"/>
          <w:pgMar w:top="1320" w:right="1601" w:bottom="290" w:left="1617" w:header="720" w:footer="720" w:gutter="0"/>
          <w:cols w:space="720"/>
          <w:noEndnote/>
        </w:sectPr>
      </w:pPr>
    </w:p>
    <w:p w:rsidR="00000000" w:rsidRDefault="006A7A20">
      <w:pPr>
        <w:widowControl/>
        <w:rPr>
          <w:sz w:val="24"/>
          <w:szCs w:val="24"/>
        </w:rPr>
        <w:sectPr w:rsidR="00000000">
          <w:type w:val="continuous"/>
          <w:pgSz w:w="12278" w:h="15706"/>
          <w:pgMar w:top="1320" w:right="1655" w:bottom="290" w:left="7383" w:header="720" w:footer="720" w:gutter="0"/>
          <w:cols w:space="720"/>
          <w:noEndnote/>
        </w:sectPr>
      </w:pPr>
    </w:p>
    <w:p w:rsidR="00000000" w:rsidRDefault="006A7A20">
      <w:pPr>
        <w:kinsoku w:val="0"/>
        <w:overflowPunct w:val="0"/>
        <w:autoSpaceDE/>
        <w:autoSpaceDN/>
        <w:adjustRightInd/>
        <w:spacing w:before="21" w:after="255" w:line="285" w:lineRule="exact"/>
        <w:jc w:val="center"/>
        <w:textAlignment w:val="baseline"/>
        <w:rPr>
          <w:rFonts w:ascii="Tahoma" w:hAnsi="Tahoma" w:cs="Tahoma"/>
          <w:b/>
          <w:bCs/>
          <w:spacing w:val="7"/>
          <w:sz w:val="25"/>
          <w:szCs w:val="25"/>
          <w:lang w:val="es-ES" w:eastAsia="es-ES"/>
        </w:rPr>
      </w:pPr>
      <w:r>
        <w:rPr>
          <w:rFonts w:ascii="Tahoma" w:hAnsi="Tahoma" w:cs="Tahoma"/>
          <w:b/>
          <w:bCs/>
          <w:spacing w:val="7"/>
          <w:sz w:val="25"/>
          <w:szCs w:val="25"/>
          <w:lang w:val="es-ES" w:eastAsia="es-ES"/>
        </w:rPr>
        <w:lastRenderedPageBreak/>
        <w:t>POR TANTO</w:t>
      </w:r>
    </w:p>
    <w:p w:rsidR="00000000" w:rsidRDefault="006A7A20">
      <w:pPr>
        <w:widowControl/>
        <w:rPr>
          <w:sz w:val="24"/>
          <w:szCs w:val="24"/>
        </w:rPr>
        <w:sectPr w:rsidR="00000000">
          <w:pgSz w:w="12288" w:h="15725"/>
          <w:pgMar w:top="1440" w:right="4421" w:bottom="232" w:left="4627" w:header="720" w:footer="720" w:gutter="0"/>
          <w:cols w:space="720"/>
          <w:noEndnote/>
        </w:sectPr>
      </w:pPr>
    </w:p>
    <w:p w:rsidR="00000000" w:rsidRDefault="006A7A20">
      <w:pPr>
        <w:numPr>
          <w:ilvl w:val="0"/>
          <w:numId w:val="9"/>
        </w:numPr>
        <w:kinsoku w:val="0"/>
        <w:overflowPunct w:val="0"/>
        <w:autoSpaceDE/>
        <w:autoSpaceDN/>
        <w:adjustRightInd/>
        <w:spacing w:before="21" w:line="293" w:lineRule="exact"/>
        <w:ind w:right="72"/>
        <w:jc w:val="both"/>
        <w:textAlignment w:val="baseline"/>
        <w:rPr>
          <w:rFonts w:ascii="Tahoma" w:hAnsi="Tahoma" w:cs="Tahoma"/>
          <w:b/>
          <w:bCs/>
          <w:spacing w:val="8"/>
          <w:sz w:val="25"/>
          <w:szCs w:val="25"/>
          <w:lang w:val="es-ES" w:eastAsia="es-ES"/>
        </w:rPr>
      </w:pPr>
      <w:r>
        <w:rPr>
          <w:rFonts w:ascii="Tahoma" w:hAnsi="Tahoma" w:cs="Tahoma"/>
          <w:spacing w:val="8"/>
          <w:sz w:val="25"/>
          <w:szCs w:val="25"/>
          <w:lang w:val="es-ES" w:eastAsia="es-ES"/>
        </w:rPr>
        <w:t xml:space="preserve">Se rechaza por prematuro el </w:t>
      </w:r>
      <w:r>
        <w:rPr>
          <w:rFonts w:ascii="Tahoma" w:hAnsi="Tahoma" w:cs="Tahoma"/>
          <w:b/>
          <w:bCs/>
          <w:spacing w:val="8"/>
          <w:sz w:val="25"/>
          <w:szCs w:val="25"/>
          <w:lang w:val="es-ES" w:eastAsia="es-ES"/>
        </w:rPr>
        <w:t xml:space="preserve">Recurso de Apelación y Nulidad concomitante, </w:t>
      </w:r>
      <w:r>
        <w:rPr>
          <w:rFonts w:ascii="Tahoma" w:hAnsi="Tahoma" w:cs="Tahoma"/>
          <w:spacing w:val="8"/>
          <w:sz w:val="25"/>
          <w:szCs w:val="25"/>
          <w:lang w:val="es-ES" w:eastAsia="es-ES"/>
        </w:rPr>
        <w:t xml:space="preserve">presentado por la empresa </w:t>
      </w:r>
      <w:r>
        <w:rPr>
          <w:rFonts w:ascii="Tahoma" w:hAnsi="Tahoma" w:cs="Tahoma"/>
          <w:b/>
          <w:bCs/>
          <w:spacing w:val="8"/>
          <w:sz w:val="25"/>
          <w:szCs w:val="25"/>
          <w:lang w:val="es-ES" w:eastAsia="es-ES"/>
        </w:rPr>
        <w:t>S</w:t>
      </w:r>
      <w:r w:rsidR="0071419D">
        <w:rPr>
          <w:rFonts w:ascii="Tahoma" w:hAnsi="Tahoma" w:cs="Tahoma"/>
          <w:b/>
          <w:bCs/>
          <w:spacing w:val="8"/>
          <w:sz w:val="25"/>
          <w:szCs w:val="25"/>
          <w:lang w:val="es-ES" w:eastAsia="es-ES"/>
        </w:rPr>
        <w:t>.M.D.T.P.S.M.T.S.R.S.A.</w:t>
      </w:r>
      <w:r>
        <w:rPr>
          <w:rFonts w:ascii="Tahoma" w:hAnsi="Tahoma" w:cs="Tahoma"/>
          <w:b/>
          <w:bCs/>
          <w:spacing w:val="8"/>
          <w:sz w:val="25"/>
          <w:szCs w:val="25"/>
          <w:lang w:val="es-ES" w:eastAsia="es-ES"/>
        </w:rPr>
        <w:t xml:space="preserve">, cédula jurídica número </w:t>
      </w:r>
      <w:r w:rsidR="0071419D">
        <w:rPr>
          <w:rFonts w:ascii="Tahoma" w:hAnsi="Tahoma" w:cs="Tahoma"/>
          <w:b/>
          <w:bCs/>
          <w:spacing w:val="8"/>
          <w:sz w:val="25"/>
          <w:szCs w:val="25"/>
          <w:lang w:val="es-ES" w:eastAsia="es-ES"/>
        </w:rPr>
        <w:t>…</w:t>
      </w:r>
      <w:r>
        <w:rPr>
          <w:rFonts w:ascii="Tahoma" w:hAnsi="Tahoma" w:cs="Tahoma"/>
          <w:b/>
          <w:bCs/>
          <w:spacing w:val="8"/>
          <w:sz w:val="25"/>
          <w:szCs w:val="25"/>
          <w:lang w:val="es-ES" w:eastAsia="es-ES"/>
        </w:rPr>
        <w:t xml:space="preserve">, </w:t>
      </w:r>
      <w:r>
        <w:rPr>
          <w:rFonts w:ascii="Tahoma" w:hAnsi="Tahoma" w:cs="Tahoma"/>
          <w:spacing w:val="8"/>
          <w:sz w:val="25"/>
          <w:szCs w:val="25"/>
          <w:lang w:val="es-ES" w:eastAsia="es-ES"/>
        </w:rPr>
        <w:t xml:space="preserve">por medio de su apoderado Generalísimo sin Límite de suma señor </w:t>
      </w:r>
      <w:r>
        <w:rPr>
          <w:rFonts w:ascii="Tahoma" w:hAnsi="Tahoma" w:cs="Tahoma"/>
          <w:b/>
          <w:bCs/>
          <w:spacing w:val="8"/>
          <w:sz w:val="25"/>
          <w:szCs w:val="25"/>
          <w:lang w:val="es-ES" w:eastAsia="es-ES"/>
        </w:rPr>
        <w:t>R</w:t>
      </w:r>
      <w:r w:rsidR="0071419D">
        <w:rPr>
          <w:rFonts w:ascii="Tahoma" w:hAnsi="Tahoma" w:cs="Tahoma"/>
          <w:b/>
          <w:bCs/>
          <w:spacing w:val="8"/>
          <w:sz w:val="25"/>
          <w:szCs w:val="25"/>
          <w:lang w:val="es-ES" w:eastAsia="es-ES"/>
        </w:rPr>
        <w:t>.R.H.</w:t>
      </w:r>
      <w:r>
        <w:rPr>
          <w:rFonts w:ascii="Tahoma" w:hAnsi="Tahoma" w:cs="Tahoma"/>
          <w:b/>
          <w:bCs/>
          <w:spacing w:val="8"/>
          <w:sz w:val="25"/>
          <w:szCs w:val="25"/>
          <w:lang w:val="es-ES" w:eastAsia="es-ES"/>
        </w:rPr>
        <w:t xml:space="preserve">, cédula de identidad </w:t>
      </w:r>
      <w:r w:rsidR="0071419D">
        <w:rPr>
          <w:rFonts w:ascii="Tahoma" w:hAnsi="Tahoma" w:cs="Tahoma"/>
          <w:b/>
          <w:bCs/>
          <w:spacing w:val="8"/>
          <w:sz w:val="25"/>
          <w:szCs w:val="25"/>
          <w:lang w:val="es-ES" w:eastAsia="es-ES"/>
        </w:rPr>
        <w:t>…</w:t>
      </w:r>
      <w:r>
        <w:rPr>
          <w:rFonts w:ascii="Tahoma" w:hAnsi="Tahoma" w:cs="Tahoma"/>
          <w:b/>
          <w:bCs/>
          <w:spacing w:val="8"/>
          <w:sz w:val="25"/>
          <w:szCs w:val="25"/>
          <w:lang w:val="es-ES" w:eastAsia="es-ES"/>
        </w:rPr>
        <w:t>, contra el Artículo 7.2.7 de</w:t>
      </w:r>
      <w:r>
        <w:rPr>
          <w:rFonts w:ascii="Tahoma" w:hAnsi="Tahoma" w:cs="Tahoma"/>
          <w:b/>
          <w:bCs/>
          <w:spacing w:val="8"/>
          <w:sz w:val="25"/>
          <w:szCs w:val="25"/>
          <w:lang w:val="es-ES" w:eastAsia="es-ES"/>
        </w:rPr>
        <w:t xml:space="preserve"> la Sesión Ordinaria 65-2015 de 1 de diciembre de 2015, </w:t>
      </w:r>
      <w:r>
        <w:rPr>
          <w:rFonts w:ascii="Tahoma" w:hAnsi="Tahoma" w:cs="Tahoma"/>
          <w:spacing w:val="8"/>
          <w:sz w:val="25"/>
          <w:szCs w:val="25"/>
          <w:lang w:val="es-ES" w:eastAsia="es-ES"/>
        </w:rPr>
        <w:t xml:space="preserve">dictado por la Junta Directiva del Consejo de Transporte Público y contra los oficios </w:t>
      </w:r>
      <w:r>
        <w:rPr>
          <w:rFonts w:ascii="Tahoma" w:hAnsi="Tahoma" w:cs="Tahoma"/>
          <w:b/>
          <w:bCs/>
          <w:spacing w:val="8"/>
          <w:sz w:val="25"/>
          <w:szCs w:val="25"/>
          <w:lang w:val="es-ES" w:eastAsia="es-ES"/>
        </w:rPr>
        <w:t>D</w:t>
      </w:r>
      <w:r w:rsidR="0071419D">
        <w:rPr>
          <w:rFonts w:ascii="Tahoma" w:hAnsi="Tahoma" w:cs="Tahoma"/>
          <w:b/>
          <w:bCs/>
          <w:spacing w:val="8"/>
          <w:sz w:val="25"/>
          <w:szCs w:val="25"/>
          <w:lang w:val="es-ES" w:eastAsia="es-ES"/>
        </w:rPr>
        <w:t>AJ-</w:t>
      </w:r>
      <w:r>
        <w:rPr>
          <w:rFonts w:ascii="Tahoma" w:hAnsi="Tahoma" w:cs="Tahoma"/>
          <w:b/>
          <w:bCs/>
          <w:spacing w:val="8"/>
          <w:sz w:val="25"/>
          <w:szCs w:val="25"/>
          <w:lang w:val="es-ES" w:eastAsia="es-ES"/>
        </w:rPr>
        <w:t>2015-4037 del 27 de noviembre de 2015 de la Dirección de Asuntos Jurídicos y el DRE-2015-2010 del 30 de noviem</w:t>
      </w:r>
      <w:r>
        <w:rPr>
          <w:rFonts w:ascii="Tahoma" w:hAnsi="Tahoma" w:cs="Tahoma"/>
          <w:b/>
          <w:bCs/>
          <w:spacing w:val="8"/>
          <w:sz w:val="25"/>
          <w:szCs w:val="25"/>
          <w:lang w:val="es-ES" w:eastAsia="es-ES"/>
        </w:rPr>
        <w:t>bre de 2015 del Departamento de Regionales de la Dirección Técnica del Consejo de Transporte Público.</w:t>
      </w:r>
    </w:p>
    <w:p w:rsidR="00000000" w:rsidRDefault="006A7A20">
      <w:pPr>
        <w:numPr>
          <w:ilvl w:val="0"/>
          <w:numId w:val="9"/>
        </w:numPr>
        <w:kinsoku w:val="0"/>
        <w:overflowPunct w:val="0"/>
        <w:autoSpaceDE/>
        <w:autoSpaceDN/>
        <w:adjustRightInd/>
        <w:spacing w:before="299" w:line="292" w:lineRule="exact"/>
        <w:ind w:right="72"/>
        <w:jc w:val="both"/>
        <w:textAlignment w:val="baseline"/>
        <w:rPr>
          <w:rFonts w:ascii="Tahoma" w:hAnsi="Tahoma" w:cs="Tahoma"/>
          <w:b/>
          <w:bCs/>
          <w:sz w:val="25"/>
          <w:szCs w:val="25"/>
          <w:lang w:val="es-ES" w:eastAsia="es-ES"/>
        </w:rPr>
      </w:pPr>
      <w:r>
        <w:rPr>
          <w:rFonts w:ascii="Tahoma" w:hAnsi="Tahoma" w:cs="Tahoma"/>
          <w:sz w:val="25"/>
          <w:szCs w:val="25"/>
          <w:lang w:val="es-ES" w:eastAsia="es-ES"/>
        </w:rPr>
        <w:t xml:space="preserve">Remítase al Consejo de Transporte Público el expediente completo, para que se conozca en primera instancia el </w:t>
      </w:r>
      <w:r>
        <w:rPr>
          <w:rFonts w:ascii="Tahoma" w:hAnsi="Tahoma" w:cs="Tahoma"/>
          <w:b/>
          <w:bCs/>
          <w:sz w:val="25"/>
          <w:szCs w:val="25"/>
          <w:lang w:val="es-ES" w:eastAsia="es-ES"/>
        </w:rPr>
        <w:t>Recurso de Revocatoria.</w:t>
      </w:r>
    </w:p>
    <w:p w:rsidR="00000000" w:rsidRDefault="006A7A20" w:rsidP="0071419D">
      <w:pPr>
        <w:numPr>
          <w:ilvl w:val="0"/>
          <w:numId w:val="10"/>
        </w:numPr>
        <w:kinsoku w:val="0"/>
        <w:overflowPunct w:val="0"/>
        <w:autoSpaceDE/>
        <w:autoSpaceDN/>
        <w:adjustRightInd/>
        <w:spacing w:before="287" w:after="638" w:line="294" w:lineRule="exact"/>
        <w:jc w:val="both"/>
        <w:textAlignment w:val="baseline"/>
        <w:rPr>
          <w:sz w:val="24"/>
          <w:szCs w:val="24"/>
        </w:rPr>
      </w:pPr>
      <w:r>
        <w:rPr>
          <w:rFonts w:ascii="Tahoma" w:hAnsi="Tahoma" w:cs="Tahoma"/>
          <w:b/>
          <w:bCs/>
          <w:spacing w:val="8"/>
          <w:sz w:val="25"/>
          <w:szCs w:val="25"/>
          <w:lang w:val="es-ES" w:eastAsia="es-ES"/>
        </w:rPr>
        <w:t>NOTIFIQUESE.</w:t>
      </w:r>
      <w:r w:rsidR="0071419D">
        <w:rPr>
          <w:sz w:val="24"/>
          <w:szCs w:val="24"/>
        </w:rPr>
        <w:t xml:space="preserve"> </w:t>
      </w:r>
    </w:p>
    <w:p w:rsidR="0071419D" w:rsidRDefault="0071419D" w:rsidP="0071419D">
      <w:pPr>
        <w:kinsoku w:val="0"/>
        <w:overflowPunct w:val="0"/>
        <w:autoSpaceDE/>
        <w:autoSpaceDN/>
        <w:adjustRightInd/>
        <w:spacing w:before="287" w:after="638" w:line="294" w:lineRule="exact"/>
        <w:jc w:val="both"/>
        <w:textAlignment w:val="baseline"/>
        <w:rPr>
          <w:sz w:val="24"/>
          <w:szCs w:val="24"/>
        </w:rPr>
      </w:pPr>
    </w:p>
    <w:p w:rsidR="0071419D" w:rsidRPr="00CF40A0" w:rsidRDefault="0071419D" w:rsidP="0071419D">
      <w:pPr>
        <w:kinsoku w:val="0"/>
        <w:overflowPunct w:val="0"/>
        <w:autoSpaceDE/>
        <w:autoSpaceDN/>
        <w:adjustRightInd/>
        <w:spacing w:after="374" w:line="320" w:lineRule="exact"/>
        <w:ind w:left="142" w:right="72"/>
        <w:jc w:val="center"/>
        <w:textAlignment w:val="baseline"/>
        <w:rPr>
          <w:rStyle w:val="CharacterStyle1"/>
          <w:b/>
          <w:bCs/>
          <w:sz w:val="24"/>
          <w:szCs w:val="24"/>
          <w:lang w:val="es-ES" w:eastAsia="es-ES"/>
        </w:rPr>
      </w:pPr>
      <w:bookmarkStart w:id="0" w:name="_Hlk484510921"/>
      <w:bookmarkStart w:id="1" w:name="_Hlk484514530"/>
      <w:r w:rsidRPr="00CF40A0">
        <w:rPr>
          <w:rStyle w:val="CharacterStyle1"/>
          <w:i/>
          <w:iCs/>
          <w:spacing w:val="5"/>
          <w:sz w:val="26"/>
          <w:szCs w:val="26"/>
        </w:rPr>
        <w:t>Lic. Carlos Miguel Portuguez Méndez</w:t>
      </w:r>
    </w:p>
    <w:p w:rsidR="0071419D" w:rsidRDefault="0071419D" w:rsidP="0071419D">
      <w:pPr>
        <w:pStyle w:val="Style1"/>
        <w:kinsoku w:val="0"/>
        <w:overflowPunct w:val="0"/>
        <w:autoSpaceDE/>
        <w:autoSpaceDN/>
        <w:adjustRightInd/>
        <w:spacing w:after="301" w:line="288" w:lineRule="exact"/>
        <w:ind w:left="142"/>
        <w:jc w:val="center"/>
        <w:textAlignment w:val="baseline"/>
        <w:rPr>
          <w:rStyle w:val="CharacterStyle1"/>
          <w:b/>
          <w:i/>
          <w:iCs/>
          <w:spacing w:val="5"/>
          <w:sz w:val="26"/>
          <w:szCs w:val="26"/>
        </w:rPr>
      </w:pPr>
      <w:r>
        <w:rPr>
          <w:rStyle w:val="CharacterStyle1"/>
          <w:b/>
          <w:i/>
          <w:iCs/>
          <w:spacing w:val="5"/>
          <w:sz w:val="26"/>
          <w:szCs w:val="26"/>
        </w:rPr>
        <w:t>Presidente</w:t>
      </w:r>
      <w:bookmarkEnd w:id="1"/>
    </w:p>
    <w:p w:rsidR="0071419D" w:rsidRDefault="0071419D" w:rsidP="0071419D">
      <w:pPr>
        <w:kinsoku w:val="0"/>
        <w:overflowPunct w:val="0"/>
        <w:autoSpaceDE/>
        <w:autoSpaceDN/>
        <w:adjustRightInd/>
        <w:spacing w:before="287" w:after="638" w:line="294" w:lineRule="exact"/>
        <w:ind w:left="142"/>
        <w:jc w:val="center"/>
        <w:textAlignment w:val="baseline"/>
        <w:rPr>
          <w:sz w:val="24"/>
          <w:szCs w:val="24"/>
        </w:rPr>
        <w:sectPr w:rsidR="0071419D">
          <w:type w:val="continuous"/>
          <w:pgSz w:w="12288" w:h="15725"/>
          <w:pgMar w:top="1440" w:right="1528" w:bottom="232" w:left="1700" w:header="720" w:footer="720" w:gutter="0"/>
          <w:cols w:space="720"/>
          <w:noEndnote/>
        </w:sect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r>
      <w:bookmarkStart w:id="2" w:name="_GoBack"/>
      <w:bookmarkEnd w:id="2"/>
      <w:r>
        <w:rPr>
          <w:rStyle w:val="CharacterStyle1"/>
          <w:i/>
          <w:iCs/>
          <w:spacing w:val="5"/>
          <w:sz w:val="26"/>
          <w:szCs w:val="26"/>
        </w:rPr>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bookmarkEnd w:id="0"/>
    </w:p>
    <w:p w:rsidR="006A7A20" w:rsidRDefault="006A7A20" w:rsidP="0071419D">
      <w:pPr>
        <w:tabs>
          <w:tab w:val="right" w:pos="3240"/>
        </w:tabs>
        <w:kinsoku w:val="0"/>
        <w:overflowPunct w:val="0"/>
        <w:autoSpaceDE/>
        <w:autoSpaceDN/>
        <w:adjustRightInd/>
        <w:spacing w:line="281" w:lineRule="exact"/>
        <w:textAlignment w:val="baseline"/>
        <w:rPr>
          <w:rFonts w:ascii="Tahoma" w:hAnsi="Tahoma" w:cs="Tahoma"/>
          <w:sz w:val="25"/>
          <w:szCs w:val="25"/>
          <w:lang w:val="es-ES" w:eastAsia="es-ES"/>
        </w:rPr>
      </w:pPr>
    </w:p>
    <w:sectPr w:rsidR="006A7A20">
      <w:type w:val="continuous"/>
      <w:pgSz w:w="12288" w:h="15725"/>
      <w:pgMar w:top="1440" w:right="1603" w:bottom="232" w:left="744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60E"/>
    <w:multiLevelType w:val="singleLevel"/>
    <w:tmpl w:val="00DC9787"/>
    <w:lvl w:ilvl="0">
      <w:start w:val="4"/>
      <w:numFmt w:val="decimal"/>
      <w:lvlText w:val="%1."/>
      <w:lvlJc w:val="left"/>
      <w:pPr>
        <w:tabs>
          <w:tab w:val="num" w:pos="792"/>
        </w:tabs>
        <w:ind w:left="504"/>
      </w:pPr>
      <w:rPr>
        <w:rFonts w:ascii="Verdana" w:hAnsi="Verdana" w:cs="Verdana"/>
        <w:i/>
        <w:iCs/>
        <w:snapToGrid/>
        <w:sz w:val="24"/>
        <w:szCs w:val="24"/>
      </w:rPr>
    </w:lvl>
  </w:abstractNum>
  <w:abstractNum w:abstractNumId="1" w15:restartNumberingAfterBreak="0">
    <w:nsid w:val="03BCC51F"/>
    <w:multiLevelType w:val="singleLevel"/>
    <w:tmpl w:val="6BA6C97E"/>
    <w:lvl w:ilvl="0">
      <w:start w:val="1"/>
      <w:numFmt w:val="decimal"/>
      <w:lvlText w:val="%1."/>
      <w:lvlJc w:val="left"/>
      <w:pPr>
        <w:tabs>
          <w:tab w:val="num" w:pos="792"/>
        </w:tabs>
        <w:ind w:left="432"/>
      </w:pPr>
      <w:rPr>
        <w:rFonts w:ascii="Tahoma" w:hAnsi="Tahoma" w:cs="Tahoma"/>
        <w:i/>
        <w:iCs/>
        <w:snapToGrid/>
        <w:spacing w:val="10"/>
        <w:sz w:val="25"/>
        <w:szCs w:val="25"/>
      </w:rPr>
    </w:lvl>
  </w:abstractNum>
  <w:abstractNum w:abstractNumId="2" w15:restartNumberingAfterBreak="0">
    <w:nsid w:val="043DAA76"/>
    <w:multiLevelType w:val="singleLevel"/>
    <w:tmpl w:val="27819EDD"/>
    <w:lvl w:ilvl="0">
      <w:start w:val="1"/>
      <w:numFmt w:val="upperRoman"/>
      <w:lvlText w:val="%1.-"/>
      <w:lvlJc w:val="left"/>
      <w:pPr>
        <w:tabs>
          <w:tab w:val="num" w:pos="648"/>
        </w:tabs>
        <w:ind w:left="144"/>
      </w:pPr>
      <w:rPr>
        <w:rFonts w:ascii="Tahoma" w:hAnsi="Tahoma" w:cs="Tahoma"/>
        <w:snapToGrid/>
        <w:spacing w:val="8"/>
        <w:sz w:val="25"/>
        <w:szCs w:val="25"/>
      </w:rPr>
    </w:lvl>
  </w:abstractNum>
  <w:abstractNum w:abstractNumId="3" w15:restartNumberingAfterBreak="0">
    <w:nsid w:val="05279F06"/>
    <w:multiLevelType w:val="singleLevel"/>
    <w:tmpl w:val="34B23684"/>
    <w:lvl w:ilvl="0">
      <w:start w:val="1"/>
      <w:numFmt w:val="decimal"/>
      <w:lvlText w:val="%1."/>
      <w:lvlJc w:val="left"/>
      <w:pPr>
        <w:tabs>
          <w:tab w:val="num" w:pos="1008"/>
        </w:tabs>
        <w:ind w:left="648"/>
      </w:pPr>
      <w:rPr>
        <w:rFonts w:ascii="Verdana" w:hAnsi="Verdana" w:cs="Verdana"/>
        <w:i/>
        <w:iCs/>
        <w:snapToGrid/>
        <w:sz w:val="24"/>
        <w:szCs w:val="24"/>
      </w:rPr>
    </w:lvl>
  </w:abstractNum>
  <w:abstractNum w:abstractNumId="4" w15:restartNumberingAfterBreak="0">
    <w:nsid w:val="05D6F903"/>
    <w:multiLevelType w:val="singleLevel"/>
    <w:tmpl w:val="449FB2EC"/>
    <w:lvl w:ilvl="0">
      <w:start w:val="1"/>
      <w:numFmt w:val="lowerLetter"/>
      <w:lvlText w:val="%1)"/>
      <w:lvlJc w:val="left"/>
      <w:pPr>
        <w:tabs>
          <w:tab w:val="num" w:pos="864"/>
        </w:tabs>
        <w:ind w:left="504"/>
      </w:pPr>
      <w:rPr>
        <w:rFonts w:ascii="Verdana" w:hAnsi="Verdana" w:cs="Verdana"/>
        <w:b/>
        <w:bCs/>
        <w:i/>
        <w:iCs/>
        <w:snapToGrid/>
        <w:sz w:val="24"/>
        <w:szCs w:val="24"/>
      </w:rPr>
    </w:lvl>
  </w:abstractNum>
  <w:num w:numId="1">
    <w:abstractNumId w:val="1"/>
  </w:num>
  <w:num w:numId="2">
    <w:abstractNumId w:val="0"/>
  </w:num>
  <w:num w:numId="3">
    <w:abstractNumId w:val="0"/>
    <w:lvlOverride w:ilvl="0">
      <w:lvl w:ilvl="0">
        <w:numFmt w:val="decimal"/>
        <w:lvlText w:val="%1."/>
        <w:lvlJc w:val="left"/>
        <w:pPr>
          <w:tabs>
            <w:tab w:val="num" w:pos="936"/>
          </w:tabs>
          <w:ind w:left="504"/>
        </w:pPr>
        <w:rPr>
          <w:rFonts w:ascii="Verdana" w:hAnsi="Verdana" w:cs="Verdana"/>
          <w:i/>
          <w:iCs/>
          <w:snapToGrid/>
          <w:sz w:val="24"/>
          <w:szCs w:val="24"/>
        </w:rPr>
      </w:lvl>
    </w:lvlOverride>
  </w:num>
  <w:num w:numId="4">
    <w:abstractNumId w:val="0"/>
    <w:lvlOverride w:ilvl="0">
      <w:lvl w:ilvl="0">
        <w:numFmt w:val="decimal"/>
        <w:lvlText w:val="%1."/>
        <w:lvlJc w:val="left"/>
        <w:pPr>
          <w:tabs>
            <w:tab w:val="num" w:pos="792"/>
          </w:tabs>
          <w:ind w:left="504"/>
        </w:pPr>
        <w:rPr>
          <w:rFonts w:ascii="Verdana" w:hAnsi="Verdana" w:cs="Verdana"/>
          <w:b/>
          <w:bCs/>
          <w:i/>
          <w:iCs/>
          <w:snapToGrid/>
          <w:spacing w:val="-5"/>
          <w:sz w:val="24"/>
          <w:szCs w:val="24"/>
        </w:rPr>
      </w:lvl>
    </w:lvlOverride>
  </w:num>
  <w:num w:numId="5">
    <w:abstractNumId w:val="4"/>
  </w:num>
  <w:num w:numId="6">
    <w:abstractNumId w:val="4"/>
    <w:lvlOverride w:ilvl="0">
      <w:lvl w:ilvl="0">
        <w:numFmt w:val="lowerLetter"/>
        <w:lvlText w:val="%1)"/>
        <w:lvlJc w:val="left"/>
        <w:pPr>
          <w:tabs>
            <w:tab w:val="num" w:pos="864"/>
          </w:tabs>
          <w:ind w:left="504"/>
        </w:pPr>
        <w:rPr>
          <w:rFonts w:ascii="Verdana" w:hAnsi="Verdana" w:cs="Verdana"/>
          <w:i/>
          <w:iCs/>
          <w:snapToGrid/>
          <w:sz w:val="24"/>
          <w:szCs w:val="24"/>
        </w:rPr>
      </w:lvl>
    </w:lvlOverride>
  </w:num>
  <w:num w:numId="7">
    <w:abstractNumId w:val="3"/>
  </w:num>
  <w:num w:numId="8">
    <w:abstractNumId w:val="3"/>
    <w:lvlOverride w:ilvl="0">
      <w:lvl w:ilvl="0">
        <w:numFmt w:val="decimal"/>
        <w:lvlText w:val="%1."/>
        <w:lvlJc w:val="left"/>
        <w:pPr>
          <w:tabs>
            <w:tab w:val="num" w:pos="1008"/>
          </w:tabs>
          <w:ind w:left="648"/>
        </w:pPr>
        <w:rPr>
          <w:rFonts w:ascii="Verdana" w:hAnsi="Verdana" w:cs="Verdana"/>
          <w:b/>
          <w:bCs/>
          <w:i/>
          <w:iCs/>
          <w:snapToGrid/>
          <w:spacing w:val="2"/>
          <w:sz w:val="24"/>
          <w:szCs w:val="24"/>
        </w:rPr>
      </w:lvl>
    </w:lvlOverride>
  </w:num>
  <w:num w:numId="9">
    <w:abstractNumId w:val="2"/>
  </w:num>
  <w:num w:numId="10">
    <w:abstractNumId w:val="2"/>
    <w:lvlOverride w:ilvl="0">
      <w:lvl w:ilvl="0">
        <w:numFmt w:val="upperRoman"/>
        <w:lvlText w:val="%1.-"/>
        <w:lvlJc w:val="left"/>
        <w:pPr>
          <w:tabs>
            <w:tab w:val="num" w:pos="792"/>
          </w:tabs>
          <w:ind w:left="144"/>
        </w:pPr>
        <w:rPr>
          <w:rFonts w:ascii="Tahoma" w:hAnsi="Tahoma" w:cs="Tahoma"/>
          <w:b/>
          <w:bCs/>
          <w:snapToGrid/>
          <w:spacing w:val="8"/>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9D"/>
    <w:rsid w:val="006A7A20"/>
    <w:rsid w:val="0071419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7E643"/>
  <w14:defaultImageDpi w14:val="0"/>
  <w15:docId w15:val="{DB55F547-09EF-456F-99C1-D8D17EC8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1419D"/>
    <w:rPr>
      <w:lang w:val="es-CR"/>
    </w:rPr>
  </w:style>
  <w:style w:type="character" w:customStyle="1" w:styleId="CharacterStyle1">
    <w:name w:val="Character Style 1"/>
    <w:uiPriority w:val="99"/>
    <w:rsid w:val="007141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1385</Words>
  <Characters>7622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2017-06-06T18:22:00Z</dcterms:created>
  <dcterms:modified xsi:type="dcterms:W3CDTF">2017-06-06T18:22:00Z</dcterms:modified>
</cp:coreProperties>
</file>