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773B7">
      <w:pPr>
        <w:kinsoku w:val="0"/>
        <w:overflowPunct w:val="0"/>
        <w:autoSpaceDE/>
        <w:autoSpaceDN/>
        <w:adjustRightInd/>
        <w:spacing w:line="266" w:lineRule="exact"/>
        <w:jc w:val="center"/>
        <w:textAlignment w:val="baseline"/>
        <w:rPr>
          <w:rFonts w:ascii="Verdana" w:hAnsi="Verdana" w:cs="Verdana"/>
          <w:b/>
          <w:bCs/>
          <w:spacing w:val="8"/>
          <w:sz w:val="22"/>
          <w:szCs w:val="22"/>
          <w:lang w:val="es-ES" w:eastAsia="es-ES"/>
        </w:rPr>
      </w:pPr>
      <w:r>
        <w:rPr>
          <w:rFonts w:ascii="Verdana" w:hAnsi="Verdana" w:cs="Verdana"/>
          <w:b/>
          <w:bCs/>
          <w:spacing w:val="8"/>
          <w:sz w:val="22"/>
          <w:szCs w:val="22"/>
          <w:lang w:val="es-ES" w:eastAsia="es-ES"/>
        </w:rPr>
        <w:t>RESOLUCION No. TAT-3263-2017</w:t>
      </w:r>
    </w:p>
    <w:p w:rsidR="00000000" w:rsidRDefault="003773B7">
      <w:pPr>
        <w:kinsoku w:val="0"/>
        <w:overflowPunct w:val="0"/>
        <w:autoSpaceDE/>
        <w:autoSpaceDN/>
        <w:adjustRightInd/>
        <w:spacing w:before="576" w:line="282"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w:t>
      </w:r>
      <w:r>
        <w:rPr>
          <w:rFonts w:ascii="Verdana" w:hAnsi="Verdana" w:cs="Verdana"/>
          <w:sz w:val="22"/>
          <w:szCs w:val="22"/>
          <w:lang w:val="es-ES" w:eastAsia="es-ES"/>
        </w:rPr>
        <w:t>, a las once horas treinta minutos del ocho de mayo de dos mil diecisiete.</w:t>
      </w:r>
    </w:p>
    <w:p w:rsidR="00000000" w:rsidRDefault="003773B7">
      <w:pPr>
        <w:kinsoku w:val="0"/>
        <w:overflowPunct w:val="0"/>
        <w:autoSpaceDE/>
        <w:autoSpaceDN/>
        <w:adjustRightInd/>
        <w:spacing w:before="279" w:line="284" w:lineRule="exact"/>
        <w:ind w:right="144"/>
        <w:jc w:val="both"/>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 xml:space="preserve">Recurso de Apelación y Nulidad concomitante, </w:t>
      </w:r>
      <w:r>
        <w:rPr>
          <w:rFonts w:ascii="Verdana" w:hAnsi="Verdana" w:cs="Verdana"/>
          <w:spacing w:val="4"/>
          <w:sz w:val="22"/>
          <w:szCs w:val="22"/>
          <w:lang w:val="es-ES" w:eastAsia="es-ES"/>
        </w:rPr>
        <w:t xml:space="preserve">presentado por la empresa </w:t>
      </w:r>
      <w:r>
        <w:rPr>
          <w:rFonts w:ascii="Verdana" w:hAnsi="Verdana" w:cs="Verdana"/>
          <w:b/>
          <w:bCs/>
          <w:spacing w:val="4"/>
          <w:sz w:val="22"/>
          <w:szCs w:val="22"/>
          <w:lang w:val="es-ES" w:eastAsia="es-ES"/>
        </w:rPr>
        <w:t>T</w:t>
      </w:r>
      <w:r w:rsidR="002F2A58">
        <w:rPr>
          <w:rFonts w:ascii="Verdana" w:hAnsi="Verdana" w:cs="Verdana"/>
          <w:b/>
          <w:bCs/>
          <w:spacing w:val="4"/>
          <w:sz w:val="22"/>
          <w:szCs w:val="22"/>
          <w:lang w:val="es-ES" w:eastAsia="es-ES"/>
        </w:rPr>
        <w:t>.P.R.S.R.L.</w:t>
      </w:r>
      <w:r>
        <w:rPr>
          <w:rFonts w:ascii="Verdana" w:hAnsi="Verdana" w:cs="Verdana"/>
          <w:b/>
          <w:bCs/>
          <w:spacing w:val="4"/>
          <w:sz w:val="22"/>
          <w:szCs w:val="22"/>
          <w:lang w:val="es-ES" w:eastAsia="es-ES"/>
        </w:rPr>
        <w:t xml:space="preserve">, cédula jurídica número </w:t>
      </w:r>
      <w:r w:rsidR="002F2A58">
        <w:rPr>
          <w:rFonts w:ascii="Verdana" w:hAnsi="Verdana" w:cs="Verdana"/>
          <w:b/>
          <w:bCs/>
          <w:spacing w:val="4"/>
          <w:sz w:val="22"/>
          <w:szCs w:val="22"/>
          <w:lang w:val="es-ES" w:eastAsia="es-ES"/>
        </w:rPr>
        <w:t>…</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por medio de su apoderado Genera</w:t>
      </w:r>
      <w:r>
        <w:rPr>
          <w:rFonts w:ascii="Verdana" w:hAnsi="Verdana" w:cs="Verdana"/>
          <w:spacing w:val="4"/>
          <w:sz w:val="22"/>
          <w:szCs w:val="22"/>
          <w:lang w:val="es-ES" w:eastAsia="es-ES"/>
        </w:rPr>
        <w:t xml:space="preserve">lísimo sin Límite de suma </w:t>
      </w:r>
      <w:r>
        <w:rPr>
          <w:rFonts w:ascii="Verdana" w:hAnsi="Verdana" w:cs="Verdana"/>
          <w:b/>
          <w:bCs/>
          <w:spacing w:val="4"/>
          <w:sz w:val="22"/>
          <w:szCs w:val="22"/>
          <w:lang w:val="es-ES" w:eastAsia="es-ES"/>
        </w:rPr>
        <w:t>H</w:t>
      </w:r>
      <w:r w:rsidR="002F2A58">
        <w:rPr>
          <w:rFonts w:ascii="Verdana" w:hAnsi="Verdana" w:cs="Verdana"/>
          <w:b/>
          <w:bCs/>
          <w:spacing w:val="4"/>
          <w:sz w:val="22"/>
          <w:szCs w:val="22"/>
          <w:lang w:val="es-ES" w:eastAsia="es-ES"/>
        </w:rPr>
        <w:t>.G.C.L.</w:t>
      </w:r>
      <w:r>
        <w:rPr>
          <w:rFonts w:ascii="Verdana" w:hAnsi="Verdana" w:cs="Verdana"/>
          <w:b/>
          <w:bCs/>
          <w:spacing w:val="4"/>
          <w:sz w:val="22"/>
          <w:szCs w:val="22"/>
          <w:lang w:val="es-ES" w:eastAsia="es-ES"/>
        </w:rPr>
        <w:t xml:space="preserve">, cédula de identidad </w:t>
      </w:r>
      <w:r w:rsidR="002F2A58">
        <w:rPr>
          <w:rFonts w:ascii="Verdana" w:hAnsi="Verdana" w:cs="Verdana"/>
          <w:b/>
          <w:bCs/>
          <w:spacing w:val="4"/>
          <w:sz w:val="22"/>
          <w:szCs w:val="22"/>
          <w:lang w:val="es-ES" w:eastAsia="es-ES"/>
        </w:rPr>
        <w:t>…</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contra el </w:t>
      </w:r>
      <w:r>
        <w:rPr>
          <w:rFonts w:ascii="Verdana" w:hAnsi="Verdana" w:cs="Verdana"/>
          <w:b/>
          <w:bCs/>
          <w:spacing w:val="4"/>
          <w:sz w:val="22"/>
          <w:szCs w:val="22"/>
          <w:lang w:val="es-ES" w:eastAsia="es-ES"/>
        </w:rPr>
        <w:t xml:space="preserve">Artículo 7.1.17 de la Sesión Ordinaria 49-2015 del 20 de agosto de 2015, </w:t>
      </w:r>
      <w:r>
        <w:rPr>
          <w:rFonts w:ascii="Verdana" w:hAnsi="Verdana" w:cs="Verdana"/>
          <w:spacing w:val="4"/>
          <w:sz w:val="22"/>
          <w:szCs w:val="22"/>
          <w:lang w:val="es-ES" w:eastAsia="es-ES"/>
        </w:rPr>
        <w:t xml:space="preserve">dictado por la JUNTA DIRECTIVA DEL CONSEJO DE TRANSPORTE PÚBLICO. </w:t>
      </w:r>
      <w:r>
        <w:rPr>
          <w:rFonts w:ascii="Verdana" w:hAnsi="Verdana" w:cs="Verdana"/>
          <w:b/>
          <w:bCs/>
          <w:spacing w:val="4"/>
          <w:sz w:val="22"/>
          <w:szCs w:val="22"/>
          <w:lang w:val="es-ES" w:eastAsia="es-ES"/>
        </w:rPr>
        <w:t xml:space="preserve">El caso se tramita en </w:t>
      </w:r>
      <w:r>
        <w:rPr>
          <w:rFonts w:ascii="Verdana" w:hAnsi="Verdana" w:cs="Verdana"/>
          <w:b/>
          <w:bCs/>
          <w:spacing w:val="4"/>
          <w:sz w:val="22"/>
          <w:szCs w:val="22"/>
          <w:lang w:val="es-ES" w:eastAsia="es-ES"/>
        </w:rPr>
        <w:t>Expediente Administrativo N. TAT-335-15.</w:t>
      </w:r>
    </w:p>
    <w:p w:rsidR="00000000" w:rsidRDefault="003773B7">
      <w:pPr>
        <w:kinsoku w:val="0"/>
        <w:overflowPunct w:val="0"/>
        <w:autoSpaceDE/>
        <w:autoSpaceDN/>
        <w:adjustRightInd/>
        <w:spacing w:before="579" w:line="272" w:lineRule="exact"/>
        <w:jc w:val="center"/>
        <w:textAlignment w:val="baseline"/>
        <w:rPr>
          <w:rFonts w:ascii="Verdana" w:hAnsi="Verdana" w:cs="Verdana"/>
          <w:b/>
          <w:bCs/>
          <w:spacing w:val="7"/>
          <w:sz w:val="22"/>
          <w:szCs w:val="22"/>
          <w:lang w:val="es-ES" w:eastAsia="es-ES"/>
        </w:rPr>
      </w:pPr>
      <w:r>
        <w:rPr>
          <w:rFonts w:ascii="Verdana" w:hAnsi="Verdana" w:cs="Verdana"/>
          <w:b/>
          <w:bCs/>
          <w:spacing w:val="7"/>
          <w:sz w:val="22"/>
          <w:szCs w:val="22"/>
          <w:lang w:val="es-ES" w:eastAsia="es-ES"/>
        </w:rPr>
        <w:t>RESULTANDO</w:t>
      </w:r>
    </w:p>
    <w:p w:rsidR="00000000" w:rsidRDefault="003773B7">
      <w:pPr>
        <w:kinsoku w:val="0"/>
        <w:overflowPunct w:val="0"/>
        <w:autoSpaceDE/>
        <w:autoSpaceDN/>
        <w:adjustRightInd/>
        <w:spacing w:before="584" w:line="280"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La Junta Directiva del Consejo de Transporte Público mediante el </w:t>
      </w:r>
      <w:r>
        <w:rPr>
          <w:rFonts w:ascii="Verdana" w:hAnsi="Verdana" w:cs="Verdana"/>
          <w:b/>
          <w:bCs/>
          <w:sz w:val="22"/>
          <w:szCs w:val="22"/>
          <w:lang w:val="es-ES" w:eastAsia="es-ES"/>
        </w:rPr>
        <w:t xml:space="preserve">Artículo 7.1.17 de la Sesión Ordinaria 49-2015 del 20 de agosto de 2015, </w:t>
      </w:r>
      <w:r>
        <w:rPr>
          <w:rFonts w:ascii="Verdana" w:hAnsi="Verdana" w:cs="Verdana"/>
          <w:sz w:val="22"/>
          <w:szCs w:val="22"/>
          <w:lang w:val="es-ES" w:eastAsia="es-ES"/>
        </w:rPr>
        <w:t>determina rechazar la solicitud de prórroga del permiso d</w:t>
      </w:r>
      <w:r>
        <w:rPr>
          <w:rFonts w:ascii="Verdana" w:hAnsi="Verdana" w:cs="Verdana"/>
          <w:sz w:val="22"/>
          <w:szCs w:val="22"/>
          <w:lang w:val="es-ES" w:eastAsia="es-ES"/>
        </w:rPr>
        <w:t>e servicio especial estable de taxi, formulada por la recurrente. (Léanse folio 23 y 24 del expediente administrativo).</w:t>
      </w:r>
    </w:p>
    <w:p w:rsidR="00000000" w:rsidRDefault="003773B7" w:rsidP="002F2A58">
      <w:pPr>
        <w:kinsoku w:val="0"/>
        <w:overflowPunct w:val="0"/>
        <w:autoSpaceDE/>
        <w:autoSpaceDN/>
        <w:adjustRightInd/>
        <w:spacing w:before="414" w:line="283" w:lineRule="exact"/>
        <w:ind w:right="144"/>
        <w:jc w:val="both"/>
        <w:textAlignment w:val="baseline"/>
        <w:rPr>
          <w:rFonts w:ascii="Verdana" w:hAnsi="Verdana" w:cs="Verdana"/>
          <w:sz w:val="22"/>
          <w:szCs w:val="22"/>
          <w:lang w:val="es-ES" w:eastAsia="es-ES"/>
        </w:rPr>
      </w:pPr>
      <w:r>
        <w:rPr>
          <w:rFonts w:ascii="Verdana" w:hAnsi="Verdana" w:cs="Verdana"/>
          <w:b/>
          <w:bCs/>
          <w:spacing w:val="7"/>
          <w:sz w:val="22"/>
          <w:szCs w:val="22"/>
          <w:lang w:val="es-ES" w:eastAsia="es-ES"/>
        </w:rPr>
        <w:t xml:space="preserve">SEGUNDO: </w:t>
      </w:r>
      <w:r>
        <w:rPr>
          <w:rFonts w:ascii="Verdana" w:hAnsi="Verdana" w:cs="Verdana"/>
          <w:spacing w:val="7"/>
          <w:sz w:val="22"/>
          <w:szCs w:val="22"/>
          <w:lang w:val="es-ES" w:eastAsia="es-ES"/>
        </w:rPr>
        <w:t xml:space="preserve">La empresa </w:t>
      </w:r>
      <w:r>
        <w:rPr>
          <w:rFonts w:ascii="Verdana" w:hAnsi="Verdana" w:cs="Verdana"/>
          <w:b/>
          <w:bCs/>
          <w:spacing w:val="7"/>
          <w:sz w:val="22"/>
          <w:szCs w:val="22"/>
          <w:lang w:val="es-ES" w:eastAsia="es-ES"/>
        </w:rPr>
        <w:t>T</w:t>
      </w:r>
      <w:r w:rsidR="002F2A58">
        <w:rPr>
          <w:rFonts w:ascii="Verdana" w:hAnsi="Verdana" w:cs="Verdana"/>
          <w:b/>
          <w:bCs/>
          <w:spacing w:val="7"/>
          <w:sz w:val="22"/>
          <w:szCs w:val="22"/>
          <w:lang w:val="es-ES" w:eastAsia="es-ES"/>
        </w:rPr>
        <w:t>.P.R.S.R.L.</w:t>
      </w:r>
      <w:r>
        <w:rPr>
          <w:rFonts w:ascii="Verdana" w:hAnsi="Verdana" w:cs="Verdana"/>
          <w:b/>
          <w:bCs/>
          <w:spacing w:val="7"/>
          <w:sz w:val="22"/>
          <w:szCs w:val="22"/>
          <w:lang w:val="es-ES" w:eastAsia="es-ES"/>
        </w:rPr>
        <w:t xml:space="preserve">, cédula jurídica número </w:t>
      </w:r>
      <w:r w:rsidR="002F2A58">
        <w:rPr>
          <w:rFonts w:ascii="Verdana" w:hAnsi="Verdana" w:cs="Verdana"/>
          <w:b/>
          <w:bCs/>
          <w:spacing w:val="7"/>
          <w:sz w:val="22"/>
          <w:szCs w:val="22"/>
          <w:lang w:val="es-ES" w:eastAsia="es-ES"/>
        </w:rPr>
        <w:t>…</w:t>
      </w:r>
      <w:r>
        <w:rPr>
          <w:rFonts w:ascii="Verdana" w:hAnsi="Verdana" w:cs="Verdana"/>
          <w:b/>
          <w:bCs/>
          <w:spacing w:val="7"/>
          <w:sz w:val="22"/>
          <w:szCs w:val="22"/>
          <w:lang w:val="es-ES" w:eastAsia="es-ES"/>
        </w:rPr>
        <w:t xml:space="preserve">, </w:t>
      </w:r>
      <w:r>
        <w:rPr>
          <w:rFonts w:ascii="Verdana" w:hAnsi="Verdana" w:cs="Verdana"/>
          <w:spacing w:val="7"/>
          <w:sz w:val="22"/>
          <w:szCs w:val="22"/>
          <w:lang w:val="es-ES" w:eastAsia="es-ES"/>
        </w:rPr>
        <w:t>por medio de su apoderado Generalísimo s</w:t>
      </w:r>
      <w:r>
        <w:rPr>
          <w:rFonts w:ascii="Verdana" w:hAnsi="Verdana" w:cs="Verdana"/>
          <w:spacing w:val="7"/>
          <w:sz w:val="22"/>
          <w:szCs w:val="22"/>
          <w:lang w:val="es-ES" w:eastAsia="es-ES"/>
        </w:rPr>
        <w:t xml:space="preserve">in Límite de suma </w:t>
      </w:r>
      <w:r>
        <w:rPr>
          <w:rFonts w:ascii="Verdana" w:hAnsi="Verdana" w:cs="Verdana"/>
          <w:b/>
          <w:bCs/>
          <w:spacing w:val="7"/>
          <w:sz w:val="22"/>
          <w:szCs w:val="22"/>
          <w:lang w:val="es-ES" w:eastAsia="es-ES"/>
        </w:rPr>
        <w:t>H</w:t>
      </w:r>
      <w:r w:rsidR="002F2A58">
        <w:rPr>
          <w:rFonts w:ascii="Verdana" w:hAnsi="Verdana" w:cs="Verdana"/>
          <w:b/>
          <w:bCs/>
          <w:spacing w:val="7"/>
          <w:sz w:val="22"/>
          <w:szCs w:val="22"/>
          <w:lang w:val="es-ES" w:eastAsia="es-ES"/>
        </w:rPr>
        <w:t>.G.C.L.</w:t>
      </w:r>
      <w:r>
        <w:rPr>
          <w:rFonts w:ascii="Verdana" w:hAnsi="Verdana" w:cs="Verdana"/>
          <w:b/>
          <w:bCs/>
          <w:spacing w:val="7"/>
          <w:sz w:val="22"/>
          <w:szCs w:val="22"/>
          <w:lang w:val="es-ES" w:eastAsia="es-ES"/>
        </w:rPr>
        <w:t xml:space="preserve">, cédula de identidad </w:t>
      </w:r>
      <w:r w:rsidR="002F2A58">
        <w:rPr>
          <w:rFonts w:ascii="Verdana" w:hAnsi="Verdana" w:cs="Verdana"/>
          <w:b/>
          <w:bCs/>
          <w:spacing w:val="7"/>
          <w:sz w:val="22"/>
          <w:szCs w:val="22"/>
          <w:lang w:val="es-ES" w:eastAsia="es-ES"/>
        </w:rPr>
        <w:t>…</w:t>
      </w:r>
      <w:r>
        <w:rPr>
          <w:rFonts w:ascii="Verdana" w:hAnsi="Verdana" w:cs="Verdana"/>
          <w:b/>
          <w:bCs/>
          <w:spacing w:val="7"/>
          <w:sz w:val="22"/>
          <w:szCs w:val="22"/>
          <w:lang w:val="es-ES" w:eastAsia="es-ES"/>
        </w:rPr>
        <w:t xml:space="preserve">, </w:t>
      </w:r>
      <w:r>
        <w:rPr>
          <w:rFonts w:ascii="Verdana" w:hAnsi="Verdana" w:cs="Verdana"/>
          <w:spacing w:val="7"/>
          <w:sz w:val="22"/>
          <w:szCs w:val="22"/>
          <w:lang w:val="es-ES" w:eastAsia="es-ES"/>
        </w:rPr>
        <w:t>se apersona ante éste Tribunal Administrativo de Transporte el 3 de setiembre de 2015 y presenta</w:t>
      </w:r>
      <w:r w:rsidR="002F2A58">
        <w:rPr>
          <w:rFonts w:ascii="Verdana" w:hAnsi="Verdana" w:cs="Verdana"/>
          <w:spacing w:val="7"/>
          <w:sz w:val="22"/>
          <w:szCs w:val="22"/>
          <w:lang w:val="es-ES" w:eastAsia="es-ES"/>
        </w:rPr>
        <w:t xml:space="preserve"> </w:t>
      </w:r>
      <w:r>
        <w:rPr>
          <w:rFonts w:ascii="Verdana" w:hAnsi="Verdana" w:cs="Verdana"/>
          <w:b/>
          <w:bCs/>
          <w:sz w:val="27"/>
          <w:szCs w:val="27"/>
          <w:lang w:val="es-ES" w:eastAsia="es-ES"/>
        </w:rPr>
        <w:t xml:space="preserve">Recurso Apelación y Nulidad concomitante, </w:t>
      </w:r>
      <w:r>
        <w:rPr>
          <w:rFonts w:ascii="Verdana" w:hAnsi="Verdana" w:cs="Verdana"/>
          <w:sz w:val="22"/>
          <w:szCs w:val="22"/>
          <w:lang w:val="es-ES" w:eastAsia="es-ES"/>
        </w:rPr>
        <w:t xml:space="preserve">contra el </w:t>
      </w:r>
      <w:r>
        <w:rPr>
          <w:rFonts w:ascii="Verdana" w:hAnsi="Verdana" w:cs="Verdana"/>
          <w:b/>
          <w:bCs/>
          <w:sz w:val="22"/>
          <w:szCs w:val="22"/>
          <w:lang w:val="es-ES" w:eastAsia="es-ES"/>
        </w:rPr>
        <w:t>Artículo 7.1.17 de la Sesió</w:t>
      </w:r>
      <w:r>
        <w:rPr>
          <w:rFonts w:ascii="Verdana" w:hAnsi="Verdana" w:cs="Verdana"/>
          <w:b/>
          <w:bCs/>
          <w:sz w:val="22"/>
          <w:szCs w:val="22"/>
          <w:lang w:val="es-ES" w:eastAsia="es-ES"/>
        </w:rPr>
        <w:t xml:space="preserve">n Ordinaria 49-2015 del 20 de agosto de 2015, </w:t>
      </w:r>
      <w:r>
        <w:rPr>
          <w:rFonts w:ascii="Verdana" w:hAnsi="Verdana" w:cs="Verdana"/>
          <w:sz w:val="22"/>
          <w:szCs w:val="22"/>
          <w:lang w:val="es-ES" w:eastAsia="es-ES"/>
        </w:rPr>
        <w:t>dictado por la JUNTA DIRECTIVA DEL CONSEJO DE TRANSPORTE PÚBLICO indicando en lo conducente lo siguiente: (Léanse folios del 1 al 21 del Expediente Administrativo).</w:t>
      </w:r>
    </w:p>
    <w:p w:rsidR="00000000" w:rsidRDefault="003773B7">
      <w:pPr>
        <w:widowControl/>
        <w:rPr>
          <w:sz w:val="24"/>
          <w:szCs w:val="24"/>
        </w:rPr>
        <w:sectPr w:rsidR="00000000">
          <w:pgSz w:w="12283" w:h="15706"/>
          <w:pgMar w:top="2120" w:right="1716" w:bottom="63" w:left="1747" w:header="720" w:footer="720" w:gutter="0"/>
          <w:cols w:space="720"/>
          <w:noEndnote/>
        </w:sectPr>
      </w:pPr>
    </w:p>
    <w:p w:rsidR="00000000" w:rsidRDefault="003773B7">
      <w:pPr>
        <w:numPr>
          <w:ilvl w:val="0"/>
          <w:numId w:val="1"/>
        </w:numPr>
        <w:kinsoku w:val="0"/>
        <w:overflowPunct w:val="0"/>
        <w:autoSpaceDE/>
        <w:autoSpaceDN/>
        <w:adjustRightInd/>
        <w:spacing w:before="1" w:line="283" w:lineRule="exact"/>
        <w:ind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 El acto impugnado atenta contra sus intereses y derecho a una justicia pronta y cumplida, ya que se adopta una determinación sumamente gravosa para las empresas de SEETAXI dado que hace nugatorios e insubsistentes los derechos</w:t>
      </w:r>
      <w:r>
        <w:rPr>
          <w:rFonts w:ascii="Verdana" w:hAnsi="Verdana" w:cs="Verdana"/>
          <w:sz w:val="23"/>
          <w:szCs w:val="23"/>
          <w:lang w:val="es-ES" w:eastAsia="es-ES"/>
        </w:rPr>
        <w:t xml:space="preserve"> subjetivos consagrados en el ordenamiento jurídico y que derivan del mandato legal, contenido en la Ley de Servicio Especial Estable de Taxi. Su actividad está totalmente amparada y resguardada en la Ley y el Consejo de Transporte Público (en adelante CTP</w:t>
      </w:r>
      <w:r>
        <w:rPr>
          <w:rFonts w:ascii="Verdana" w:hAnsi="Verdana" w:cs="Verdana"/>
          <w:sz w:val="23"/>
          <w:szCs w:val="23"/>
          <w:lang w:val="es-ES" w:eastAsia="es-ES"/>
        </w:rPr>
        <w:t>) obra en manifiesta violación de normas imperativas de obligatorio acatamiento, pues decide de mutuo propio evadir las principales características e implicaciones de la figura del SEETAXI.</w:t>
      </w:r>
    </w:p>
    <w:p w:rsidR="00000000" w:rsidRDefault="003773B7">
      <w:pPr>
        <w:numPr>
          <w:ilvl w:val="0"/>
          <w:numId w:val="1"/>
        </w:numPr>
        <w:kinsoku w:val="0"/>
        <w:overflowPunct w:val="0"/>
        <w:autoSpaceDE/>
        <w:autoSpaceDN/>
        <w:adjustRightInd/>
        <w:spacing w:line="283" w:lineRule="exact"/>
        <w:ind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t>- El acto impugnado es absolutamente nulo, pues sin sustento juríd</w:t>
      </w:r>
      <w:r>
        <w:rPr>
          <w:rFonts w:ascii="Verdana" w:hAnsi="Verdana" w:cs="Verdana"/>
          <w:sz w:val="23"/>
          <w:szCs w:val="23"/>
          <w:lang w:val="es-ES" w:eastAsia="es-ES"/>
        </w:rPr>
        <w:t>ico impone la obligación a la empresa de reducir en un 30% el número de vehículos, de códigos de operación, determinación que deriva de una interpretación incorrecta del sentido y de los alcances de los numerales 29.2 inciso h) de la Ley número 7969, que e</w:t>
      </w:r>
      <w:r>
        <w:rPr>
          <w:rFonts w:ascii="Verdana" w:hAnsi="Verdana" w:cs="Verdana"/>
          <w:sz w:val="23"/>
          <w:szCs w:val="23"/>
          <w:lang w:val="es-ES" w:eastAsia="es-ES"/>
        </w:rPr>
        <w:t>s la Ley Reguladora de los Servicios Públicos Remunerado de Personas en la Modalidad de Taxi y del Transitorio II Inciso c) de la Ley 8955.</w:t>
      </w:r>
    </w:p>
    <w:p w:rsidR="00000000" w:rsidRDefault="003773B7">
      <w:pPr>
        <w:numPr>
          <w:ilvl w:val="0"/>
          <w:numId w:val="2"/>
        </w:numPr>
        <w:kinsoku w:val="0"/>
        <w:overflowPunct w:val="0"/>
        <w:autoSpaceDE/>
        <w:autoSpaceDN/>
        <w:adjustRightInd/>
        <w:spacing w:before="5" w:line="283" w:lineRule="exact"/>
        <w:ind w:right="144"/>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 xml:space="preserve">El artículo 29.2 es particularmente claro en dos puntos medulares, primero, los permisos otorgados han sido </w:t>
      </w:r>
      <w:r>
        <w:rPr>
          <w:rFonts w:ascii="Verdana" w:hAnsi="Verdana" w:cs="Verdana"/>
          <w:spacing w:val="-1"/>
          <w:sz w:val="23"/>
          <w:szCs w:val="23"/>
          <w:lang w:val="es-ES" w:eastAsia="es-ES"/>
        </w:rPr>
        <w:t>otorgados por Ley y luego de cumplir con una serie de requisitos, lo que los abstrae de la discrecionalidad Administrativa de la aplicación del numeral 154 de la Ley General de la Administración Pública, no son permisos en precario pues han pasado por un p</w:t>
      </w:r>
      <w:r>
        <w:rPr>
          <w:rFonts w:ascii="Verdana" w:hAnsi="Verdana" w:cs="Verdana"/>
          <w:spacing w:val="-1"/>
          <w:sz w:val="23"/>
          <w:szCs w:val="23"/>
          <w:lang w:val="es-ES" w:eastAsia="es-ES"/>
        </w:rPr>
        <w:t>roceso de cumplimiento de requisitos exigidos por la Ley para su otorgamiento y basados en un Transitorio que es de carácter material contenido en Ley especial, por lo que el legislador previó la presentación cada tres años de los mismos requisitos contemp</w:t>
      </w:r>
      <w:r>
        <w:rPr>
          <w:rFonts w:ascii="Verdana" w:hAnsi="Verdana" w:cs="Verdana"/>
          <w:spacing w:val="-1"/>
          <w:sz w:val="23"/>
          <w:szCs w:val="23"/>
          <w:lang w:val="es-ES" w:eastAsia="es-ES"/>
        </w:rPr>
        <w:t>lados en el transitorio correspondiente a efecto de que el CTP pudiera determinar cada tres años que la condición ESTABLE no varíe y se encuentre cumpliendo sus obligaciones y lo más importantes determinar que la necesidad sigue existiendo con la presentac</w:t>
      </w:r>
      <w:r>
        <w:rPr>
          <w:rFonts w:ascii="Verdana" w:hAnsi="Verdana" w:cs="Verdana"/>
          <w:spacing w:val="-1"/>
          <w:sz w:val="23"/>
          <w:szCs w:val="23"/>
          <w:lang w:val="es-ES" w:eastAsia="es-ES"/>
        </w:rPr>
        <w:t>ión de los contratos suscritos con los usuarios, en este sentido la única función del CTP es verificar los requisitos para determinar que el permiso se puede renovar en las mismas condiciones o en su efecto, dar inicio al debido proceso para reducir, en ca</w:t>
      </w:r>
      <w:r>
        <w:rPr>
          <w:rFonts w:ascii="Verdana" w:hAnsi="Verdana" w:cs="Verdana"/>
          <w:spacing w:val="-1"/>
          <w:sz w:val="23"/>
          <w:szCs w:val="23"/>
          <w:lang w:val="es-ES" w:eastAsia="es-ES"/>
        </w:rPr>
        <w:t>so de que se haya reducido la cartera de clientes.</w:t>
      </w:r>
    </w:p>
    <w:p w:rsidR="00000000" w:rsidRDefault="003773B7">
      <w:pPr>
        <w:numPr>
          <w:ilvl w:val="0"/>
          <w:numId w:val="3"/>
        </w:numPr>
        <w:kinsoku w:val="0"/>
        <w:overflowPunct w:val="0"/>
        <w:autoSpaceDE/>
        <w:autoSpaceDN/>
        <w:adjustRightInd/>
        <w:spacing w:before="35" w:after="609" w:line="283" w:lineRule="exact"/>
        <w:ind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Es importante indicar que el CTP efectúa una interconexión o combinación aplicando al caso concreto, pues una cosa es regular la existencia de permisos especiales estables de taxi a futuro, con la </w:t>
      </w:r>
      <w:r>
        <w:rPr>
          <w:rFonts w:ascii="Verdana" w:hAnsi="Verdana" w:cs="Verdana"/>
          <w:sz w:val="23"/>
          <w:szCs w:val="23"/>
          <w:lang w:val="es-ES" w:eastAsia="es-ES"/>
        </w:rPr>
        <w:t>aprobación o inclusión del artículo 29.2 inciso h) de la Ley 7969 operada en virtud de la aprobación de la Ley 8955 y en donde efectivamente se da una limitación del número de unidades de SEETAXI por base de operación en un 3% respecto de las concesiones d</w:t>
      </w:r>
      <w:r>
        <w:rPr>
          <w:rFonts w:ascii="Verdana" w:hAnsi="Verdana" w:cs="Verdana"/>
          <w:sz w:val="23"/>
          <w:szCs w:val="23"/>
          <w:lang w:val="es-ES" w:eastAsia="es-ES"/>
        </w:rPr>
        <w:t>e taxi y otra muy distinta es la Regulación del régimen aplicable a los permisos que venían</w:t>
      </w:r>
    </w:p>
    <w:p w:rsidR="00000000" w:rsidRDefault="003773B7">
      <w:pPr>
        <w:widowControl/>
        <w:rPr>
          <w:sz w:val="24"/>
          <w:szCs w:val="24"/>
        </w:rPr>
        <w:sectPr w:rsidR="00000000">
          <w:pgSz w:w="12283" w:h="15706"/>
          <w:pgMar w:top="2540" w:right="1809" w:bottom="143" w:left="1593" w:header="720" w:footer="720" w:gutter="0"/>
          <w:cols w:space="720"/>
          <w:noEndnote/>
        </w:sectPr>
      </w:pPr>
    </w:p>
    <w:p w:rsidR="00000000" w:rsidRDefault="003773B7">
      <w:pPr>
        <w:widowControl/>
        <w:rPr>
          <w:sz w:val="24"/>
          <w:szCs w:val="24"/>
        </w:rPr>
        <w:sectPr w:rsidR="00000000">
          <w:type w:val="continuous"/>
          <w:pgSz w:w="12283" w:h="15706"/>
          <w:pgMar w:top="2540" w:right="1809" w:bottom="143" w:left="7234" w:header="720" w:footer="720" w:gutter="0"/>
          <w:cols w:space="720"/>
          <w:noEndnote/>
        </w:sectPr>
      </w:pPr>
    </w:p>
    <w:p w:rsidR="00000000" w:rsidRDefault="003773B7">
      <w:pPr>
        <w:kinsoku w:val="0"/>
        <w:overflowPunct w:val="0"/>
        <w:autoSpaceDE/>
        <w:autoSpaceDN/>
        <w:adjustRightInd/>
        <w:spacing w:before="18" w:line="284" w:lineRule="exact"/>
        <w:ind w:left="144"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operando en la actividad del porteo de vehículos hasta antes de la aprobació</w:t>
      </w:r>
      <w:r>
        <w:rPr>
          <w:rFonts w:ascii="Verdana" w:hAnsi="Verdana" w:cs="Verdana"/>
          <w:sz w:val="23"/>
          <w:szCs w:val="23"/>
          <w:lang w:val="es-ES" w:eastAsia="es-ES"/>
        </w:rPr>
        <w:t>n de la Ley 8955, pues para estos como ya tenían derechos subjetivos consolidados se disponía que el número no podía superar el 30% de las concesiones de taxi A NIVEL NACIONAL, y en la actualidad no se supera dicho porcentaje.</w:t>
      </w:r>
    </w:p>
    <w:p w:rsidR="00000000" w:rsidRDefault="003773B7">
      <w:pPr>
        <w:kinsoku w:val="0"/>
        <w:overflowPunct w:val="0"/>
        <w:autoSpaceDE/>
        <w:autoSpaceDN/>
        <w:adjustRightInd/>
        <w:spacing w:line="283" w:lineRule="exact"/>
        <w:ind w:left="144"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t>e).- La interpretación que re</w:t>
      </w:r>
      <w:r>
        <w:rPr>
          <w:rFonts w:ascii="Verdana" w:hAnsi="Verdana" w:cs="Verdana"/>
          <w:sz w:val="23"/>
          <w:szCs w:val="23"/>
          <w:lang w:val="es-ES" w:eastAsia="es-ES"/>
        </w:rPr>
        <w:t>aliza el CTP es diferente a lo establecido inclusive por los sucesivos criterios de la Procuraduría General de la República y contrarios a lo dispuesto en la Ley 8955, esto por cuanto el dictamen número 078-2015 del órgano consultivo como el artículo 29 de</w:t>
      </w:r>
      <w:r>
        <w:rPr>
          <w:rFonts w:ascii="Verdana" w:hAnsi="Verdana" w:cs="Verdana"/>
          <w:sz w:val="23"/>
          <w:szCs w:val="23"/>
          <w:lang w:val="es-ES" w:eastAsia="es-ES"/>
        </w:rPr>
        <w:t xml:space="preserve"> la Ley 7969, regulan sobre futuros operadores, mientras el Transitorio I y II de la Ley 8955 y el Dictamen Número 043-2013, disponen acerca de la cantidad de porteadores que podían acreditar como servicio especial estable de taxi, esto para proteger los d</w:t>
      </w:r>
      <w:r>
        <w:rPr>
          <w:rFonts w:ascii="Verdana" w:hAnsi="Verdana" w:cs="Verdana"/>
          <w:sz w:val="23"/>
          <w:szCs w:val="23"/>
          <w:lang w:val="es-ES" w:eastAsia="es-ES"/>
        </w:rPr>
        <w:t>erechos adquiridos de los antiguos porteadores contenidas y derivadas del artículo 323 del Código de Comercio. Por lo anterior su representada puede seguir prestando el servicio de manera prorrogada del permiso otorgado el cual puede revocarse siguiendo el</w:t>
      </w:r>
      <w:r>
        <w:rPr>
          <w:rFonts w:ascii="Verdana" w:hAnsi="Verdana" w:cs="Verdana"/>
          <w:sz w:val="23"/>
          <w:szCs w:val="23"/>
          <w:lang w:val="es-ES" w:eastAsia="es-ES"/>
        </w:rPr>
        <w:t xml:space="preserve"> Debido Proceso, cuando se corneta una falta que prevé el Transitorio I de la Ley 8955, pues no se está ante un permiso en precario y mantener la incorrecta tesitura de que todo lo que no sea otorgado por concesión es precario. No se trata de permisos a tí</w:t>
      </w:r>
      <w:r>
        <w:rPr>
          <w:rFonts w:ascii="Verdana" w:hAnsi="Verdana" w:cs="Verdana"/>
          <w:sz w:val="23"/>
          <w:szCs w:val="23"/>
          <w:lang w:val="es-ES" w:eastAsia="es-ES"/>
        </w:rPr>
        <w:t>tulo precario ya que la normativa actual dispone de causales de mecanismos y de procedimientos explícitos para la explotación y la cancelación de los respectivos permisos.</w:t>
      </w:r>
    </w:p>
    <w:p w:rsidR="00000000" w:rsidRDefault="003773B7">
      <w:pPr>
        <w:numPr>
          <w:ilvl w:val="0"/>
          <w:numId w:val="4"/>
        </w:numPr>
        <w:kinsoku w:val="0"/>
        <w:overflowPunct w:val="0"/>
        <w:autoSpaceDE/>
        <w:autoSpaceDN/>
        <w:adjustRightInd/>
        <w:spacing w:line="281" w:lineRule="exact"/>
        <w:ind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t>- El CTP con su actuación prohibida por la Ley misma, cree que con una actuaci</w:t>
      </w:r>
      <w:r>
        <w:rPr>
          <w:rFonts w:ascii="Verdana" w:hAnsi="Verdana" w:cs="Verdana"/>
          <w:sz w:val="23"/>
          <w:szCs w:val="23"/>
          <w:lang w:val="es-ES" w:eastAsia="es-ES"/>
        </w:rPr>
        <w:t>ón unilateral puede derogar para el caso concreto lo establecido en una Ley en clara violación de los artículos 121 inciso 1 y 129 de la Carta Magna, los que otorgan a la Asamblea Legislativa solamente tal potestad. No es cierto que las sociedades mercanti</w:t>
      </w:r>
      <w:r>
        <w:rPr>
          <w:rFonts w:ascii="Verdana" w:hAnsi="Verdana" w:cs="Verdana"/>
          <w:sz w:val="23"/>
          <w:szCs w:val="23"/>
          <w:lang w:val="es-ES" w:eastAsia="es-ES"/>
        </w:rPr>
        <w:t>les accionantes pretendan una permanencia ilegal de una condición de operación de un servicio público, que no esté previsto dentro del ordenamiento jurídico, lo único que pretenden es que se respete el texto claro y enfático de la ley 8955, la que estipula</w:t>
      </w:r>
      <w:r>
        <w:rPr>
          <w:rFonts w:ascii="Verdana" w:hAnsi="Verdana" w:cs="Verdana"/>
          <w:sz w:val="23"/>
          <w:szCs w:val="23"/>
          <w:lang w:val="es-ES" w:eastAsia="es-ES"/>
        </w:rPr>
        <w:t xml:space="preserve"> que los permisos SEETAXI son prorrogables.</w:t>
      </w:r>
    </w:p>
    <w:p w:rsidR="00000000" w:rsidRDefault="003773B7">
      <w:pPr>
        <w:numPr>
          <w:ilvl w:val="0"/>
          <w:numId w:val="5"/>
        </w:numPr>
        <w:kinsoku w:val="0"/>
        <w:overflowPunct w:val="0"/>
        <w:autoSpaceDE/>
        <w:autoSpaceDN/>
        <w:adjustRightInd/>
        <w:spacing w:before="34" w:after="609" w:line="284" w:lineRule="exact"/>
        <w:ind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t>- Si bien el CTP es el órgano legal de la Administración para el otorgamiento y asignación de permisos, en el caso de interés SEETAXI, no está habilitado para ejercitar estas potestades de manera arbitraria</w:t>
      </w:r>
      <w:r>
        <w:rPr>
          <w:rFonts w:ascii="Verdana" w:hAnsi="Verdana" w:cs="Verdana"/>
          <w:sz w:val="23"/>
          <w:szCs w:val="23"/>
          <w:lang w:val="es-ES" w:eastAsia="es-ES"/>
        </w:rPr>
        <w:t xml:space="preserve"> y antojadiza alejada de los linderos de la norma, no puede en consecuencia exigir requisitos que no estén contemplados en el texto de la norma. Igualmente, lo actuado por el CTP transgrede los mismos dictámenes de la Procuraduría General de la República e</w:t>
      </w:r>
      <w:r>
        <w:rPr>
          <w:rFonts w:ascii="Verdana" w:hAnsi="Verdana" w:cs="Verdana"/>
          <w:sz w:val="23"/>
          <w:szCs w:val="23"/>
          <w:lang w:val="es-ES" w:eastAsia="es-ES"/>
        </w:rPr>
        <w:t xml:space="preserve">n los que dice basarse, y el acto impugnado se vuelve más ilegal, toda vez que pasa por alto dichos informes, pues calla deliberadamente los aspectos en los cuales el órgano procurador se ha pronunciado respecto de la protección de los derechos adquiridos </w:t>
      </w:r>
      <w:r>
        <w:rPr>
          <w:rFonts w:ascii="Verdana" w:hAnsi="Verdana" w:cs="Verdana"/>
          <w:sz w:val="23"/>
          <w:szCs w:val="23"/>
          <w:lang w:val="es-ES" w:eastAsia="es-ES"/>
        </w:rPr>
        <w:t>por parte de los que se dedicaban al porteo.</w:t>
      </w:r>
    </w:p>
    <w:p w:rsidR="00000000" w:rsidRDefault="003773B7">
      <w:pPr>
        <w:widowControl/>
        <w:rPr>
          <w:sz w:val="24"/>
          <w:szCs w:val="24"/>
        </w:rPr>
        <w:sectPr w:rsidR="00000000">
          <w:pgSz w:w="12288" w:h="15706"/>
          <w:pgMar w:top="2100" w:right="1759" w:bottom="53" w:left="1648" w:header="720" w:footer="720" w:gutter="0"/>
          <w:cols w:space="720"/>
          <w:noEndnote/>
        </w:sectPr>
      </w:pPr>
    </w:p>
    <w:p w:rsidR="00000000" w:rsidRDefault="003773B7">
      <w:pPr>
        <w:widowControl/>
        <w:rPr>
          <w:sz w:val="24"/>
          <w:szCs w:val="24"/>
        </w:rPr>
        <w:sectPr w:rsidR="00000000">
          <w:type w:val="continuous"/>
          <w:pgSz w:w="12288" w:h="15706"/>
          <w:pgMar w:top="2100" w:right="1824" w:bottom="53" w:left="7224" w:header="720" w:footer="720" w:gutter="0"/>
          <w:cols w:space="720"/>
          <w:noEndnote/>
        </w:sectPr>
      </w:pPr>
    </w:p>
    <w:p w:rsidR="00000000" w:rsidRDefault="003773B7">
      <w:pPr>
        <w:kinsoku w:val="0"/>
        <w:overflowPunct w:val="0"/>
        <w:autoSpaceDE/>
        <w:autoSpaceDN/>
        <w:adjustRightInd/>
        <w:spacing w:line="281" w:lineRule="exact"/>
        <w:ind w:left="144"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 xml:space="preserve">h).- Retorna lo dicho por el Tribunal Contencioso Administrativo en su resolución número 2212-2015 de las 16 horas de 25 de agosto de 2015 en el </w:t>
      </w:r>
      <w:r>
        <w:rPr>
          <w:rFonts w:ascii="Verdana" w:hAnsi="Verdana" w:cs="Verdana"/>
          <w:sz w:val="23"/>
          <w:szCs w:val="23"/>
          <w:lang w:val="es-ES" w:eastAsia="es-ES"/>
        </w:rPr>
        <w:t>sentido de que el servicio SEETAXI, en nada afecta o restringe los derechos de los concesionarios de taxis rojos, ni afecta directa o indirectamente el régimen jurídico de los últimos, y que por ello no era posible acceder a la pretensión del CTP en el sen</w:t>
      </w:r>
      <w:r>
        <w:rPr>
          <w:rFonts w:ascii="Verdana" w:hAnsi="Verdana" w:cs="Verdana"/>
          <w:sz w:val="23"/>
          <w:szCs w:val="23"/>
          <w:lang w:val="es-ES" w:eastAsia="es-ES"/>
        </w:rPr>
        <w:t>tido de traer al proceso a la totalidad de concesionarios de taxi, pues los SEETAXI, no significan una competencia ilegitima para éstos. Como se ve en el presente caso el CTP ha dado en establecer una serie de requisitos exorbitantes y de criterios manifie</w:t>
      </w:r>
      <w:r>
        <w:rPr>
          <w:rFonts w:ascii="Verdana" w:hAnsi="Verdana" w:cs="Verdana"/>
          <w:sz w:val="23"/>
          <w:szCs w:val="23"/>
          <w:lang w:val="es-ES" w:eastAsia="es-ES"/>
        </w:rPr>
        <w:t>stamente ilegales para la prórroga del servicio SEETAXI que no vienen expresamente contemplados en la Legislación especial aplicable, algunos de esos requisitos y. consideraciones han sido expresamente desechados por la jurisdicción Contencioso Administrat</w:t>
      </w:r>
      <w:r>
        <w:rPr>
          <w:rFonts w:ascii="Verdana" w:hAnsi="Verdana" w:cs="Verdana"/>
          <w:sz w:val="23"/>
          <w:szCs w:val="23"/>
          <w:lang w:val="es-ES" w:eastAsia="es-ES"/>
        </w:rPr>
        <w:t>iva como es el hecho de que se altera el equilibrio financiero de los concesionarios de taxi.</w:t>
      </w:r>
    </w:p>
    <w:p w:rsidR="00000000" w:rsidRDefault="003773B7">
      <w:pPr>
        <w:kinsoku w:val="0"/>
        <w:overflowPunct w:val="0"/>
        <w:autoSpaceDE/>
        <w:autoSpaceDN/>
        <w:adjustRightInd/>
        <w:spacing w:before="17" w:line="283" w:lineRule="exact"/>
        <w:ind w:left="144"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t>i). - Con esas determinaciones se está creando una serie de puntuales y marcados daños en la esfera de sus intereses patrimoniales y se está</w:t>
      </w:r>
      <w:r>
        <w:rPr>
          <w:rFonts w:ascii="Verdana" w:hAnsi="Verdana" w:cs="Verdana"/>
          <w:sz w:val="23"/>
          <w:szCs w:val="23"/>
          <w:lang w:val="es-ES" w:eastAsia="es-ES"/>
        </w:rPr>
        <w:t xml:space="preserve"> dejando sin fuente de trabajo y de subsistencia a un amplio sector de la población y se violenta el Principio de Seguridad Jurídica.</w:t>
      </w:r>
    </w:p>
    <w:p w:rsidR="00000000" w:rsidRDefault="003773B7">
      <w:pPr>
        <w:numPr>
          <w:ilvl w:val="0"/>
          <w:numId w:val="6"/>
        </w:numPr>
        <w:kinsoku w:val="0"/>
        <w:overflowPunct w:val="0"/>
        <w:autoSpaceDE/>
        <w:autoSpaceDN/>
        <w:adjustRightInd/>
        <w:spacing w:before="6" w:line="283" w:lineRule="exact"/>
        <w:ind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t>Otro motivo de impugnación del acto es la falta de motivación del acto administrativo en contradicción del numeral</w:t>
      </w:r>
      <w:r>
        <w:rPr>
          <w:rFonts w:ascii="Verdana" w:hAnsi="Verdana" w:cs="Verdana"/>
          <w:sz w:val="23"/>
          <w:szCs w:val="23"/>
          <w:lang w:val="es-ES" w:eastAsia="es-ES"/>
        </w:rPr>
        <w:t xml:space="preserve"> 136 de la Ley General de la Administración Pública, pues el acuerdo del CTP debe mencionar de manera precisa cuáles son las normas que aplica para la renovación del permiso de SEETAXI, debe valorar con sumo cuidado la jurisprudencia en relación a la difer</w:t>
      </w:r>
      <w:r>
        <w:rPr>
          <w:rFonts w:ascii="Verdana" w:hAnsi="Verdana" w:cs="Verdana"/>
          <w:sz w:val="23"/>
          <w:szCs w:val="23"/>
          <w:lang w:val="es-ES" w:eastAsia="es-ES"/>
        </w:rPr>
        <w:t>encia entre un permiso precario y un permiso SEETAXI.</w:t>
      </w:r>
    </w:p>
    <w:p w:rsidR="00000000" w:rsidRPr="002F2A58" w:rsidRDefault="003773B7" w:rsidP="002F2A58">
      <w:pPr>
        <w:numPr>
          <w:ilvl w:val="0"/>
          <w:numId w:val="7"/>
        </w:numPr>
        <w:kinsoku w:val="0"/>
        <w:overflowPunct w:val="0"/>
        <w:autoSpaceDE/>
        <w:autoSpaceDN/>
        <w:adjustRightInd/>
        <w:spacing w:before="42" w:after="902" w:line="283" w:lineRule="exact"/>
        <w:ind w:right="144"/>
        <w:jc w:val="both"/>
        <w:textAlignment w:val="baseline"/>
        <w:rPr>
          <w:rFonts w:ascii="Verdana" w:hAnsi="Verdana" w:cs="Verdana"/>
          <w:sz w:val="23"/>
          <w:szCs w:val="23"/>
          <w:lang w:val="es-ES" w:eastAsia="es-ES"/>
        </w:rPr>
      </w:pPr>
      <w:r w:rsidRPr="002F2A58">
        <w:rPr>
          <w:rFonts w:ascii="Verdana" w:hAnsi="Verdana" w:cs="Verdana"/>
          <w:spacing w:val="-3"/>
          <w:sz w:val="23"/>
          <w:szCs w:val="23"/>
          <w:lang w:val="es-ES" w:eastAsia="es-ES"/>
        </w:rPr>
        <w:t>No fue analizada toda la situación jurídica esbozada por su representada al momento de formular la solicitud para la renovación o prórroga del servicio autorizado, no fue analizada de forma ínte</w:t>
      </w:r>
      <w:r w:rsidRPr="002F2A58">
        <w:rPr>
          <w:rFonts w:ascii="Verdana" w:hAnsi="Verdana" w:cs="Verdana"/>
          <w:spacing w:val="-3"/>
          <w:sz w:val="23"/>
          <w:szCs w:val="23"/>
          <w:lang w:val="es-ES" w:eastAsia="es-ES"/>
        </w:rPr>
        <w:t>gra y puntal por la Junta Directiva del CTP, lo único que realiza es una indicación somera y lacónica en el sentido del rechazo de sus solicitudes, y hace una remisión marginal al contenido del oficio de la Dirección Jurídica, el cual indica que como no co</w:t>
      </w:r>
      <w:r w:rsidRPr="002F2A58">
        <w:rPr>
          <w:rFonts w:ascii="Verdana" w:hAnsi="Verdana" w:cs="Verdana"/>
          <w:spacing w:val="-3"/>
          <w:sz w:val="23"/>
          <w:szCs w:val="23"/>
          <w:lang w:val="es-ES" w:eastAsia="es-ES"/>
        </w:rPr>
        <w:t>ncretaron las cantidades de placas de taxi por renovar, debía rechazárseles los permisos para todas las unidades. Con lo dicho se obvia el mandato jurídico que impone que los actos que supriman derechos subjetivos, deben ser hartamente motivados tanto a</w:t>
      </w:r>
      <w:r w:rsidR="002F2A58" w:rsidRPr="002F2A58">
        <w:rPr>
          <w:rFonts w:ascii="Verdana" w:hAnsi="Verdana" w:cs="Verdana"/>
          <w:spacing w:val="-3"/>
          <w:sz w:val="23"/>
          <w:szCs w:val="23"/>
          <w:lang w:val="es-ES" w:eastAsia="es-ES"/>
        </w:rPr>
        <w:t xml:space="preserve"> </w:t>
      </w:r>
      <w:r w:rsidRPr="002F2A58">
        <w:rPr>
          <w:rFonts w:ascii="Verdana" w:hAnsi="Verdana" w:cs="Verdana"/>
          <w:sz w:val="23"/>
          <w:szCs w:val="23"/>
          <w:lang w:val="es-ES" w:eastAsia="es-ES"/>
        </w:rPr>
        <w:t>ni</w:t>
      </w:r>
      <w:r w:rsidR="002F2A58">
        <w:rPr>
          <w:rFonts w:ascii="Verdana" w:hAnsi="Verdana" w:cs="Verdana"/>
          <w:sz w:val="23"/>
          <w:szCs w:val="23"/>
          <w:lang w:val="es-ES" w:eastAsia="es-ES"/>
        </w:rPr>
        <w:t xml:space="preserve">vel fáctico como jurídico. </w:t>
      </w:r>
      <w:r w:rsidRPr="002F2A58">
        <w:rPr>
          <w:rFonts w:ascii="Verdana" w:hAnsi="Verdana" w:cs="Verdana"/>
          <w:sz w:val="23"/>
          <w:szCs w:val="23"/>
          <w:lang w:val="es-ES" w:eastAsia="es-ES"/>
        </w:rPr>
        <w:t>El denegatorio total de los permisos</w:t>
      </w:r>
      <w:r w:rsidR="002F2A58">
        <w:rPr>
          <w:rFonts w:ascii="Verdana" w:hAnsi="Verdana" w:cs="Verdana"/>
          <w:sz w:val="23"/>
          <w:szCs w:val="23"/>
          <w:lang w:val="es-ES" w:eastAsia="es-ES"/>
        </w:rPr>
        <w:t xml:space="preserve"> </w:t>
      </w:r>
      <w:r w:rsidRPr="002F2A58">
        <w:rPr>
          <w:rFonts w:ascii="Verdana" w:hAnsi="Verdana" w:cs="Verdana"/>
          <w:sz w:val="23"/>
          <w:szCs w:val="23"/>
          <w:lang w:val="es-ES" w:eastAsia="es-ES"/>
        </w:rPr>
        <w:t>transgrede una competencia que es exclusiva de la Asamblea legislativa quien solo podría determinar una modificación a los transitorios de la Ley 8955. Es absolutamente impropio e inválido que</w:t>
      </w:r>
      <w:r w:rsidRPr="002F2A58">
        <w:rPr>
          <w:rFonts w:ascii="Verdana" w:hAnsi="Verdana" w:cs="Verdana"/>
          <w:sz w:val="23"/>
          <w:szCs w:val="23"/>
          <w:lang w:val="es-ES" w:eastAsia="es-ES"/>
        </w:rPr>
        <w:t xml:space="preserve"> venga ahora una autoridad administrativa a querer saltarse el texto de la Ley y mediante resoluciones ayunas de fundamento implementar una serie de requisitos y de consideraciones que no se desprenden de la misma Ley. En tal sentido el acto impugnado queb</w:t>
      </w:r>
      <w:r w:rsidRPr="002F2A58">
        <w:rPr>
          <w:rFonts w:ascii="Verdana" w:hAnsi="Verdana" w:cs="Verdana"/>
          <w:sz w:val="23"/>
          <w:szCs w:val="23"/>
          <w:lang w:val="es-ES" w:eastAsia="es-ES"/>
        </w:rPr>
        <w:t>ranta flagrantemente la Ley.</w:t>
      </w:r>
    </w:p>
    <w:p w:rsidR="00000000" w:rsidRDefault="003773B7">
      <w:pPr>
        <w:widowControl/>
        <w:rPr>
          <w:sz w:val="24"/>
          <w:szCs w:val="24"/>
        </w:rPr>
        <w:sectPr w:rsidR="00000000">
          <w:pgSz w:w="12288" w:h="15706"/>
          <w:pgMar w:top="1980" w:right="1843" w:bottom="143" w:left="1564" w:header="720" w:footer="720" w:gutter="0"/>
          <w:cols w:space="720"/>
          <w:noEndnote/>
        </w:sectPr>
      </w:pPr>
    </w:p>
    <w:p w:rsidR="00000000" w:rsidRDefault="003773B7">
      <w:pPr>
        <w:tabs>
          <w:tab w:val="right" w:pos="3168"/>
        </w:tabs>
        <w:kinsoku w:val="0"/>
        <w:overflowPunct w:val="0"/>
        <w:autoSpaceDE/>
        <w:autoSpaceDN/>
        <w:adjustRightInd/>
        <w:spacing w:line="227" w:lineRule="exact"/>
        <w:ind w:left="72"/>
        <w:textAlignment w:val="baseline"/>
        <w:rPr>
          <w:rFonts w:ascii="Verdana" w:hAnsi="Verdana" w:cs="Verdana"/>
          <w:lang w:val="es-ES" w:eastAsia="es-ES"/>
        </w:rPr>
      </w:pPr>
      <w:r>
        <w:rPr>
          <w:sz w:val="19"/>
          <w:szCs w:val="19"/>
          <w:lang w:val="es-ES" w:eastAsia="es-ES"/>
        </w:rPr>
        <w:tab/>
      </w:r>
    </w:p>
    <w:p w:rsidR="00000000" w:rsidRDefault="003773B7">
      <w:pPr>
        <w:widowControl/>
        <w:rPr>
          <w:sz w:val="24"/>
          <w:szCs w:val="24"/>
        </w:rPr>
        <w:sectPr w:rsidR="00000000">
          <w:type w:val="continuous"/>
          <w:pgSz w:w="12288" w:h="15706"/>
          <w:pgMar w:top="1980" w:right="1889" w:bottom="143" w:left="7159" w:header="720" w:footer="720" w:gutter="0"/>
          <w:cols w:space="720"/>
          <w:noEndnote/>
        </w:sectPr>
      </w:pPr>
    </w:p>
    <w:p w:rsidR="00000000" w:rsidRDefault="002F2A58">
      <w:pPr>
        <w:kinsoku w:val="0"/>
        <w:overflowPunct w:val="0"/>
        <w:autoSpaceDE/>
        <w:autoSpaceDN/>
        <w:adjustRightInd/>
        <w:spacing w:before="52" w:line="281" w:lineRule="exact"/>
        <w:ind w:left="144" w:right="144"/>
        <w:jc w:val="both"/>
        <w:textAlignment w:val="baseline"/>
        <w:rPr>
          <w:rFonts w:ascii="Verdana" w:hAnsi="Verdana" w:cs="Verdana"/>
          <w:spacing w:val="-2"/>
          <w:sz w:val="23"/>
          <w:szCs w:val="23"/>
          <w:lang w:val="es-ES" w:eastAsia="es-ES"/>
        </w:rPr>
      </w:pPr>
      <w:r>
        <w:rPr>
          <w:rFonts w:ascii="Verdana" w:hAnsi="Verdana" w:cs="Verdana"/>
          <w:spacing w:val="-2"/>
          <w:sz w:val="23"/>
          <w:szCs w:val="23"/>
          <w:lang w:val="es-ES" w:eastAsia="es-ES"/>
        </w:rPr>
        <w:lastRenderedPageBreak/>
        <w:t>l</w:t>
      </w:r>
      <w:r w:rsidR="003773B7">
        <w:rPr>
          <w:rFonts w:ascii="Verdana" w:hAnsi="Verdana" w:cs="Verdana"/>
          <w:spacing w:val="-2"/>
          <w:sz w:val="23"/>
          <w:szCs w:val="23"/>
          <w:lang w:val="es-ES" w:eastAsia="es-ES"/>
        </w:rPr>
        <w:t>).- La falta de Motivación del acto es más grande aún, cuando en la prá</w:t>
      </w:r>
      <w:r w:rsidR="003773B7">
        <w:rPr>
          <w:rFonts w:ascii="Verdana" w:hAnsi="Verdana" w:cs="Verdana"/>
          <w:spacing w:val="-2"/>
          <w:sz w:val="23"/>
          <w:szCs w:val="23"/>
          <w:lang w:val="es-ES" w:eastAsia="es-ES"/>
        </w:rPr>
        <w:t xml:space="preserve">ctica se les achaca el incumplimiento de una serie de requisitos que no contempla la Ley 8955, en esa norma no se prevé la obligación del potencial permisionario de SEETAXI </w:t>
      </w:r>
      <w:r w:rsidR="003773B7">
        <w:rPr>
          <w:rFonts w:ascii="Verdana" w:hAnsi="Verdana" w:cs="Verdana"/>
          <w:b/>
          <w:bCs/>
          <w:spacing w:val="-2"/>
          <w:sz w:val="23"/>
          <w:szCs w:val="23"/>
          <w:lang w:val="es-ES" w:eastAsia="es-ES"/>
        </w:rPr>
        <w:t xml:space="preserve">de acreditar los documentos de la revisión técnica vehicular de cada automotor, ni </w:t>
      </w:r>
      <w:r w:rsidR="003773B7">
        <w:rPr>
          <w:rFonts w:ascii="Verdana" w:hAnsi="Verdana" w:cs="Verdana"/>
          <w:b/>
          <w:bCs/>
          <w:spacing w:val="-2"/>
          <w:sz w:val="23"/>
          <w:szCs w:val="23"/>
          <w:lang w:val="es-ES" w:eastAsia="es-ES"/>
        </w:rPr>
        <w:t xml:space="preserve">de los derechos de circulación, documentos de titularidad y contratos originales firmados por cada uno de los afiliados a la empresa, </w:t>
      </w:r>
      <w:r w:rsidR="003773B7">
        <w:rPr>
          <w:rFonts w:ascii="Verdana" w:hAnsi="Verdana" w:cs="Verdana"/>
          <w:spacing w:val="-2"/>
          <w:sz w:val="23"/>
          <w:szCs w:val="23"/>
          <w:lang w:val="es-ES" w:eastAsia="es-ES"/>
        </w:rPr>
        <w:t>dichos requisitos, no se encuentran en los transitorios de la Ley 8955, no pueden ser tomados en cuenta para el rechazo de</w:t>
      </w:r>
      <w:r w:rsidR="003773B7">
        <w:rPr>
          <w:rFonts w:ascii="Verdana" w:hAnsi="Verdana" w:cs="Verdana"/>
          <w:spacing w:val="-2"/>
          <w:sz w:val="23"/>
          <w:szCs w:val="23"/>
          <w:lang w:val="es-ES" w:eastAsia="es-ES"/>
        </w:rPr>
        <w:t xml:space="preserve"> sus pretensiones, además esos requisitos se deben de presentar cada seis meses ante el CTP como parte de las gestiones de cambio de cada una de las unidades y renovación de los códigos, por lo que es impropio venir a exigirlos cuando la mayoría de requisi</w:t>
      </w:r>
      <w:r w:rsidR="003773B7">
        <w:rPr>
          <w:rFonts w:ascii="Verdana" w:hAnsi="Verdana" w:cs="Verdana"/>
          <w:spacing w:val="-2"/>
          <w:sz w:val="23"/>
          <w:szCs w:val="23"/>
          <w:lang w:val="es-ES" w:eastAsia="es-ES"/>
        </w:rPr>
        <w:t>tos obran en poder del CTP, pues se violenta la Ley 8220.</w:t>
      </w:r>
    </w:p>
    <w:p w:rsidR="00000000" w:rsidRDefault="003773B7">
      <w:pPr>
        <w:kinsoku w:val="0"/>
        <w:overflowPunct w:val="0"/>
        <w:autoSpaceDE/>
        <w:autoSpaceDN/>
        <w:adjustRightInd/>
        <w:spacing w:line="281" w:lineRule="exact"/>
        <w:ind w:left="144"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t>II). - La materialidad de los Transitorios I, II y III de la Ley 8955 fue establecida de tal manera que quienes a la fecha de la publicación de esta normativa venían operando al amparo del Có</w:t>
      </w:r>
      <w:r>
        <w:rPr>
          <w:rFonts w:ascii="Verdana" w:hAnsi="Verdana" w:cs="Verdana"/>
          <w:sz w:val="23"/>
          <w:szCs w:val="23"/>
          <w:lang w:val="es-ES" w:eastAsia="es-ES"/>
        </w:rPr>
        <w:t>digo de Comercio, asegurarían a futuro su posibilidad de seguir brindando el servicio y de seguir ejerciendo la actividad, solo que ya no como porteadores sino como operadores de SEETAXI.</w:t>
      </w:r>
    </w:p>
    <w:p w:rsidR="00000000" w:rsidRDefault="003773B7">
      <w:pPr>
        <w:kinsoku w:val="0"/>
        <w:overflowPunct w:val="0"/>
        <w:autoSpaceDE/>
        <w:autoSpaceDN/>
        <w:adjustRightInd/>
        <w:spacing w:before="6" w:line="283" w:lineRule="exact"/>
        <w:ind w:left="144" w:right="144"/>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 xml:space="preserve">m). - Los alcances de la Ley 8955 son claros y sencillos, el CTP se </w:t>
      </w:r>
      <w:r>
        <w:rPr>
          <w:rFonts w:ascii="Verdana" w:hAnsi="Verdana" w:cs="Verdana"/>
          <w:spacing w:val="-1"/>
          <w:sz w:val="23"/>
          <w:szCs w:val="23"/>
          <w:lang w:val="es-ES" w:eastAsia="es-ES"/>
        </w:rPr>
        <w:t>ha encargado de crear una nebulosa en torno a los mismos, tergiversando su verdadero sentido, pues la Ley determinó a través de las disposiciones transitorias que las personas que en aquel momento ejercieran la actividad del porteo y se les otorgara el per</w:t>
      </w:r>
      <w:r>
        <w:rPr>
          <w:rFonts w:ascii="Verdana" w:hAnsi="Verdana" w:cs="Verdana"/>
          <w:spacing w:val="-1"/>
          <w:sz w:val="23"/>
          <w:szCs w:val="23"/>
          <w:lang w:val="es-ES" w:eastAsia="es-ES"/>
        </w:rPr>
        <w:t>miso podrían ejercer el mismo por periodos de tres años prorrogables indefinidamente.</w:t>
      </w:r>
    </w:p>
    <w:p w:rsidR="00000000" w:rsidRDefault="003773B7">
      <w:pPr>
        <w:kinsoku w:val="0"/>
        <w:overflowPunct w:val="0"/>
        <w:autoSpaceDE/>
        <w:autoSpaceDN/>
        <w:adjustRightInd/>
        <w:spacing w:before="9" w:after="911" w:line="283" w:lineRule="exact"/>
        <w:ind w:left="144"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t>n).- La resolución impugnada es omisa también en su fundamentación y motivación a la hora de determinar en cuales criterios se basa para definir que la limitación del 30%</w:t>
      </w:r>
      <w:r>
        <w:rPr>
          <w:rFonts w:ascii="Verdana" w:hAnsi="Verdana" w:cs="Verdana"/>
          <w:sz w:val="23"/>
          <w:szCs w:val="23"/>
          <w:lang w:val="es-ES" w:eastAsia="es-ES"/>
        </w:rPr>
        <w:t xml:space="preserve"> que aplicara, debe realizarse sobre la base de operación de taxi rojo y no a nivel nacional como explica el Transitorio II inciso c de la Ley 8955; en ninguna parte la Ley 8955 establece la renovación de los permisos de SEETAXI, utilizando el 30% de las c</w:t>
      </w:r>
      <w:r>
        <w:rPr>
          <w:rFonts w:ascii="Verdana" w:hAnsi="Verdana" w:cs="Verdana"/>
          <w:sz w:val="23"/>
          <w:szCs w:val="23"/>
          <w:lang w:val="es-ES" w:eastAsia="es-ES"/>
        </w:rPr>
        <w:t>oncesiones por base de operación de los taxis rojos, sino más bien la norma contenida en los artículos 2 y 29 de la Ley 7969 la que autoriza al CTP a otorgar el 3% de operación por bases de taxi rojos, pero sólo para los permisos de SEETAXI que se establez</w:t>
      </w:r>
      <w:r>
        <w:rPr>
          <w:rFonts w:ascii="Verdana" w:hAnsi="Verdana" w:cs="Verdana"/>
          <w:sz w:val="23"/>
          <w:szCs w:val="23"/>
          <w:lang w:val="es-ES" w:eastAsia="es-ES"/>
        </w:rPr>
        <w:t>can a futuro, es decir, cuyo supuesto de hecho generador del derecho respectivo, se configuren con posterioridad a la emisión y promulgación de la ley 8955. Lo establecido en el artículo 2 inciso h de la reforma al artículo 29 de la Ley 7969, dictaminada p</w:t>
      </w:r>
      <w:r>
        <w:rPr>
          <w:rFonts w:ascii="Verdana" w:hAnsi="Verdana" w:cs="Verdana"/>
          <w:sz w:val="23"/>
          <w:szCs w:val="23"/>
          <w:lang w:val="es-ES" w:eastAsia="es-ES"/>
        </w:rPr>
        <w:t>or el artículo primero de la Ley 8969, y que deja sentado el porcentaje del 3%, lo es solamente para quienes pretendan esta clase de derechos con posterioridad a la promulgación de la Ley de trato y no para quienes ya disfrutaban de una serie de derechos a</w:t>
      </w:r>
      <w:r>
        <w:rPr>
          <w:rFonts w:ascii="Verdana" w:hAnsi="Verdana" w:cs="Verdana"/>
          <w:sz w:val="23"/>
          <w:szCs w:val="23"/>
          <w:lang w:val="es-ES" w:eastAsia="es-ES"/>
        </w:rPr>
        <w:t>dquiridos, es decir no es aplicable a los ya acreditados.</w:t>
      </w:r>
    </w:p>
    <w:p w:rsidR="00000000" w:rsidRDefault="003773B7">
      <w:pPr>
        <w:widowControl/>
        <w:rPr>
          <w:sz w:val="24"/>
          <w:szCs w:val="24"/>
        </w:rPr>
        <w:sectPr w:rsidR="00000000">
          <w:pgSz w:w="12298" w:h="15686"/>
          <w:pgMar w:top="2100" w:right="1795" w:bottom="43" w:left="1622" w:header="720" w:footer="720" w:gutter="0"/>
          <w:cols w:space="720"/>
          <w:noEndnote/>
        </w:sectPr>
      </w:pPr>
    </w:p>
    <w:p w:rsidR="00000000" w:rsidRDefault="003773B7">
      <w:pPr>
        <w:tabs>
          <w:tab w:val="right" w:pos="3168"/>
        </w:tabs>
        <w:kinsoku w:val="0"/>
        <w:overflowPunct w:val="0"/>
        <w:autoSpaceDE/>
        <w:autoSpaceDN/>
        <w:adjustRightInd/>
        <w:spacing w:line="263" w:lineRule="exact"/>
        <w:ind w:left="72"/>
        <w:textAlignment w:val="baseline"/>
        <w:rPr>
          <w:rFonts w:ascii="Verdana" w:hAnsi="Verdana" w:cs="Verdana"/>
          <w:sz w:val="23"/>
          <w:szCs w:val="23"/>
          <w:lang w:val="es-ES" w:eastAsia="es-ES"/>
        </w:rPr>
      </w:pPr>
      <w:r>
        <w:rPr>
          <w:lang w:val="es-ES" w:eastAsia="es-ES"/>
        </w:rPr>
        <w:tab/>
      </w:r>
    </w:p>
    <w:p w:rsidR="00000000" w:rsidRDefault="003773B7">
      <w:pPr>
        <w:widowControl/>
        <w:rPr>
          <w:sz w:val="24"/>
          <w:szCs w:val="24"/>
        </w:rPr>
        <w:sectPr w:rsidR="00000000">
          <w:type w:val="continuous"/>
          <w:pgSz w:w="12298" w:h="15686"/>
          <w:pgMar w:top="2100" w:right="1870" w:bottom="43" w:left="7188" w:header="720" w:footer="720" w:gutter="0"/>
          <w:cols w:space="720"/>
          <w:noEndnote/>
        </w:sectPr>
      </w:pPr>
    </w:p>
    <w:p w:rsidR="00000000" w:rsidRDefault="003773B7">
      <w:pPr>
        <w:kinsoku w:val="0"/>
        <w:overflowPunct w:val="0"/>
        <w:autoSpaceDE/>
        <w:autoSpaceDN/>
        <w:adjustRightInd/>
        <w:spacing w:before="45" w:line="280" w:lineRule="exact"/>
        <w:ind w:left="144" w:right="144"/>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lastRenderedPageBreak/>
        <w:t xml:space="preserve">o).- Según los últimos regiones del párrafo tercero de folio seis del oficio 2015002821 de la Dirección Jurídica se indica </w:t>
      </w:r>
      <w:r>
        <w:rPr>
          <w:rFonts w:ascii="Verdana" w:hAnsi="Verdana" w:cs="Verdana"/>
          <w:i/>
          <w:iCs/>
          <w:spacing w:val="-1"/>
          <w:sz w:val="23"/>
          <w:szCs w:val="23"/>
          <w:lang w:val="es-ES" w:eastAsia="es-ES"/>
        </w:rPr>
        <w:t>"La empre</w:t>
      </w:r>
      <w:r>
        <w:rPr>
          <w:rFonts w:ascii="Verdana" w:hAnsi="Verdana" w:cs="Verdana"/>
          <w:i/>
          <w:iCs/>
          <w:spacing w:val="-1"/>
          <w:sz w:val="23"/>
          <w:szCs w:val="23"/>
          <w:lang w:val="es-ES" w:eastAsia="es-ES"/>
        </w:rPr>
        <w:t xml:space="preserve">sa tampoco detalló los números de las placas de los vehículos que amparan la prórroga del permiso Seetaxi, ni los documentos atinentes a ; revisión técnica vehicular, derecho de circulación, documento de titularidad, contrato con la empresa y documento de </w:t>
      </w:r>
      <w:r>
        <w:rPr>
          <w:rFonts w:ascii="Verdana" w:hAnsi="Verdana" w:cs="Verdana"/>
          <w:i/>
          <w:iCs/>
          <w:spacing w:val="-1"/>
          <w:sz w:val="23"/>
          <w:szCs w:val="23"/>
          <w:lang w:val="es-ES" w:eastAsia="es-ES"/>
        </w:rPr>
        <w:t xml:space="preserve">póliza.' </w:t>
      </w:r>
      <w:r>
        <w:rPr>
          <w:rFonts w:ascii="Verdana" w:hAnsi="Verdana" w:cs="Verdana"/>
          <w:spacing w:val="-1"/>
          <w:sz w:val="23"/>
          <w:szCs w:val="23"/>
          <w:lang w:val="es-ES" w:eastAsia="es-ES"/>
        </w:rPr>
        <w:t xml:space="preserve">No obstante, en julio de 2011, su representada en acatamiento de las estipulaciones del Transitorio I de la Ley 8955, acudió ante el CTP y acreditó, tanto los requisitos empresariales como los requisitos de las unidades de transporte a efecto, en </w:t>
      </w:r>
      <w:r>
        <w:rPr>
          <w:rFonts w:ascii="Verdana" w:hAnsi="Verdana" w:cs="Verdana"/>
          <w:spacing w:val="-1"/>
          <w:sz w:val="23"/>
          <w:szCs w:val="23"/>
          <w:lang w:val="es-ES" w:eastAsia="es-ES"/>
        </w:rPr>
        <w:t xml:space="preserve">el primer caso para que se le otorgara un permiso de SEETAXI, habiéndole sido acreditado el permiso número 42 en sedanes. De acuerdo a lo anterior habiendo sido autorizada la empresa al cumplir con los requisitos, modifica el concepto de afiliado para los </w:t>
      </w:r>
      <w:r>
        <w:rPr>
          <w:rFonts w:ascii="Verdana" w:hAnsi="Verdana" w:cs="Verdana"/>
          <w:spacing w:val="-1"/>
          <w:sz w:val="23"/>
          <w:szCs w:val="23"/>
          <w:lang w:val="es-ES" w:eastAsia="es-ES"/>
        </w:rPr>
        <w:t>vehículos que operan y procede a realizar con estos un contrato denominado, "CONTRATO DE FRANQUICIA", mismo que genera obligaciones contractuales para las partes, incluyendo para estos efectos, la responsabilidad civil de su representada. Al tomar la Junta</w:t>
      </w:r>
      <w:r>
        <w:rPr>
          <w:rFonts w:ascii="Verdana" w:hAnsi="Verdana" w:cs="Verdana"/>
          <w:spacing w:val="-1"/>
          <w:sz w:val="23"/>
          <w:szCs w:val="23"/>
          <w:lang w:val="es-ES" w:eastAsia="es-ES"/>
        </w:rPr>
        <w:t xml:space="preserve"> Directiva un acuerdo arbitrario para aplicar de manera antijurídica el porcentaje de SEETAXI, a nivel nacional y lo reduce por base de operaciones, le carga a su representada responsabilidades que no le competen ya que la decisión de eliminar muchos de el</w:t>
      </w:r>
      <w:r>
        <w:rPr>
          <w:rFonts w:ascii="Verdana" w:hAnsi="Verdana" w:cs="Verdana"/>
          <w:spacing w:val="-1"/>
          <w:sz w:val="23"/>
          <w:szCs w:val="23"/>
          <w:lang w:val="es-ES" w:eastAsia="es-ES"/>
        </w:rPr>
        <w:t>los no es de la empresa que representa.</w:t>
      </w:r>
    </w:p>
    <w:p w:rsidR="00000000" w:rsidRDefault="003773B7">
      <w:pPr>
        <w:numPr>
          <w:ilvl w:val="0"/>
          <w:numId w:val="8"/>
        </w:numPr>
        <w:kinsoku w:val="0"/>
        <w:overflowPunct w:val="0"/>
        <w:autoSpaceDE/>
        <w:autoSpaceDN/>
        <w:adjustRightInd/>
        <w:spacing w:line="279" w:lineRule="exact"/>
        <w:ind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 Se violenta el Principio de Legalidad y de acuerdo con los numerales 11, 154 y 170 de la Ley General de la Administración Pública, cualquier acto que limite o deniegue derechos adquiridos debe cumplir con el </w:t>
      </w:r>
      <w:r>
        <w:rPr>
          <w:rFonts w:ascii="Verdana" w:hAnsi="Verdana" w:cs="Verdana"/>
          <w:sz w:val="23"/>
          <w:szCs w:val="23"/>
          <w:lang w:val="es-ES" w:eastAsia="es-ES"/>
        </w:rPr>
        <w:t>debido proceso. No puede el CTP alegar discrecionalidad para con el acuerdo, ya que la materia está debidamente reglada en los transitorios de la Ley 8955 la que establece con claridad las causales para la pérdida de los códigos.</w:t>
      </w:r>
    </w:p>
    <w:p w:rsidR="00000000" w:rsidRPr="003853B7" w:rsidRDefault="003773B7" w:rsidP="003853B7">
      <w:pPr>
        <w:numPr>
          <w:ilvl w:val="0"/>
          <w:numId w:val="8"/>
        </w:numPr>
        <w:kinsoku w:val="0"/>
        <w:overflowPunct w:val="0"/>
        <w:autoSpaceDE/>
        <w:autoSpaceDN/>
        <w:adjustRightInd/>
        <w:spacing w:before="25" w:line="283" w:lineRule="exact"/>
        <w:ind w:right="144"/>
        <w:jc w:val="both"/>
        <w:textAlignment w:val="baseline"/>
        <w:rPr>
          <w:rFonts w:ascii="Verdana" w:hAnsi="Verdana" w:cs="Verdana"/>
          <w:sz w:val="23"/>
          <w:szCs w:val="23"/>
          <w:lang w:val="es-ES" w:eastAsia="es-ES"/>
        </w:rPr>
      </w:pPr>
      <w:r w:rsidRPr="003853B7">
        <w:rPr>
          <w:rFonts w:ascii="Verdana" w:hAnsi="Verdana" w:cs="Verdana"/>
          <w:spacing w:val="-3"/>
          <w:sz w:val="23"/>
          <w:szCs w:val="23"/>
          <w:lang w:val="es-ES" w:eastAsia="es-ES"/>
        </w:rPr>
        <w:t>- Resulta relevante indicar que su representada procedió en febrero del presente año a renovar todos los documentos de todas y cada una de las unidades de transporte acreditas, en razón de la renovación de los códigos adscritos al permiso número 54, mismos</w:t>
      </w:r>
      <w:r w:rsidRPr="003853B7">
        <w:rPr>
          <w:rFonts w:ascii="Verdana" w:hAnsi="Verdana" w:cs="Verdana"/>
          <w:spacing w:val="-3"/>
          <w:sz w:val="23"/>
          <w:szCs w:val="23"/>
          <w:lang w:val="es-ES" w:eastAsia="es-ES"/>
        </w:rPr>
        <w:t xml:space="preserve"> que fueron renovados por acuerdo del CTP hasta febrero de 2016 y cuentan con el canon cancelado al 31 de diciembre de 2015 y no se tiene noticia de otro acuerdo</w:t>
      </w:r>
      <w:r w:rsidR="003853B7" w:rsidRPr="003853B7">
        <w:rPr>
          <w:rFonts w:ascii="Verdana" w:hAnsi="Verdana" w:cs="Verdana"/>
          <w:spacing w:val="-3"/>
          <w:sz w:val="23"/>
          <w:szCs w:val="23"/>
          <w:lang w:val="es-ES" w:eastAsia="es-ES"/>
        </w:rPr>
        <w:t xml:space="preserve"> </w:t>
      </w:r>
      <w:r w:rsidRPr="003853B7">
        <w:rPr>
          <w:rFonts w:ascii="Verdana" w:hAnsi="Verdana" w:cs="Verdana"/>
          <w:sz w:val="23"/>
          <w:szCs w:val="23"/>
          <w:lang w:val="es-ES" w:eastAsia="es-ES"/>
        </w:rPr>
        <w:t>que derogara dicho acto.</w:t>
      </w:r>
      <w:r w:rsidRPr="003853B7">
        <w:rPr>
          <w:rFonts w:ascii="Verdana" w:hAnsi="Verdana" w:cs="Verdana"/>
          <w:sz w:val="23"/>
          <w:szCs w:val="23"/>
          <w:lang w:val="es-ES" w:eastAsia="es-ES"/>
        </w:rPr>
        <w:tab/>
      </w:r>
      <w:r w:rsidR="003853B7">
        <w:rPr>
          <w:rFonts w:ascii="Verdana" w:hAnsi="Verdana" w:cs="Verdana"/>
          <w:sz w:val="23"/>
          <w:szCs w:val="23"/>
          <w:lang w:val="es-ES" w:eastAsia="es-ES"/>
        </w:rPr>
        <w:t xml:space="preserve"> </w:t>
      </w:r>
      <w:r w:rsidRPr="003853B7">
        <w:rPr>
          <w:rFonts w:ascii="Verdana" w:hAnsi="Verdana" w:cs="Verdana"/>
          <w:sz w:val="23"/>
          <w:szCs w:val="23"/>
          <w:lang w:val="es-ES" w:eastAsia="es-ES"/>
        </w:rPr>
        <w:t>Siendo el CTP el que toma el acuerdo de</w:t>
      </w:r>
      <w:r w:rsidR="003853B7">
        <w:rPr>
          <w:rFonts w:ascii="Verdana" w:hAnsi="Verdana" w:cs="Verdana"/>
          <w:sz w:val="23"/>
          <w:szCs w:val="23"/>
          <w:lang w:val="es-ES" w:eastAsia="es-ES"/>
        </w:rPr>
        <w:t xml:space="preserve"> </w:t>
      </w:r>
      <w:r w:rsidRPr="003853B7">
        <w:rPr>
          <w:rFonts w:ascii="Verdana" w:hAnsi="Verdana" w:cs="Verdana"/>
          <w:sz w:val="23"/>
          <w:szCs w:val="23"/>
          <w:lang w:val="es-ES" w:eastAsia="es-ES"/>
        </w:rPr>
        <w:t>disminuir el número de permis</w:t>
      </w:r>
      <w:r w:rsidRPr="003853B7">
        <w:rPr>
          <w:rFonts w:ascii="Verdana" w:hAnsi="Verdana" w:cs="Verdana"/>
          <w:sz w:val="23"/>
          <w:szCs w:val="23"/>
          <w:lang w:val="es-ES" w:eastAsia="es-ES"/>
        </w:rPr>
        <w:t>os es a esta entidad la que le corresponde determinar cuáles son las placas a las que le procede renovar el código adscrito al permiso respectivo y motivar y fundamentar adecuadamente y en el mismo acto el procedimiento utilizado para tal determinación, pu</w:t>
      </w:r>
      <w:r w:rsidRPr="003853B7">
        <w:rPr>
          <w:rFonts w:ascii="Verdana" w:hAnsi="Verdana" w:cs="Verdana"/>
          <w:sz w:val="23"/>
          <w:szCs w:val="23"/>
          <w:lang w:val="es-ES" w:eastAsia="es-ES"/>
        </w:rPr>
        <w:t>es todas cumplen a la fecha con todos los requisitos exigidos en el transitorio correspondiente y su representada no tiene obligación legal de asumir responsabilidades civiles.</w:t>
      </w:r>
    </w:p>
    <w:p w:rsidR="00000000" w:rsidRDefault="003773B7">
      <w:pPr>
        <w:numPr>
          <w:ilvl w:val="0"/>
          <w:numId w:val="8"/>
        </w:numPr>
        <w:kinsoku w:val="0"/>
        <w:overflowPunct w:val="0"/>
        <w:autoSpaceDE/>
        <w:autoSpaceDN/>
        <w:adjustRightInd/>
        <w:spacing w:before="11" w:after="624" w:line="289" w:lineRule="exact"/>
        <w:ind w:right="144"/>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 xml:space="preserve">- Se dieron plazos de recepción de documentos excesivamente cortos, pero </w:t>
      </w:r>
      <w:r>
        <w:rPr>
          <w:rFonts w:ascii="Verdana" w:hAnsi="Verdana" w:cs="Verdana"/>
          <w:spacing w:val="-1"/>
          <w:sz w:val="23"/>
          <w:szCs w:val="23"/>
          <w:lang w:val="es-ES" w:eastAsia="es-ES"/>
        </w:rPr>
        <w:t>además se da un quebrando flagrante de la Ley 8220, pues no se</w:t>
      </w:r>
    </w:p>
    <w:p w:rsidR="00000000" w:rsidRDefault="003773B7">
      <w:pPr>
        <w:widowControl/>
        <w:rPr>
          <w:sz w:val="24"/>
          <w:szCs w:val="24"/>
        </w:rPr>
        <w:sectPr w:rsidR="00000000">
          <w:pgSz w:w="12298" w:h="15686"/>
          <w:pgMar w:top="1960" w:right="1848" w:bottom="143" w:left="1569" w:header="720" w:footer="720" w:gutter="0"/>
          <w:cols w:space="720"/>
          <w:noEndnote/>
        </w:sectPr>
      </w:pPr>
    </w:p>
    <w:p w:rsidR="00000000" w:rsidRDefault="003773B7">
      <w:pPr>
        <w:widowControl/>
        <w:rPr>
          <w:sz w:val="24"/>
          <w:szCs w:val="24"/>
        </w:rPr>
        <w:sectPr w:rsidR="00000000">
          <w:type w:val="continuous"/>
          <w:pgSz w:w="12298" w:h="15686"/>
          <w:pgMar w:top="1960" w:right="1906" w:bottom="143" w:left="7152" w:header="720" w:footer="720" w:gutter="0"/>
          <w:cols w:space="720"/>
          <w:noEndnote/>
        </w:sectPr>
      </w:pPr>
    </w:p>
    <w:p w:rsidR="00000000" w:rsidRDefault="003773B7">
      <w:pPr>
        <w:kinsoku w:val="0"/>
        <w:overflowPunct w:val="0"/>
        <w:autoSpaceDE/>
        <w:autoSpaceDN/>
        <w:adjustRightInd/>
        <w:spacing w:before="24" w:line="271" w:lineRule="exact"/>
        <w:ind w:left="144" w:right="72"/>
        <w:jc w:val="both"/>
        <w:textAlignment w:val="baseline"/>
        <w:rPr>
          <w:rFonts w:ascii="Tahoma" w:hAnsi="Tahoma" w:cs="Tahoma"/>
          <w:spacing w:val="9"/>
          <w:sz w:val="24"/>
          <w:szCs w:val="24"/>
          <w:lang w:val="es-ES" w:eastAsia="es-ES"/>
        </w:rPr>
      </w:pPr>
      <w:r>
        <w:rPr>
          <w:rFonts w:ascii="Tahoma" w:hAnsi="Tahoma" w:cs="Tahoma"/>
          <w:spacing w:val="9"/>
          <w:sz w:val="24"/>
          <w:szCs w:val="24"/>
          <w:lang w:val="es-ES" w:eastAsia="es-ES"/>
        </w:rPr>
        <w:lastRenderedPageBreak/>
        <w:t>pueden pedir requisitos que obran en poder del Consejo de Transporte Público.</w:t>
      </w:r>
    </w:p>
    <w:p w:rsidR="00000000" w:rsidRDefault="003773B7">
      <w:pPr>
        <w:kinsoku w:val="0"/>
        <w:overflowPunct w:val="0"/>
        <w:autoSpaceDE/>
        <w:autoSpaceDN/>
        <w:adjustRightInd/>
        <w:spacing w:before="31" w:line="281" w:lineRule="exact"/>
        <w:ind w:left="144" w:right="72"/>
        <w:jc w:val="both"/>
        <w:textAlignment w:val="baseline"/>
        <w:rPr>
          <w:rFonts w:ascii="Tahoma" w:hAnsi="Tahoma" w:cs="Tahoma"/>
          <w:spacing w:val="12"/>
          <w:sz w:val="24"/>
          <w:szCs w:val="24"/>
          <w:lang w:val="es-ES" w:eastAsia="es-ES"/>
        </w:rPr>
      </w:pPr>
      <w:r>
        <w:rPr>
          <w:rFonts w:ascii="Tahoma" w:hAnsi="Tahoma" w:cs="Tahoma"/>
          <w:spacing w:val="12"/>
          <w:sz w:val="24"/>
          <w:szCs w:val="24"/>
          <w:lang w:val="es-ES" w:eastAsia="es-ES"/>
        </w:rPr>
        <w:t xml:space="preserve">s). -Solicita se declare la nulidad absoluta del acto administrativo </w:t>
      </w:r>
      <w:r>
        <w:rPr>
          <w:rFonts w:ascii="Tahoma" w:hAnsi="Tahoma" w:cs="Tahoma"/>
          <w:b/>
          <w:bCs/>
          <w:spacing w:val="12"/>
          <w:sz w:val="24"/>
          <w:szCs w:val="24"/>
          <w:lang w:val="es-ES" w:eastAsia="es-ES"/>
        </w:rPr>
        <w:t xml:space="preserve">7.1.17 de la Sesión Ordinaria 49-2015 del 20 de agosto de 2015 </w:t>
      </w:r>
      <w:r>
        <w:rPr>
          <w:rFonts w:ascii="Tahoma" w:hAnsi="Tahoma" w:cs="Tahoma"/>
          <w:spacing w:val="12"/>
          <w:sz w:val="24"/>
          <w:szCs w:val="24"/>
          <w:lang w:val="es-ES" w:eastAsia="es-ES"/>
        </w:rPr>
        <w:t>se emita un acto de autorización de la renovación y prórroga de la totalidad de los permisos asignados a su representada por</w:t>
      </w:r>
      <w:r>
        <w:rPr>
          <w:rFonts w:ascii="Tahoma" w:hAnsi="Tahoma" w:cs="Tahoma"/>
          <w:spacing w:val="12"/>
          <w:sz w:val="24"/>
          <w:szCs w:val="24"/>
          <w:lang w:val="es-ES" w:eastAsia="es-ES"/>
        </w:rPr>
        <w:t xml:space="preserve"> haber satisfecho la totalidad de los requisitos establecidos por el marco legal vigente. Así mismo se suspenda los efectos del acto impugnado de conformidad con el artículo 148 de la Ley General de la Administración Pública.</w:t>
      </w:r>
    </w:p>
    <w:p w:rsidR="00000000" w:rsidRDefault="003773B7">
      <w:pPr>
        <w:kinsoku w:val="0"/>
        <w:overflowPunct w:val="0"/>
        <w:autoSpaceDE/>
        <w:autoSpaceDN/>
        <w:adjustRightInd/>
        <w:spacing w:before="291" w:line="296" w:lineRule="exact"/>
        <w:ind w:left="144" w:right="72"/>
        <w:jc w:val="both"/>
        <w:textAlignment w:val="baseline"/>
        <w:rPr>
          <w:rFonts w:ascii="Tahoma" w:hAnsi="Tahoma" w:cs="Tahoma"/>
          <w:spacing w:val="21"/>
          <w:sz w:val="24"/>
          <w:szCs w:val="24"/>
          <w:lang w:val="es-ES" w:eastAsia="es-ES"/>
        </w:rPr>
      </w:pPr>
      <w:r>
        <w:rPr>
          <w:rFonts w:ascii="Tahoma" w:hAnsi="Tahoma" w:cs="Tahoma"/>
          <w:b/>
          <w:bCs/>
          <w:spacing w:val="21"/>
          <w:sz w:val="24"/>
          <w:szCs w:val="24"/>
          <w:lang w:val="es-ES" w:eastAsia="es-ES"/>
        </w:rPr>
        <w:t xml:space="preserve">TERCERO: </w:t>
      </w:r>
      <w:r>
        <w:rPr>
          <w:rFonts w:ascii="Tahoma" w:hAnsi="Tahoma" w:cs="Tahoma"/>
          <w:spacing w:val="21"/>
          <w:sz w:val="24"/>
          <w:szCs w:val="24"/>
          <w:lang w:val="es-ES" w:eastAsia="es-ES"/>
        </w:rPr>
        <w:t xml:space="preserve">La Junta Directiva del Consejo de Transporte Público, </w:t>
      </w:r>
      <w:r>
        <w:rPr>
          <w:rFonts w:ascii="Tahoma" w:hAnsi="Tahoma" w:cs="Tahoma"/>
          <w:b/>
          <w:bCs/>
          <w:spacing w:val="21"/>
          <w:sz w:val="24"/>
          <w:szCs w:val="24"/>
          <w:lang w:val="es-ES" w:eastAsia="es-ES"/>
        </w:rPr>
        <w:t>mediante Acuerdo No. 7.8.2 de la Sesión Ordinaria No. 37</w:t>
      </w:r>
      <w:r>
        <w:rPr>
          <w:rFonts w:ascii="Tahoma" w:hAnsi="Tahoma" w:cs="Tahoma"/>
          <w:b/>
          <w:bCs/>
          <w:spacing w:val="21"/>
          <w:sz w:val="24"/>
          <w:szCs w:val="24"/>
          <w:lang w:val="es-ES" w:eastAsia="es-ES"/>
        </w:rPr>
        <w:softHyphen/>
        <w:t xml:space="preserve">2015 del 1 de Julio del 2015, </w:t>
      </w:r>
      <w:r>
        <w:rPr>
          <w:rFonts w:ascii="Tahoma" w:hAnsi="Tahoma" w:cs="Tahoma"/>
          <w:spacing w:val="21"/>
          <w:sz w:val="24"/>
          <w:szCs w:val="24"/>
          <w:lang w:val="es-ES" w:eastAsia="es-ES"/>
        </w:rPr>
        <w:t xml:space="preserve">acoge el informe </w:t>
      </w:r>
      <w:r>
        <w:rPr>
          <w:rFonts w:ascii="Tahoma" w:hAnsi="Tahoma" w:cs="Tahoma"/>
          <w:b/>
          <w:bCs/>
          <w:spacing w:val="21"/>
          <w:sz w:val="24"/>
          <w:szCs w:val="24"/>
          <w:lang w:val="es-ES" w:eastAsia="es-ES"/>
        </w:rPr>
        <w:t>DA</w:t>
      </w:r>
      <w:r w:rsidR="003853B7">
        <w:rPr>
          <w:rFonts w:ascii="Tahoma" w:hAnsi="Tahoma" w:cs="Tahoma"/>
          <w:b/>
          <w:bCs/>
          <w:spacing w:val="21"/>
          <w:sz w:val="24"/>
          <w:szCs w:val="24"/>
          <w:lang w:val="es-ES" w:eastAsia="es-ES"/>
        </w:rPr>
        <w:t>J</w:t>
      </w:r>
      <w:r>
        <w:rPr>
          <w:rFonts w:ascii="Tahoma" w:hAnsi="Tahoma" w:cs="Tahoma"/>
          <w:b/>
          <w:bCs/>
          <w:spacing w:val="21"/>
          <w:sz w:val="24"/>
          <w:szCs w:val="24"/>
          <w:lang w:val="es-ES" w:eastAsia="es-ES"/>
        </w:rPr>
        <w:t xml:space="preserve"> 2015</w:t>
      </w:r>
      <w:r>
        <w:rPr>
          <w:rFonts w:ascii="Tahoma" w:hAnsi="Tahoma" w:cs="Tahoma"/>
          <w:b/>
          <w:bCs/>
          <w:spacing w:val="21"/>
          <w:sz w:val="24"/>
          <w:szCs w:val="24"/>
          <w:lang w:val="es-ES" w:eastAsia="es-ES"/>
        </w:rPr>
        <w:softHyphen/>
        <w:t xml:space="preserve">002164 </w:t>
      </w:r>
      <w:r>
        <w:rPr>
          <w:rFonts w:ascii="Tahoma" w:hAnsi="Tahoma" w:cs="Tahoma"/>
          <w:spacing w:val="21"/>
          <w:sz w:val="24"/>
          <w:szCs w:val="24"/>
          <w:lang w:val="es-ES" w:eastAsia="es-ES"/>
        </w:rPr>
        <w:t xml:space="preserve">de su Dirección de Asuntos Jurídicos y los oficios </w:t>
      </w:r>
      <w:r>
        <w:rPr>
          <w:rFonts w:ascii="Tahoma" w:hAnsi="Tahoma" w:cs="Tahoma"/>
          <w:b/>
          <w:bCs/>
          <w:spacing w:val="21"/>
          <w:sz w:val="24"/>
          <w:szCs w:val="24"/>
          <w:lang w:val="es-ES" w:eastAsia="es-ES"/>
        </w:rPr>
        <w:t>DE-2015</w:t>
      </w:r>
      <w:r>
        <w:rPr>
          <w:rFonts w:ascii="Tahoma" w:hAnsi="Tahoma" w:cs="Tahoma"/>
          <w:b/>
          <w:bCs/>
          <w:spacing w:val="21"/>
          <w:sz w:val="24"/>
          <w:szCs w:val="24"/>
          <w:lang w:val="es-ES" w:eastAsia="es-ES"/>
        </w:rPr>
        <w:softHyphen/>
        <w:t xml:space="preserve">1980 y DE-2015-2046 </w:t>
      </w:r>
      <w:r>
        <w:rPr>
          <w:rFonts w:ascii="Tahoma" w:hAnsi="Tahoma" w:cs="Tahoma"/>
          <w:spacing w:val="21"/>
          <w:sz w:val="24"/>
          <w:szCs w:val="24"/>
          <w:lang w:val="es-ES" w:eastAsia="es-ES"/>
        </w:rPr>
        <w:t xml:space="preserve">de </w:t>
      </w:r>
      <w:r>
        <w:rPr>
          <w:rFonts w:ascii="Tahoma" w:hAnsi="Tahoma" w:cs="Tahoma"/>
          <w:spacing w:val="21"/>
          <w:sz w:val="24"/>
          <w:szCs w:val="24"/>
          <w:lang w:val="es-ES" w:eastAsia="es-ES"/>
        </w:rPr>
        <w:t>su Dirección Ejecutiva, y dispuso:</w:t>
      </w:r>
    </w:p>
    <w:p w:rsidR="00000000" w:rsidRDefault="003773B7">
      <w:pPr>
        <w:kinsoku w:val="0"/>
        <w:overflowPunct w:val="0"/>
        <w:autoSpaceDE/>
        <w:autoSpaceDN/>
        <w:adjustRightInd/>
        <w:spacing w:before="295" w:line="210" w:lineRule="exact"/>
        <w:ind w:left="648" w:right="720"/>
        <w:jc w:val="both"/>
        <w:textAlignment w:val="baseline"/>
        <w:rPr>
          <w:rFonts w:ascii="Tahoma" w:hAnsi="Tahoma" w:cs="Tahoma"/>
          <w:sz w:val="18"/>
          <w:szCs w:val="18"/>
          <w:lang w:val="es-ES" w:eastAsia="es-ES"/>
        </w:rPr>
      </w:pPr>
      <w:r>
        <w:rPr>
          <w:rFonts w:ascii="Tahoma" w:hAnsi="Tahoma" w:cs="Tahoma"/>
          <w:b/>
          <w:bCs/>
          <w:sz w:val="18"/>
          <w:szCs w:val="18"/>
          <w:lang w:val="es-ES" w:eastAsia="es-ES"/>
        </w:rPr>
        <w:t xml:space="preserve">—"ARTÍCULO 7.8.2.- </w:t>
      </w:r>
      <w:r>
        <w:rPr>
          <w:rFonts w:ascii="Tahoma" w:hAnsi="Tahoma" w:cs="Tahoma"/>
          <w:sz w:val="18"/>
          <w:szCs w:val="18"/>
          <w:lang w:val="es-ES" w:eastAsia="es-ES"/>
        </w:rPr>
        <w:t xml:space="preserve">Se conoce oficio </w:t>
      </w:r>
      <w:r w:rsidR="003853B7">
        <w:rPr>
          <w:rFonts w:ascii="Tahoma" w:hAnsi="Tahoma" w:cs="Tahoma"/>
          <w:b/>
          <w:bCs/>
          <w:sz w:val="18"/>
          <w:szCs w:val="18"/>
          <w:lang w:val="es-ES" w:eastAsia="es-ES"/>
        </w:rPr>
        <w:t>DAJ</w:t>
      </w:r>
      <w:r>
        <w:rPr>
          <w:rFonts w:ascii="Tahoma" w:hAnsi="Tahoma" w:cs="Tahoma"/>
          <w:b/>
          <w:bCs/>
          <w:sz w:val="18"/>
          <w:szCs w:val="18"/>
          <w:lang w:val="es-ES" w:eastAsia="es-ES"/>
        </w:rPr>
        <w:t xml:space="preserve"> 2015-002164 </w:t>
      </w:r>
      <w:r>
        <w:rPr>
          <w:rFonts w:ascii="Tahoma" w:hAnsi="Tahoma" w:cs="Tahoma"/>
          <w:sz w:val="18"/>
          <w:szCs w:val="18"/>
          <w:lang w:val="es-ES" w:eastAsia="es-ES"/>
        </w:rPr>
        <w:t>prórroga servicio especial estable de taxi modalidad automóviles (sedanes)</w:t>
      </w:r>
    </w:p>
    <w:p w:rsidR="00000000" w:rsidRDefault="003773B7">
      <w:pPr>
        <w:kinsoku w:val="0"/>
        <w:overflowPunct w:val="0"/>
        <w:autoSpaceDE/>
        <w:autoSpaceDN/>
        <w:adjustRightInd/>
        <w:spacing w:before="202" w:line="214" w:lineRule="exact"/>
        <w:ind w:left="648"/>
        <w:textAlignment w:val="baseline"/>
        <w:rPr>
          <w:rFonts w:ascii="Tahoma" w:hAnsi="Tahoma" w:cs="Tahoma"/>
          <w:b/>
          <w:bCs/>
          <w:spacing w:val="7"/>
          <w:sz w:val="18"/>
          <w:szCs w:val="18"/>
          <w:lang w:val="es-ES" w:eastAsia="es-ES"/>
        </w:rPr>
      </w:pPr>
      <w:r>
        <w:rPr>
          <w:rFonts w:ascii="Tahoma" w:hAnsi="Tahoma" w:cs="Tahoma"/>
          <w:b/>
          <w:bCs/>
          <w:spacing w:val="7"/>
          <w:sz w:val="18"/>
          <w:szCs w:val="18"/>
          <w:lang w:val="es-ES" w:eastAsia="es-ES"/>
        </w:rPr>
        <w:t>CONSIDERANDO:</w:t>
      </w:r>
    </w:p>
    <w:p w:rsidR="00000000" w:rsidRDefault="003773B7">
      <w:pPr>
        <w:kinsoku w:val="0"/>
        <w:overflowPunct w:val="0"/>
        <w:autoSpaceDE/>
        <w:autoSpaceDN/>
        <w:adjustRightInd/>
        <w:spacing w:before="230" w:line="210" w:lineRule="exact"/>
        <w:ind w:left="648" w:right="720"/>
        <w:jc w:val="both"/>
        <w:textAlignment w:val="baseline"/>
        <w:rPr>
          <w:rFonts w:ascii="Tahoma" w:hAnsi="Tahoma" w:cs="Tahoma"/>
          <w:spacing w:val="9"/>
          <w:sz w:val="18"/>
          <w:szCs w:val="18"/>
          <w:lang w:val="es-ES" w:eastAsia="es-ES"/>
        </w:rPr>
      </w:pPr>
      <w:r>
        <w:rPr>
          <w:rFonts w:ascii="Tahoma" w:hAnsi="Tahoma" w:cs="Tahoma"/>
          <w:b/>
          <w:bCs/>
          <w:spacing w:val="9"/>
          <w:sz w:val="18"/>
          <w:szCs w:val="18"/>
          <w:lang w:val="es-ES" w:eastAsia="es-ES"/>
        </w:rPr>
        <w:t xml:space="preserve">PRIMERO: </w:t>
      </w:r>
      <w:r>
        <w:rPr>
          <w:rFonts w:ascii="Tahoma" w:hAnsi="Tahoma" w:cs="Tahoma"/>
          <w:spacing w:val="9"/>
          <w:sz w:val="18"/>
          <w:szCs w:val="18"/>
          <w:lang w:val="es-ES" w:eastAsia="es-ES"/>
        </w:rPr>
        <w:t xml:space="preserve">Este órgano colegiado procede a analizar el oficio </w:t>
      </w:r>
      <w:r w:rsidR="003853B7">
        <w:rPr>
          <w:rFonts w:ascii="Tahoma" w:hAnsi="Tahoma" w:cs="Tahoma"/>
          <w:b/>
          <w:bCs/>
          <w:spacing w:val="9"/>
          <w:sz w:val="18"/>
          <w:szCs w:val="18"/>
          <w:lang w:val="es-ES" w:eastAsia="es-ES"/>
        </w:rPr>
        <w:t>DAJ</w:t>
      </w:r>
      <w:r>
        <w:rPr>
          <w:rFonts w:ascii="Tahoma" w:hAnsi="Tahoma" w:cs="Tahoma"/>
          <w:b/>
          <w:bCs/>
          <w:spacing w:val="9"/>
          <w:sz w:val="18"/>
          <w:szCs w:val="18"/>
          <w:lang w:val="es-ES" w:eastAsia="es-ES"/>
        </w:rPr>
        <w:t xml:space="preserve"> 2015-002164, </w:t>
      </w:r>
      <w:r>
        <w:rPr>
          <w:rFonts w:ascii="Tahoma" w:hAnsi="Tahoma" w:cs="Tahoma"/>
          <w:spacing w:val="9"/>
          <w:sz w:val="18"/>
          <w:szCs w:val="18"/>
          <w:lang w:val="es-ES" w:eastAsia="es-ES"/>
        </w:rPr>
        <w:t xml:space="preserve">en relación con el oficio </w:t>
      </w:r>
      <w:r>
        <w:rPr>
          <w:rFonts w:ascii="Tahoma" w:hAnsi="Tahoma" w:cs="Tahoma"/>
          <w:b/>
          <w:bCs/>
          <w:spacing w:val="9"/>
          <w:sz w:val="18"/>
          <w:szCs w:val="18"/>
          <w:lang w:val="es-ES" w:eastAsia="es-ES"/>
        </w:rPr>
        <w:t xml:space="preserve">DE-2015-1980, </w:t>
      </w:r>
      <w:r>
        <w:rPr>
          <w:rFonts w:ascii="Tahoma" w:hAnsi="Tahoma" w:cs="Tahoma"/>
          <w:spacing w:val="9"/>
          <w:sz w:val="18"/>
          <w:szCs w:val="18"/>
          <w:lang w:val="es-ES" w:eastAsia="es-ES"/>
        </w:rPr>
        <w:t>referente a prórroga del servicio especial estable de taxi modalidad automóviles (sedanes), y se mociona para aprobar todas las recomendaciones emitidas, basadas en los fundamentos, motivos y contenidos, desarrollado</w:t>
      </w:r>
      <w:r>
        <w:rPr>
          <w:rFonts w:ascii="Tahoma" w:hAnsi="Tahoma" w:cs="Tahoma"/>
          <w:spacing w:val="9"/>
          <w:sz w:val="18"/>
          <w:szCs w:val="18"/>
          <w:lang w:val="es-ES" w:eastAsia="es-ES"/>
        </w:rPr>
        <w:t xml:space="preserve">s en los considerandos de los oficios </w:t>
      </w:r>
      <w:r>
        <w:rPr>
          <w:rFonts w:ascii="Tahoma" w:hAnsi="Tahoma" w:cs="Tahoma"/>
          <w:b/>
          <w:bCs/>
          <w:spacing w:val="9"/>
          <w:sz w:val="18"/>
          <w:szCs w:val="18"/>
          <w:lang w:val="es-ES" w:eastAsia="es-ES"/>
        </w:rPr>
        <w:t>DA</w:t>
      </w:r>
      <w:r w:rsidR="003853B7">
        <w:rPr>
          <w:rFonts w:ascii="Tahoma" w:hAnsi="Tahoma" w:cs="Tahoma"/>
          <w:b/>
          <w:bCs/>
          <w:spacing w:val="9"/>
          <w:sz w:val="18"/>
          <w:szCs w:val="18"/>
          <w:lang w:val="es-ES" w:eastAsia="es-ES"/>
        </w:rPr>
        <w:t>J</w:t>
      </w:r>
      <w:r>
        <w:rPr>
          <w:rFonts w:ascii="Tahoma" w:hAnsi="Tahoma" w:cs="Tahoma"/>
          <w:b/>
          <w:bCs/>
          <w:spacing w:val="9"/>
          <w:sz w:val="18"/>
          <w:szCs w:val="18"/>
          <w:lang w:val="es-ES" w:eastAsia="es-ES"/>
        </w:rPr>
        <w:t xml:space="preserve"> 2015-002158, DE-2015</w:t>
      </w:r>
      <w:r>
        <w:rPr>
          <w:rFonts w:ascii="Tahoma" w:hAnsi="Tahoma" w:cs="Tahoma"/>
          <w:b/>
          <w:bCs/>
          <w:spacing w:val="9"/>
          <w:sz w:val="18"/>
          <w:szCs w:val="18"/>
          <w:lang w:val="es-ES" w:eastAsia="es-ES"/>
        </w:rPr>
        <w:softHyphen/>
        <w:t xml:space="preserve">1980 y DE 2015-2046, </w:t>
      </w:r>
      <w:r>
        <w:rPr>
          <w:rFonts w:ascii="Tahoma" w:hAnsi="Tahoma" w:cs="Tahoma"/>
          <w:spacing w:val="9"/>
          <w:sz w:val="18"/>
          <w:szCs w:val="18"/>
          <w:lang w:val="es-ES" w:eastAsia="es-ES"/>
        </w:rPr>
        <w:t>los cuales forman parte integral de esta acta.</w:t>
      </w:r>
    </w:p>
    <w:p w:rsidR="00000000" w:rsidRDefault="003773B7">
      <w:pPr>
        <w:kinsoku w:val="0"/>
        <w:overflowPunct w:val="0"/>
        <w:autoSpaceDE/>
        <w:autoSpaceDN/>
        <w:adjustRightInd/>
        <w:spacing w:before="232" w:line="210" w:lineRule="exact"/>
        <w:ind w:left="648" w:right="720"/>
        <w:jc w:val="both"/>
        <w:textAlignment w:val="baseline"/>
        <w:rPr>
          <w:rFonts w:ascii="Tahoma" w:hAnsi="Tahoma" w:cs="Tahoma"/>
          <w:spacing w:val="7"/>
          <w:sz w:val="18"/>
          <w:szCs w:val="18"/>
          <w:lang w:val="es-ES" w:eastAsia="es-ES"/>
        </w:rPr>
      </w:pPr>
      <w:r>
        <w:rPr>
          <w:rFonts w:ascii="Tahoma" w:hAnsi="Tahoma" w:cs="Tahoma"/>
          <w:b/>
          <w:bCs/>
          <w:spacing w:val="7"/>
          <w:sz w:val="18"/>
          <w:szCs w:val="18"/>
          <w:lang w:val="es-ES" w:eastAsia="es-ES"/>
        </w:rPr>
        <w:t xml:space="preserve">SEGUNDO: </w:t>
      </w:r>
      <w:r>
        <w:rPr>
          <w:rFonts w:ascii="Tahoma" w:hAnsi="Tahoma" w:cs="Tahoma"/>
          <w:spacing w:val="7"/>
          <w:sz w:val="18"/>
          <w:szCs w:val="18"/>
          <w:lang w:val="es-ES" w:eastAsia="es-ES"/>
        </w:rPr>
        <w:t>En el Transitorio II de la Ley No. 8955, se señala que por tratarse el servicio especial estable de taxi de un servi</w:t>
      </w:r>
      <w:r>
        <w:rPr>
          <w:rFonts w:ascii="Tahoma" w:hAnsi="Tahoma" w:cs="Tahoma"/>
          <w:spacing w:val="7"/>
          <w:sz w:val="18"/>
          <w:szCs w:val="18"/>
          <w:lang w:val="es-ES" w:eastAsia="es-ES"/>
        </w:rPr>
        <w:t>cio de carácter residual y limitado, en razón de que la prestación del servicio está dirigida a un grupo cerrado de personas, el porcentaje de unidades que se autoricen para la prestación del servicio nunca podrá llegar a equipararse a los autorizados para</w:t>
      </w:r>
      <w:r>
        <w:rPr>
          <w:rFonts w:ascii="Tahoma" w:hAnsi="Tahoma" w:cs="Tahoma"/>
          <w:spacing w:val="7"/>
          <w:sz w:val="18"/>
          <w:szCs w:val="18"/>
          <w:lang w:val="es-ES" w:eastAsia="es-ES"/>
        </w:rPr>
        <w:t xml:space="preserve"> la prestación del servicio regular estable de taxi, por ser un mercado residual y limitado. De esta valoración dependerá un número de permisos especiales que podrá otorgar el Consejo de Transporte Público, el cual será para esta única vez, del treinta por</w:t>
      </w:r>
      <w:r>
        <w:rPr>
          <w:rFonts w:ascii="Tahoma" w:hAnsi="Tahoma" w:cs="Tahoma"/>
          <w:spacing w:val="7"/>
          <w:sz w:val="18"/>
          <w:szCs w:val="18"/>
          <w:lang w:val="es-ES" w:eastAsia="es-ES"/>
        </w:rPr>
        <w:t xml:space="preserve"> ciento (30%) a nivel nacional de las concesiones autorizadas de taxis por el Consejo de Transporte Público.</w:t>
      </w:r>
    </w:p>
    <w:p w:rsidR="00000000" w:rsidRDefault="003773B7">
      <w:pPr>
        <w:kinsoku w:val="0"/>
        <w:overflowPunct w:val="0"/>
        <w:autoSpaceDE/>
        <w:autoSpaceDN/>
        <w:adjustRightInd/>
        <w:spacing w:before="214" w:line="210" w:lineRule="exact"/>
        <w:ind w:left="648" w:right="720"/>
        <w:jc w:val="both"/>
        <w:textAlignment w:val="baseline"/>
        <w:rPr>
          <w:rFonts w:ascii="Tahoma" w:hAnsi="Tahoma" w:cs="Tahoma"/>
          <w:spacing w:val="8"/>
          <w:sz w:val="18"/>
          <w:szCs w:val="18"/>
          <w:lang w:val="es-ES" w:eastAsia="es-ES"/>
        </w:rPr>
      </w:pPr>
      <w:r>
        <w:rPr>
          <w:rFonts w:ascii="Tahoma" w:hAnsi="Tahoma" w:cs="Tahoma"/>
          <w:b/>
          <w:bCs/>
          <w:spacing w:val="8"/>
          <w:sz w:val="18"/>
          <w:szCs w:val="18"/>
          <w:lang w:val="es-ES" w:eastAsia="es-ES"/>
        </w:rPr>
        <w:t xml:space="preserve">TERCERO: </w:t>
      </w:r>
      <w:r>
        <w:rPr>
          <w:rFonts w:ascii="Tahoma" w:hAnsi="Tahoma" w:cs="Tahoma"/>
          <w:spacing w:val="8"/>
          <w:sz w:val="18"/>
          <w:szCs w:val="18"/>
          <w:lang w:val="es-ES" w:eastAsia="es-ES"/>
        </w:rPr>
        <w:t>La Procuraduría General de la República en el dictamen C-078-2015 del 13 de abril del 2015, determinó en forma vinculante, que el porcenta</w:t>
      </w:r>
      <w:r>
        <w:rPr>
          <w:rFonts w:ascii="Tahoma" w:hAnsi="Tahoma" w:cs="Tahoma"/>
          <w:spacing w:val="8"/>
          <w:sz w:val="18"/>
          <w:szCs w:val="18"/>
          <w:lang w:val="es-ES" w:eastAsia="es-ES"/>
        </w:rPr>
        <w:t>je de permisos especiales de taxi (seetaxi) en atención a los principios de razonabilidad, proporcionalidad y necesidad, no puede igualar o superar la cantidad de concesiones de taxi por base de operación, pues de lo contrario se podría incurrir en respons</w:t>
      </w:r>
      <w:r>
        <w:rPr>
          <w:rFonts w:ascii="Tahoma" w:hAnsi="Tahoma" w:cs="Tahoma"/>
          <w:spacing w:val="8"/>
          <w:sz w:val="18"/>
          <w:szCs w:val="18"/>
          <w:lang w:val="es-ES" w:eastAsia="es-ES"/>
        </w:rPr>
        <w:t>abilidad administrativa por no garantizar el equilibrio económico y financiero de los contratos de concesión.</w:t>
      </w:r>
    </w:p>
    <w:p w:rsidR="00000000" w:rsidRDefault="003773B7">
      <w:pPr>
        <w:kinsoku w:val="0"/>
        <w:overflowPunct w:val="0"/>
        <w:autoSpaceDE/>
        <w:autoSpaceDN/>
        <w:adjustRightInd/>
        <w:spacing w:before="212" w:line="214" w:lineRule="exact"/>
        <w:ind w:left="648"/>
        <w:textAlignment w:val="baseline"/>
        <w:rPr>
          <w:rFonts w:ascii="Tahoma" w:hAnsi="Tahoma" w:cs="Tahoma"/>
          <w:b/>
          <w:bCs/>
          <w:spacing w:val="8"/>
          <w:sz w:val="18"/>
          <w:szCs w:val="18"/>
          <w:lang w:val="es-ES" w:eastAsia="es-ES"/>
        </w:rPr>
      </w:pPr>
      <w:r>
        <w:rPr>
          <w:rFonts w:ascii="Tahoma" w:hAnsi="Tahoma" w:cs="Tahoma"/>
          <w:b/>
          <w:bCs/>
          <w:spacing w:val="8"/>
          <w:sz w:val="18"/>
          <w:szCs w:val="18"/>
          <w:lang w:val="es-ES" w:eastAsia="es-ES"/>
        </w:rPr>
        <w:t>POR TANTO, SE ACUERDA</w:t>
      </w:r>
    </w:p>
    <w:p w:rsidR="00000000" w:rsidRDefault="003773B7">
      <w:pPr>
        <w:kinsoku w:val="0"/>
        <w:overflowPunct w:val="0"/>
        <w:autoSpaceDE/>
        <w:autoSpaceDN/>
        <w:adjustRightInd/>
        <w:spacing w:before="242" w:after="839" w:line="210" w:lineRule="exact"/>
        <w:ind w:left="648" w:right="720"/>
        <w:jc w:val="both"/>
        <w:textAlignment w:val="baseline"/>
        <w:rPr>
          <w:rFonts w:ascii="Tahoma" w:hAnsi="Tahoma" w:cs="Tahoma"/>
          <w:spacing w:val="9"/>
          <w:sz w:val="18"/>
          <w:szCs w:val="18"/>
          <w:lang w:val="es-ES" w:eastAsia="es-ES"/>
        </w:rPr>
      </w:pPr>
      <w:r>
        <w:rPr>
          <w:rFonts w:ascii="Tahoma" w:hAnsi="Tahoma" w:cs="Tahoma"/>
          <w:b/>
          <w:bCs/>
          <w:spacing w:val="9"/>
          <w:sz w:val="18"/>
          <w:szCs w:val="18"/>
          <w:lang w:val="es-ES" w:eastAsia="es-ES"/>
        </w:rPr>
        <w:t xml:space="preserve">1. </w:t>
      </w:r>
      <w:r>
        <w:rPr>
          <w:rFonts w:ascii="Tahoma" w:hAnsi="Tahoma" w:cs="Tahoma"/>
          <w:spacing w:val="9"/>
          <w:sz w:val="18"/>
          <w:szCs w:val="18"/>
          <w:lang w:val="es-ES" w:eastAsia="es-ES"/>
        </w:rPr>
        <w:t xml:space="preserve">Aprobar todas las recomendaciones contenidas en los oficios </w:t>
      </w:r>
      <w:r w:rsidR="003853B7">
        <w:rPr>
          <w:rFonts w:ascii="Tahoma" w:hAnsi="Tahoma" w:cs="Tahoma"/>
          <w:b/>
          <w:bCs/>
          <w:spacing w:val="9"/>
          <w:sz w:val="18"/>
          <w:szCs w:val="18"/>
          <w:lang w:val="es-ES" w:eastAsia="es-ES"/>
        </w:rPr>
        <w:t>DAJ</w:t>
      </w:r>
      <w:r>
        <w:rPr>
          <w:rFonts w:ascii="Tahoma" w:hAnsi="Tahoma" w:cs="Tahoma"/>
          <w:b/>
          <w:bCs/>
          <w:spacing w:val="9"/>
          <w:sz w:val="18"/>
          <w:szCs w:val="18"/>
          <w:lang w:val="es-ES" w:eastAsia="es-ES"/>
        </w:rPr>
        <w:t xml:space="preserve"> 2015-002164, DE-2015-1980 y DE 2015-2046, </w:t>
      </w:r>
      <w:r>
        <w:rPr>
          <w:rFonts w:ascii="Tahoma" w:hAnsi="Tahoma" w:cs="Tahoma"/>
          <w:spacing w:val="9"/>
          <w:sz w:val="18"/>
          <w:szCs w:val="18"/>
          <w:lang w:val="es-ES" w:eastAsia="es-ES"/>
        </w:rPr>
        <w:t>basados en los fundamentos, motivos y contenidos, desarrollados en los considerandos de los referidos oficios, los cuales forman parte integral de este acuerdo.</w:t>
      </w:r>
    </w:p>
    <w:p w:rsidR="00000000" w:rsidRDefault="003773B7">
      <w:pPr>
        <w:widowControl/>
        <w:rPr>
          <w:sz w:val="24"/>
          <w:szCs w:val="24"/>
        </w:rPr>
        <w:sectPr w:rsidR="00000000">
          <w:pgSz w:w="12288" w:h="15744"/>
          <w:pgMar w:top="2140" w:right="1773" w:bottom="52" w:left="1634" w:header="720" w:footer="720" w:gutter="0"/>
          <w:cols w:space="720"/>
          <w:noEndnote/>
        </w:sectPr>
      </w:pPr>
    </w:p>
    <w:p w:rsidR="00000000" w:rsidRDefault="003773B7">
      <w:pPr>
        <w:widowControl/>
        <w:rPr>
          <w:sz w:val="24"/>
          <w:szCs w:val="24"/>
        </w:rPr>
        <w:sectPr w:rsidR="00000000">
          <w:type w:val="continuous"/>
          <w:pgSz w:w="12288" w:h="15744"/>
          <w:pgMar w:top="2140" w:right="1836" w:bottom="52" w:left="7212" w:header="720" w:footer="720" w:gutter="0"/>
          <w:cols w:space="720"/>
          <w:noEndnote/>
        </w:sectPr>
      </w:pPr>
    </w:p>
    <w:p w:rsidR="00000000" w:rsidRDefault="003773B7">
      <w:pPr>
        <w:numPr>
          <w:ilvl w:val="0"/>
          <w:numId w:val="9"/>
        </w:numPr>
        <w:kinsoku w:val="0"/>
        <w:overflowPunct w:val="0"/>
        <w:autoSpaceDE/>
        <w:autoSpaceDN/>
        <w:adjustRightInd/>
        <w:spacing w:before="13" w:line="212" w:lineRule="exact"/>
        <w:ind w:right="72"/>
        <w:jc w:val="both"/>
        <w:textAlignment w:val="baseline"/>
        <w:rPr>
          <w:rFonts w:ascii="Verdana" w:hAnsi="Verdana" w:cs="Verdana"/>
          <w:spacing w:val="1"/>
          <w:sz w:val="17"/>
          <w:szCs w:val="17"/>
          <w:lang w:val="es-ES" w:eastAsia="es-ES"/>
        </w:rPr>
      </w:pPr>
      <w:r>
        <w:rPr>
          <w:rFonts w:ascii="Verdana" w:hAnsi="Verdana" w:cs="Verdana"/>
          <w:spacing w:val="1"/>
          <w:sz w:val="17"/>
          <w:szCs w:val="17"/>
          <w:lang w:val="es-ES" w:eastAsia="es-ES"/>
        </w:rPr>
        <w:lastRenderedPageBreak/>
        <w:t xml:space="preserve">Se autoriza la prórroga, </w:t>
      </w:r>
      <w:r>
        <w:rPr>
          <w:rFonts w:ascii="Verdana" w:hAnsi="Verdana" w:cs="Verdana"/>
          <w:spacing w:val="1"/>
          <w:sz w:val="17"/>
          <w:szCs w:val="17"/>
          <w:lang w:val="es-ES" w:eastAsia="es-ES"/>
        </w:rPr>
        <w:t xml:space="preserve">por esta única vez, por el plazo de tres años, del permiso especial estable de taxi, modalidad sedán o automóvil a las siguientes empresas: </w:t>
      </w:r>
      <w:r w:rsidR="003853B7">
        <w:rPr>
          <w:rFonts w:ascii="Verdana" w:hAnsi="Verdana" w:cs="Verdana"/>
          <w:spacing w:val="-1"/>
          <w:sz w:val="18"/>
          <w:szCs w:val="18"/>
          <w:lang w:val="es-ES" w:eastAsia="es-ES"/>
        </w:rPr>
        <w:t>U.N.D.P.U.S.A.; U.D.P.S.L.M.C.D.M.S.S.A.; U.C.D.P.T.U.S.A.; U.S.A.; T.S.A.; T.N.U.S.A.; T.U.R.S.A.; T.P.S.S.A.; T.P.R.S.D.R.L.; T.P.M.S.A.; T.P.M.S.A.; T.P.G.G.S.A.; T.P.D.O.S.A.; T.P.C.S.A.; T.P.C.R.D.S.L.; T.P.B.V.D.A.S.A.; T.P.H.Z.S.A.; T.O.D.M.S.A.; T.E.S.C.S.A.; T.E.S.V.V.S.A.; T.C.P.S.A.; T.P.P.D.S.S.A.; T.P.D.P.V.D.S.S.A.; T.D.P.T.S.A.; T.S.A.; S.E.C.S.S.A.; S.P.L.M.S.A.; S.D.E.M.Y.P.S.A.; S.S.R.S.A.; P.S.S.A.; P.P.M.P.S.A.; P.N.T.D.P.S.A.; P.L.T.S.S.A.; P.L.V.S.A.; P.L.A.S.A.; P.G.S.J.S.A.; P.D.A.G.M.S.A.; P.D.P.S.A.; P.D.G.P.S.A.; P.C.S.A.; P.B.P.S.S.A.; L.V.D.L.A.O.S.A.; L.A.M.V.; L.S.D.T.P.D.C.S.A.; I.Y.S.D.T.P..F.S.A.; I.T.L.G.S.A.; G.P.D.T.J.S.A.; C.M.A.T.S.A.; C.B.A.T.P.D.A.R.L.; C.D.S.P.S.X.; C.A.P.F.; A.E.T.Z.S.A.; A.P.E.P.S.A.; A.P.P.S.C.S.A.; A.P.C.S.A.; A.D.P.P.; A.T.D.L.S.A.; A..Y.G.D.S.S.D.R.L.; A.D.P.A.S.A.; A.S.A.; T.T.V.S.A.; y C.D.P.P.V.S.A.</w:t>
      </w:r>
      <w:r>
        <w:rPr>
          <w:rFonts w:ascii="Verdana" w:hAnsi="Verdana" w:cs="Verdana"/>
          <w:spacing w:val="1"/>
          <w:sz w:val="17"/>
          <w:szCs w:val="17"/>
          <w:lang w:val="es-ES" w:eastAsia="es-ES"/>
        </w:rPr>
        <w:t xml:space="preserve">; condicionadas a la presentación de la solicitud de prórroga al 07 de julio del 2015, que cumpla con los requisitos enlistados en el Transitorio I de la Ley No. 8955 y el artículo 29 de la Ley </w:t>
      </w:r>
      <w:r>
        <w:rPr>
          <w:rFonts w:ascii="Verdana" w:hAnsi="Verdana" w:cs="Verdana"/>
          <w:spacing w:val="1"/>
          <w:sz w:val="17"/>
          <w:szCs w:val="17"/>
          <w:lang w:val="es-ES" w:eastAsia="es-ES"/>
        </w:rPr>
        <w:t xml:space="preserve">No. 7969, sujetos a la aplicación del porcentaje de concesiones de taxi por base de operación (según lo establecido en el Dictamen C-078-2015 de la Procuraduría General de la República), conforme al cálculo aritmético contenido en el oficio </w:t>
      </w:r>
      <w:r>
        <w:rPr>
          <w:rFonts w:ascii="Verdana" w:hAnsi="Verdana" w:cs="Verdana"/>
          <w:b/>
          <w:bCs/>
          <w:spacing w:val="1"/>
          <w:sz w:val="17"/>
          <w:szCs w:val="17"/>
          <w:lang w:val="es-ES" w:eastAsia="es-ES"/>
        </w:rPr>
        <w:t xml:space="preserve">DE-2015-1980, </w:t>
      </w:r>
      <w:r>
        <w:rPr>
          <w:rFonts w:ascii="Verdana" w:hAnsi="Verdana" w:cs="Verdana"/>
          <w:spacing w:val="1"/>
          <w:sz w:val="17"/>
          <w:szCs w:val="17"/>
          <w:lang w:val="es-ES" w:eastAsia="es-ES"/>
        </w:rPr>
        <w:t>el cual forma parte integral del presente acuerdo.</w:t>
      </w:r>
    </w:p>
    <w:p w:rsidR="00000000" w:rsidRDefault="003773B7">
      <w:pPr>
        <w:numPr>
          <w:ilvl w:val="0"/>
          <w:numId w:val="9"/>
        </w:numPr>
        <w:kinsoku w:val="0"/>
        <w:overflowPunct w:val="0"/>
        <w:autoSpaceDE/>
        <w:autoSpaceDN/>
        <w:adjustRightInd/>
        <w:spacing w:before="219" w:line="212" w:lineRule="exact"/>
        <w:ind w:right="72"/>
        <w:jc w:val="both"/>
        <w:textAlignment w:val="baseline"/>
        <w:rPr>
          <w:rFonts w:ascii="Verdana" w:hAnsi="Verdana" w:cs="Verdana"/>
          <w:sz w:val="17"/>
          <w:szCs w:val="17"/>
          <w:lang w:val="es-ES" w:eastAsia="es-ES"/>
        </w:rPr>
      </w:pPr>
      <w:r>
        <w:rPr>
          <w:rFonts w:ascii="Verdana" w:hAnsi="Verdana" w:cs="Verdana"/>
          <w:sz w:val="17"/>
          <w:szCs w:val="17"/>
          <w:lang w:val="es-ES" w:eastAsia="es-ES"/>
        </w:rPr>
        <w:t>Para la verificación del cumplimiento de requisitos para la prórroga del servicio especial estable de taxi, modalidad sedán o automóvil, el Departamento de Administración de Concesiones y Permisos cuenta c</w:t>
      </w:r>
      <w:r>
        <w:rPr>
          <w:rFonts w:ascii="Verdana" w:hAnsi="Verdana" w:cs="Verdana"/>
          <w:sz w:val="17"/>
          <w:szCs w:val="17"/>
          <w:lang w:val="es-ES" w:eastAsia="es-ES"/>
        </w:rPr>
        <w:t xml:space="preserve">on el plazo de cuarenta y cinco días naturales, contados a partir del 07 de julio del 2015, y para determinar la formalización de la prórroga, deberá considerar el cálculo aritmético contenido en el oficio </w:t>
      </w:r>
      <w:r>
        <w:rPr>
          <w:rFonts w:ascii="Verdana" w:hAnsi="Verdana" w:cs="Verdana"/>
          <w:b/>
          <w:bCs/>
          <w:sz w:val="17"/>
          <w:szCs w:val="17"/>
          <w:lang w:val="es-ES" w:eastAsia="es-ES"/>
        </w:rPr>
        <w:t xml:space="preserve">DE-2015-1980 </w:t>
      </w:r>
      <w:r>
        <w:rPr>
          <w:rFonts w:ascii="Verdana" w:hAnsi="Verdana" w:cs="Verdana"/>
          <w:sz w:val="17"/>
          <w:szCs w:val="17"/>
          <w:lang w:val="es-ES" w:eastAsia="es-ES"/>
        </w:rPr>
        <w:t>y los requisitos del Transitorio I de</w:t>
      </w:r>
      <w:r>
        <w:rPr>
          <w:rFonts w:ascii="Verdana" w:hAnsi="Verdana" w:cs="Verdana"/>
          <w:sz w:val="17"/>
          <w:szCs w:val="17"/>
          <w:lang w:val="es-ES" w:eastAsia="es-ES"/>
        </w:rPr>
        <w:t xml:space="preserve"> la Ley No. 8955, y el artículo 29 de la Ley No. 7969, debiéndose aplicar también lo indicado en el Dictamen C-078-2015 emitido por la Procuraduría General de la República.</w:t>
      </w:r>
    </w:p>
    <w:p w:rsidR="00000000" w:rsidRDefault="003773B7">
      <w:pPr>
        <w:numPr>
          <w:ilvl w:val="0"/>
          <w:numId w:val="9"/>
        </w:numPr>
        <w:kinsoku w:val="0"/>
        <w:overflowPunct w:val="0"/>
        <w:autoSpaceDE/>
        <w:autoSpaceDN/>
        <w:adjustRightInd/>
        <w:spacing w:before="212" w:line="219" w:lineRule="exact"/>
        <w:ind w:right="72"/>
        <w:jc w:val="both"/>
        <w:textAlignment w:val="baseline"/>
        <w:rPr>
          <w:rFonts w:ascii="Verdana" w:hAnsi="Verdana" w:cs="Verdana"/>
          <w:sz w:val="17"/>
          <w:szCs w:val="17"/>
          <w:lang w:val="es-ES" w:eastAsia="es-ES"/>
        </w:rPr>
      </w:pPr>
      <w:r>
        <w:rPr>
          <w:rFonts w:ascii="Verdana" w:hAnsi="Verdana" w:cs="Verdana"/>
          <w:sz w:val="17"/>
          <w:szCs w:val="17"/>
          <w:lang w:val="es-ES" w:eastAsia="es-ES"/>
        </w:rPr>
        <w:t xml:space="preserve">Para todos los efectos correspondientes a la presente prórroga, no se dispondrá de </w:t>
      </w:r>
      <w:r>
        <w:rPr>
          <w:rFonts w:ascii="Verdana" w:hAnsi="Verdana" w:cs="Verdana"/>
          <w:sz w:val="17"/>
          <w:szCs w:val="17"/>
          <w:lang w:val="es-ES" w:eastAsia="es-ES"/>
        </w:rPr>
        <w:t>plazo adicional alguno para la subsanación de requisitos, sin perjuicio de lo establecido por la Ley No. 8220.</w:t>
      </w:r>
    </w:p>
    <w:p w:rsidR="00000000" w:rsidRDefault="003773B7">
      <w:pPr>
        <w:numPr>
          <w:ilvl w:val="0"/>
          <w:numId w:val="9"/>
        </w:numPr>
        <w:kinsoku w:val="0"/>
        <w:overflowPunct w:val="0"/>
        <w:autoSpaceDE/>
        <w:autoSpaceDN/>
        <w:adjustRightInd/>
        <w:spacing w:before="217" w:after="763" w:line="212" w:lineRule="exact"/>
        <w:ind w:right="72"/>
        <w:jc w:val="both"/>
        <w:textAlignment w:val="baseline"/>
        <w:rPr>
          <w:rFonts w:ascii="Verdana" w:hAnsi="Verdana" w:cs="Verdana"/>
          <w:sz w:val="17"/>
          <w:szCs w:val="17"/>
          <w:lang w:val="es-ES" w:eastAsia="es-ES"/>
        </w:rPr>
      </w:pPr>
      <w:r>
        <w:rPr>
          <w:rFonts w:ascii="Verdana" w:hAnsi="Verdana" w:cs="Verdana"/>
          <w:sz w:val="17"/>
          <w:szCs w:val="17"/>
          <w:lang w:val="es-ES" w:eastAsia="es-ES"/>
        </w:rPr>
        <w:t>Aquellos interesados en la prórroga que aquí se dispone, que no presenten los requisitos completos en tiempo, no presenten la solicitud de prórro</w:t>
      </w:r>
      <w:r>
        <w:rPr>
          <w:rFonts w:ascii="Verdana" w:hAnsi="Verdana" w:cs="Verdana"/>
          <w:sz w:val="17"/>
          <w:szCs w:val="17"/>
          <w:lang w:val="es-ES" w:eastAsia="es-ES"/>
        </w:rPr>
        <w:t>ga en tiempo, a los que se les deniegue el permiso, a aquellos que se les rechacen las acciones recursivas, o incumplan con los requisitos de la misma, no podrán prestar el servicio</w:t>
      </w:r>
    </w:p>
    <w:p w:rsidR="00000000" w:rsidRDefault="003773B7">
      <w:pPr>
        <w:widowControl/>
        <w:rPr>
          <w:sz w:val="24"/>
          <w:szCs w:val="24"/>
        </w:rPr>
        <w:sectPr w:rsidR="00000000">
          <w:pgSz w:w="12288" w:h="15744"/>
          <w:pgMar w:top="2000" w:right="2510" w:bottom="162" w:left="2218" w:header="720" w:footer="720" w:gutter="0"/>
          <w:cols w:space="720"/>
          <w:noEndnote/>
        </w:sectPr>
      </w:pPr>
    </w:p>
    <w:p w:rsidR="00000000" w:rsidRDefault="003773B7">
      <w:pPr>
        <w:widowControl/>
        <w:rPr>
          <w:sz w:val="24"/>
          <w:szCs w:val="24"/>
        </w:rPr>
        <w:sectPr w:rsidR="00000000">
          <w:type w:val="continuous"/>
          <w:pgSz w:w="12288" w:h="15744"/>
          <w:pgMar w:top="2000" w:right="1874" w:bottom="162" w:left="7174" w:header="720" w:footer="720" w:gutter="0"/>
          <w:cols w:space="720"/>
          <w:noEndnote/>
        </w:sectPr>
      </w:pPr>
    </w:p>
    <w:p w:rsidR="00000000" w:rsidRDefault="003773B7">
      <w:pPr>
        <w:kinsoku w:val="0"/>
        <w:overflowPunct w:val="0"/>
        <w:autoSpaceDE/>
        <w:autoSpaceDN/>
        <w:adjustRightInd/>
        <w:spacing w:before="12" w:line="213" w:lineRule="exact"/>
        <w:ind w:left="576" w:right="720"/>
        <w:jc w:val="both"/>
        <w:textAlignment w:val="baseline"/>
        <w:rPr>
          <w:rFonts w:ascii="Tahoma" w:hAnsi="Tahoma" w:cs="Tahoma"/>
          <w:sz w:val="18"/>
          <w:szCs w:val="18"/>
          <w:lang w:val="es-ES" w:eastAsia="es-ES"/>
        </w:rPr>
      </w:pPr>
      <w:r>
        <w:rPr>
          <w:rFonts w:ascii="Tahoma" w:hAnsi="Tahoma" w:cs="Tahoma"/>
          <w:sz w:val="18"/>
          <w:szCs w:val="18"/>
          <w:lang w:val="es-ES" w:eastAsia="es-ES"/>
        </w:rPr>
        <w:lastRenderedPageBreak/>
        <w:t>especial estable de taxi, dejándose sin efecto cualquier otro acuerdo anterior que se contraponga al presente acuerdo contenido en el presente artículo.</w:t>
      </w:r>
    </w:p>
    <w:p w:rsidR="00000000" w:rsidRDefault="003773B7">
      <w:pPr>
        <w:numPr>
          <w:ilvl w:val="0"/>
          <w:numId w:val="10"/>
        </w:numPr>
        <w:kinsoku w:val="0"/>
        <w:overflowPunct w:val="0"/>
        <w:autoSpaceDE/>
        <w:autoSpaceDN/>
        <w:adjustRightInd/>
        <w:spacing w:before="219" w:line="212" w:lineRule="exact"/>
        <w:ind w:right="720"/>
        <w:jc w:val="both"/>
        <w:textAlignment w:val="baseline"/>
        <w:rPr>
          <w:rFonts w:ascii="Tahoma" w:hAnsi="Tahoma" w:cs="Tahoma"/>
          <w:sz w:val="18"/>
          <w:szCs w:val="18"/>
          <w:lang w:val="es-ES" w:eastAsia="es-ES"/>
        </w:rPr>
      </w:pPr>
      <w:r>
        <w:rPr>
          <w:rFonts w:ascii="Tahoma" w:hAnsi="Tahoma" w:cs="Tahoma"/>
          <w:sz w:val="18"/>
          <w:szCs w:val="18"/>
          <w:lang w:val="es-ES" w:eastAsia="es-ES"/>
        </w:rPr>
        <w:t>Se comisiona a la Dirección Ejecutiva para que proceda a comunicar a la Dirección General de la Pol</w:t>
      </w:r>
      <w:r>
        <w:rPr>
          <w:rFonts w:ascii="Tahoma" w:hAnsi="Tahoma" w:cs="Tahoma"/>
          <w:sz w:val="18"/>
          <w:szCs w:val="18"/>
          <w:lang w:val="es-ES" w:eastAsia="es-ES"/>
        </w:rPr>
        <w:t>icía de Tránsito sobre todas las personas físicas o jurídicas que se encuentren imposibilitadas para seguir prestando el servicio especial estable de taxi.</w:t>
      </w:r>
    </w:p>
    <w:p w:rsidR="00000000" w:rsidRPr="003853B7" w:rsidRDefault="003773B7">
      <w:pPr>
        <w:numPr>
          <w:ilvl w:val="0"/>
          <w:numId w:val="10"/>
        </w:numPr>
        <w:kinsoku w:val="0"/>
        <w:overflowPunct w:val="0"/>
        <w:autoSpaceDE/>
        <w:autoSpaceDN/>
        <w:adjustRightInd/>
        <w:spacing w:before="203" w:line="213" w:lineRule="exact"/>
        <w:ind w:right="720"/>
        <w:jc w:val="both"/>
        <w:textAlignment w:val="baseline"/>
        <w:rPr>
          <w:rFonts w:ascii="Tahoma" w:hAnsi="Tahoma" w:cs="Tahoma"/>
          <w:spacing w:val="9"/>
          <w:sz w:val="18"/>
          <w:szCs w:val="18"/>
          <w:lang w:val="es-ES" w:eastAsia="es-ES"/>
        </w:rPr>
      </w:pPr>
      <w:r>
        <w:rPr>
          <w:rFonts w:ascii="Tahoma" w:hAnsi="Tahoma" w:cs="Tahoma"/>
          <w:spacing w:val="9"/>
          <w:sz w:val="18"/>
          <w:szCs w:val="18"/>
          <w:lang w:val="es-ES" w:eastAsia="es-ES"/>
        </w:rPr>
        <w:t xml:space="preserve">Notifíquese: A todos los permisionarios de SEETAXI mencionados en el presente acuerdo </w:t>
      </w:r>
      <w:r>
        <w:rPr>
          <w:rFonts w:ascii="Tahoma" w:hAnsi="Tahoma" w:cs="Tahoma"/>
          <w:b/>
          <w:bCs/>
          <w:spacing w:val="9"/>
          <w:sz w:val="18"/>
          <w:szCs w:val="18"/>
          <w:lang w:val="es-ES" w:eastAsia="es-ES"/>
        </w:rPr>
        <w:t>(ADJUNTAR COPI</w:t>
      </w:r>
      <w:r w:rsidR="003853B7">
        <w:rPr>
          <w:rFonts w:ascii="Tahoma" w:hAnsi="Tahoma" w:cs="Tahoma"/>
          <w:b/>
          <w:bCs/>
          <w:spacing w:val="9"/>
          <w:sz w:val="18"/>
          <w:szCs w:val="18"/>
          <w:lang w:val="es-ES" w:eastAsia="es-ES"/>
        </w:rPr>
        <w:t>A DE LOS OFICIOS DAJ</w:t>
      </w:r>
      <w:r>
        <w:rPr>
          <w:rFonts w:ascii="Tahoma" w:hAnsi="Tahoma" w:cs="Tahoma"/>
          <w:b/>
          <w:bCs/>
          <w:spacing w:val="9"/>
          <w:sz w:val="18"/>
          <w:szCs w:val="18"/>
          <w:lang w:val="es-ES" w:eastAsia="es-ES"/>
        </w:rPr>
        <w:t xml:space="preserve"> 2015-002164 y DE-2015</w:t>
      </w:r>
      <w:r>
        <w:rPr>
          <w:rFonts w:ascii="Tahoma" w:hAnsi="Tahoma" w:cs="Tahoma"/>
          <w:b/>
          <w:bCs/>
          <w:spacing w:val="9"/>
          <w:sz w:val="18"/>
          <w:szCs w:val="18"/>
          <w:lang w:val="es-ES" w:eastAsia="es-ES"/>
        </w:rPr>
        <w:softHyphen/>
        <w:t xml:space="preserve">1980 y DE 2015-2046 con el respectivo anexo de cada empresa) / </w:t>
      </w:r>
      <w:r>
        <w:rPr>
          <w:rFonts w:ascii="Tahoma" w:hAnsi="Tahoma" w:cs="Tahoma"/>
          <w:spacing w:val="9"/>
          <w:sz w:val="18"/>
          <w:szCs w:val="18"/>
          <w:lang w:val="es-ES" w:eastAsia="es-ES"/>
        </w:rPr>
        <w:t xml:space="preserve">Dirección </w:t>
      </w:r>
      <w:r w:rsidRPr="003853B7">
        <w:rPr>
          <w:rFonts w:ascii="Tahoma" w:hAnsi="Tahoma" w:cs="Tahoma"/>
          <w:spacing w:val="9"/>
          <w:sz w:val="18"/>
          <w:szCs w:val="18"/>
          <w:lang w:val="es-ES" w:eastAsia="es-ES"/>
        </w:rPr>
        <w:t xml:space="preserve">Ejecutiva a los correos </w:t>
      </w:r>
      <w:hyperlink r:id="rId5" w:history="1">
        <w:r w:rsidRPr="003853B7">
          <w:rPr>
            <w:rFonts w:ascii="Tahoma" w:hAnsi="Tahoma" w:cs="Tahoma"/>
            <w:spacing w:val="9"/>
            <w:sz w:val="18"/>
            <w:szCs w:val="18"/>
            <w:u w:val="single"/>
            <w:lang w:val="es-ES" w:eastAsia="es-ES"/>
          </w:rPr>
          <w:t>mfallas@ctp.go.cr</w:t>
        </w:r>
      </w:hyperlink>
      <w:r w:rsidRPr="003853B7">
        <w:rPr>
          <w:rFonts w:ascii="Tahoma" w:hAnsi="Tahoma" w:cs="Tahoma"/>
          <w:spacing w:val="9"/>
          <w:sz w:val="18"/>
          <w:szCs w:val="18"/>
          <w:lang w:val="es-ES" w:eastAsia="es-ES"/>
        </w:rPr>
        <w:t xml:space="preserve"> y </w:t>
      </w:r>
      <w:hyperlink r:id="rId6" w:history="1">
        <w:r w:rsidRPr="003853B7">
          <w:rPr>
            <w:rFonts w:ascii="Tahoma" w:hAnsi="Tahoma" w:cs="Tahoma"/>
            <w:spacing w:val="9"/>
            <w:sz w:val="18"/>
            <w:szCs w:val="18"/>
            <w:u w:val="single"/>
            <w:lang w:val="es-ES" w:eastAsia="es-ES"/>
          </w:rPr>
          <w:t>sfonseca@cto.go.cr</w:t>
        </w:r>
      </w:hyperlink>
      <w:r w:rsidRPr="003853B7">
        <w:rPr>
          <w:rFonts w:ascii="Tahoma" w:hAnsi="Tahoma" w:cs="Tahoma"/>
          <w:spacing w:val="9"/>
          <w:sz w:val="18"/>
          <w:szCs w:val="18"/>
          <w:lang w:val="es-ES" w:eastAsia="es-ES"/>
        </w:rPr>
        <w:t xml:space="preserve"> / Departamento de Administración de Permisos y Concesiones a los correos </w:t>
      </w:r>
      <w:hyperlink r:id="rId7" w:history="1">
        <w:r w:rsidR="003853B7" w:rsidRPr="003853B7">
          <w:rPr>
            <w:rStyle w:val="Hipervnculo"/>
            <w:rFonts w:ascii="Tahoma" w:hAnsi="Tahoma" w:cs="Tahoma"/>
            <w:color w:val="auto"/>
            <w:spacing w:val="9"/>
            <w:sz w:val="18"/>
            <w:szCs w:val="18"/>
            <w:lang w:val="es-ES" w:eastAsia="es-ES"/>
          </w:rPr>
          <w:t>ecambronero@ctp.go.cr</w:t>
        </w:r>
      </w:hyperlink>
      <w:r w:rsidR="003853B7" w:rsidRPr="003853B7">
        <w:rPr>
          <w:rFonts w:ascii="Tahoma" w:hAnsi="Tahoma" w:cs="Tahoma"/>
          <w:spacing w:val="9"/>
          <w:sz w:val="18"/>
          <w:szCs w:val="18"/>
          <w:u w:val="single"/>
          <w:lang w:val="es-ES" w:eastAsia="es-ES"/>
        </w:rPr>
        <w:t>, cchinchilla</w:t>
      </w:r>
      <w:hyperlink r:id="rId8" w:history="1">
        <w:r w:rsidR="003853B7" w:rsidRPr="003853B7">
          <w:rPr>
            <w:rStyle w:val="Hipervnculo"/>
            <w:rFonts w:ascii="Tahoma" w:hAnsi="Tahoma" w:cs="Tahoma"/>
            <w:color w:val="auto"/>
            <w:spacing w:val="9"/>
            <w:sz w:val="18"/>
            <w:szCs w:val="18"/>
            <w:lang w:val="es-ES" w:eastAsia="es-ES"/>
          </w:rPr>
          <w:t>@ctp.go.cr</w:t>
        </w:r>
      </w:hyperlink>
      <w:r w:rsidRPr="003853B7">
        <w:rPr>
          <w:rFonts w:ascii="Tahoma" w:hAnsi="Tahoma" w:cs="Tahoma"/>
          <w:spacing w:val="9"/>
          <w:sz w:val="18"/>
          <w:szCs w:val="18"/>
          <w:lang w:val="es-ES" w:eastAsia="es-ES"/>
        </w:rPr>
        <w:t xml:space="preserve"> y </w:t>
      </w:r>
      <w:hyperlink r:id="rId9" w:history="1">
        <w:r w:rsidRPr="003853B7">
          <w:rPr>
            <w:rFonts w:ascii="Tahoma" w:hAnsi="Tahoma" w:cs="Tahoma"/>
            <w:spacing w:val="9"/>
            <w:sz w:val="18"/>
            <w:szCs w:val="18"/>
            <w:u w:val="single"/>
            <w:lang w:val="es-ES" w:eastAsia="es-ES"/>
          </w:rPr>
          <w:t>daguero@ctp.go.cr</w:t>
        </w:r>
      </w:hyperlink>
      <w:r w:rsidRPr="003853B7">
        <w:rPr>
          <w:rFonts w:ascii="Tahoma" w:hAnsi="Tahoma" w:cs="Tahoma"/>
          <w:spacing w:val="9"/>
          <w:sz w:val="18"/>
          <w:szCs w:val="18"/>
          <w:lang w:val="es-ES" w:eastAsia="es-ES"/>
        </w:rPr>
        <w:t xml:space="preserve"> / Departamento Financiero (cobro de canon) al correo msalas@</w:t>
      </w:r>
      <w:hyperlink r:id="rId10" w:history="1">
        <w:r w:rsidRPr="003853B7">
          <w:rPr>
            <w:rFonts w:ascii="Tahoma" w:hAnsi="Tahoma" w:cs="Tahoma"/>
            <w:spacing w:val="9"/>
            <w:sz w:val="18"/>
            <w:szCs w:val="18"/>
            <w:u w:val="single"/>
            <w:lang w:val="es-ES" w:eastAsia="es-ES"/>
          </w:rPr>
          <w:t>ctp. go.cr</w:t>
        </w:r>
      </w:hyperlink>
      <w:r w:rsidRPr="003853B7">
        <w:rPr>
          <w:rFonts w:ascii="Tahoma" w:hAnsi="Tahoma" w:cs="Tahoma"/>
          <w:spacing w:val="9"/>
          <w:sz w:val="18"/>
          <w:szCs w:val="18"/>
          <w:lang w:val="es-ES" w:eastAsia="es-ES"/>
        </w:rPr>
        <w:t xml:space="preserve"> / Dirección General de la Policía de Tránsito</w:t>
      </w:r>
    </w:p>
    <w:p w:rsidR="00000000" w:rsidRDefault="003773B7">
      <w:pPr>
        <w:numPr>
          <w:ilvl w:val="0"/>
          <w:numId w:val="11"/>
        </w:numPr>
        <w:kinsoku w:val="0"/>
        <w:overflowPunct w:val="0"/>
        <w:autoSpaceDE/>
        <w:autoSpaceDN/>
        <w:adjustRightInd/>
        <w:spacing w:before="199" w:line="214" w:lineRule="exact"/>
        <w:jc w:val="both"/>
        <w:textAlignment w:val="baseline"/>
        <w:rPr>
          <w:rFonts w:ascii="Tahoma" w:hAnsi="Tahoma" w:cs="Tahoma"/>
          <w:b/>
          <w:bCs/>
          <w:spacing w:val="6"/>
          <w:sz w:val="18"/>
          <w:szCs w:val="18"/>
          <w:lang w:val="es-ES" w:eastAsia="es-ES"/>
        </w:rPr>
      </w:pPr>
      <w:r>
        <w:rPr>
          <w:rFonts w:ascii="Tahoma" w:hAnsi="Tahoma" w:cs="Tahoma"/>
          <w:b/>
          <w:bCs/>
          <w:spacing w:val="6"/>
          <w:sz w:val="18"/>
          <w:szCs w:val="18"/>
          <w:lang w:val="es-ES" w:eastAsia="es-ES"/>
        </w:rPr>
        <w:t>Se declara firme.-"...</w:t>
      </w:r>
    </w:p>
    <w:p w:rsidR="00000000" w:rsidRDefault="003773B7">
      <w:pPr>
        <w:kinsoku w:val="0"/>
        <w:overflowPunct w:val="0"/>
        <w:autoSpaceDE/>
        <w:autoSpaceDN/>
        <w:adjustRightInd/>
        <w:spacing w:before="318" w:line="296" w:lineRule="exact"/>
        <w:ind w:right="72"/>
        <w:jc w:val="both"/>
        <w:textAlignment w:val="baseline"/>
        <w:rPr>
          <w:rFonts w:ascii="Tahoma" w:hAnsi="Tahoma" w:cs="Tahoma"/>
          <w:spacing w:val="16"/>
          <w:sz w:val="25"/>
          <w:szCs w:val="25"/>
          <w:lang w:val="es-ES" w:eastAsia="es-ES"/>
        </w:rPr>
      </w:pPr>
      <w:r>
        <w:rPr>
          <w:rFonts w:ascii="Tahoma" w:hAnsi="Tahoma" w:cs="Tahoma"/>
          <w:b/>
          <w:bCs/>
          <w:spacing w:val="16"/>
          <w:sz w:val="25"/>
          <w:szCs w:val="25"/>
          <w:lang w:val="es-ES" w:eastAsia="es-ES"/>
        </w:rPr>
        <w:t xml:space="preserve">CUARTO: </w:t>
      </w:r>
      <w:r>
        <w:rPr>
          <w:rFonts w:ascii="Tahoma" w:hAnsi="Tahoma" w:cs="Tahoma"/>
          <w:spacing w:val="16"/>
          <w:sz w:val="25"/>
          <w:szCs w:val="25"/>
          <w:lang w:val="es-ES" w:eastAsia="es-ES"/>
        </w:rPr>
        <w:t xml:space="preserve">La Junta Directiva del Consejo de Transporte Público, mediante </w:t>
      </w:r>
      <w:r>
        <w:rPr>
          <w:rFonts w:ascii="Tahoma" w:hAnsi="Tahoma" w:cs="Tahoma"/>
          <w:b/>
          <w:bCs/>
          <w:spacing w:val="16"/>
          <w:sz w:val="25"/>
          <w:szCs w:val="25"/>
          <w:lang w:val="es-ES" w:eastAsia="es-ES"/>
        </w:rPr>
        <w:t>Acuerdo No. 7.8.3 de su</w:t>
      </w:r>
      <w:r>
        <w:rPr>
          <w:rFonts w:ascii="Tahoma" w:hAnsi="Tahoma" w:cs="Tahoma"/>
          <w:b/>
          <w:bCs/>
          <w:spacing w:val="16"/>
          <w:sz w:val="25"/>
          <w:szCs w:val="25"/>
          <w:lang w:val="es-ES" w:eastAsia="es-ES"/>
        </w:rPr>
        <w:t xml:space="preserve"> Sesión Ordinaria No. 37</w:t>
      </w:r>
      <w:r>
        <w:rPr>
          <w:rFonts w:ascii="Tahoma" w:hAnsi="Tahoma" w:cs="Tahoma"/>
          <w:b/>
          <w:bCs/>
          <w:spacing w:val="16"/>
          <w:sz w:val="25"/>
          <w:szCs w:val="25"/>
          <w:lang w:val="es-ES" w:eastAsia="es-ES"/>
        </w:rPr>
        <w:softHyphen/>
        <w:t xml:space="preserve">2015 del 1 de Julio del 2015, </w:t>
      </w:r>
      <w:r>
        <w:rPr>
          <w:rFonts w:ascii="Tahoma" w:hAnsi="Tahoma" w:cs="Tahoma"/>
          <w:spacing w:val="16"/>
          <w:sz w:val="25"/>
          <w:szCs w:val="25"/>
          <w:lang w:val="es-ES" w:eastAsia="es-ES"/>
        </w:rPr>
        <w:t xml:space="preserve">acoge el informe </w:t>
      </w:r>
      <w:r w:rsidR="003853B7">
        <w:rPr>
          <w:rFonts w:ascii="Tahoma" w:hAnsi="Tahoma" w:cs="Tahoma"/>
          <w:b/>
          <w:bCs/>
          <w:spacing w:val="16"/>
          <w:sz w:val="25"/>
          <w:szCs w:val="25"/>
          <w:lang w:val="es-ES" w:eastAsia="es-ES"/>
        </w:rPr>
        <w:t>DAJ</w:t>
      </w:r>
      <w:r>
        <w:rPr>
          <w:rFonts w:ascii="Tahoma" w:hAnsi="Tahoma" w:cs="Tahoma"/>
          <w:b/>
          <w:bCs/>
          <w:spacing w:val="16"/>
          <w:sz w:val="25"/>
          <w:szCs w:val="25"/>
          <w:lang w:val="es-ES" w:eastAsia="es-ES"/>
        </w:rPr>
        <w:t xml:space="preserve"> 2015</w:t>
      </w:r>
      <w:r>
        <w:rPr>
          <w:rFonts w:ascii="Tahoma" w:hAnsi="Tahoma" w:cs="Tahoma"/>
          <w:b/>
          <w:bCs/>
          <w:spacing w:val="16"/>
          <w:sz w:val="25"/>
          <w:szCs w:val="25"/>
          <w:lang w:val="es-ES" w:eastAsia="es-ES"/>
        </w:rPr>
        <w:softHyphen/>
        <w:t xml:space="preserve">002165 </w:t>
      </w:r>
      <w:r>
        <w:rPr>
          <w:rFonts w:ascii="Tahoma" w:hAnsi="Tahoma" w:cs="Tahoma"/>
          <w:spacing w:val="16"/>
          <w:sz w:val="25"/>
          <w:szCs w:val="25"/>
          <w:lang w:val="es-ES" w:eastAsia="es-ES"/>
        </w:rPr>
        <w:t>de su Dirección de Asuntos Jurídicos, y dispuso:</w:t>
      </w:r>
    </w:p>
    <w:p w:rsidR="00000000" w:rsidRDefault="003773B7">
      <w:pPr>
        <w:kinsoku w:val="0"/>
        <w:overflowPunct w:val="0"/>
        <w:autoSpaceDE/>
        <w:autoSpaceDN/>
        <w:adjustRightInd/>
        <w:spacing w:before="216" w:line="201" w:lineRule="exact"/>
        <w:ind w:left="576" w:right="720"/>
        <w:textAlignment w:val="baseline"/>
        <w:rPr>
          <w:rFonts w:ascii="Tahoma" w:hAnsi="Tahoma" w:cs="Tahoma"/>
          <w:sz w:val="18"/>
          <w:szCs w:val="18"/>
          <w:lang w:val="es-ES" w:eastAsia="es-ES"/>
        </w:rPr>
      </w:pPr>
      <w:r>
        <w:rPr>
          <w:rFonts w:ascii="Tahoma" w:hAnsi="Tahoma" w:cs="Tahoma"/>
          <w:b/>
          <w:bCs/>
          <w:sz w:val="18"/>
          <w:szCs w:val="18"/>
          <w:lang w:val="es-ES" w:eastAsia="es-ES"/>
        </w:rPr>
        <w:t xml:space="preserve">..."ARTICULO 7.8.3.- </w:t>
      </w:r>
      <w:r>
        <w:rPr>
          <w:rFonts w:ascii="Tahoma" w:hAnsi="Tahoma" w:cs="Tahoma"/>
          <w:sz w:val="18"/>
          <w:szCs w:val="18"/>
          <w:lang w:val="es-ES" w:eastAsia="es-ES"/>
        </w:rPr>
        <w:t xml:space="preserve">Se conoce oficio </w:t>
      </w:r>
      <w:r>
        <w:rPr>
          <w:rFonts w:ascii="Tahoma" w:hAnsi="Tahoma" w:cs="Tahoma"/>
          <w:b/>
          <w:bCs/>
          <w:sz w:val="18"/>
          <w:szCs w:val="18"/>
          <w:lang w:val="es-ES" w:eastAsia="es-ES"/>
        </w:rPr>
        <w:t>DA</w:t>
      </w:r>
      <w:r w:rsidR="003853B7">
        <w:rPr>
          <w:rFonts w:ascii="Tahoma" w:hAnsi="Tahoma" w:cs="Tahoma"/>
          <w:b/>
          <w:bCs/>
          <w:sz w:val="18"/>
          <w:szCs w:val="18"/>
          <w:lang w:val="es-ES" w:eastAsia="es-ES"/>
        </w:rPr>
        <w:t>J</w:t>
      </w:r>
      <w:r>
        <w:rPr>
          <w:rFonts w:ascii="Tahoma" w:hAnsi="Tahoma" w:cs="Tahoma"/>
          <w:b/>
          <w:bCs/>
          <w:sz w:val="18"/>
          <w:szCs w:val="18"/>
          <w:lang w:val="es-ES" w:eastAsia="es-ES"/>
        </w:rPr>
        <w:t xml:space="preserve"> 2015-002165 </w:t>
      </w:r>
      <w:r>
        <w:rPr>
          <w:rFonts w:ascii="Tahoma" w:hAnsi="Tahoma" w:cs="Tahoma"/>
          <w:sz w:val="18"/>
          <w:szCs w:val="18"/>
          <w:lang w:val="es-ES" w:eastAsia="es-ES"/>
        </w:rPr>
        <w:t>prórroga servicio especial estable de taxi modalidad microbuses.</w:t>
      </w:r>
    </w:p>
    <w:p w:rsidR="00000000" w:rsidRDefault="003773B7">
      <w:pPr>
        <w:kinsoku w:val="0"/>
        <w:overflowPunct w:val="0"/>
        <w:autoSpaceDE/>
        <w:autoSpaceDN/>
        <w:adjustRightInd/>
        <w:spacing w:before="200" w:line="214" w:lineRule="exact"/>
        <w:ind w:left="576"/>
        <w:textAlignment w:val="baseline"/>
        <w:rPr>
          <w:rFonts w:ascii="Tahoma" w:hAnsi="Tahoma" w:cs="Tahoma"/>
          <w:b/>
          <w:bCs/>
          <w:spacing w:val="7"/>
          <w:sz w:val="18"/>
          <w:szCs w:val="18"/>
          <w:lang w:val="es-ES" w:eastAsia="es-ES"/>
        </w:rPr>
      </w:pPr>
      <w:r>
        <w:rPr>
          <w:rFonts w:ascii="Tahoma" w:hAnsi="Tahoma" w:cs="Tahoma"/>
          <w:b/>
          <w:bCs/>
          <w:spacing w:val="7"/>
          <w:sz w:val="18"/>
          <w:szCs w:val="18"/>
          <w:lang w:val="es-ES" w:eastAsia="es-ES"/>
        </w:rPr>
        <w:t>CONSIDERANDO:</w:t>
      </w:r>
    </w:p>
    <w:p w:rsidR="00000000" w:rsidRDefault="003773B7">
      <w:pPr>
        <w:kinsoku w:val="0"/>
        <w:overflowPunct w:val="0"/>
        <w:autoSpaceDE/>
        <w:autoSpaceDN/>
        <w:adjustRightInd/>
        <w:spacing w:before="236" w:line="212" w:lineRule="exact"/>
        <w:ind w:left="576" w:right="720"/>
        <w:jc w:val="both"/>
        <w:textAlignment w:val="baseline"/>
        <w:rPr>
          <w:rFonts w:ascii="Tahoma" w:hAnsi="Tahoma" w:cs="Tahoma"/>
          <w:spacing w:val="9"/>
          <w:sz w:val="18"/>
          <w:szCs w:val="18"/>
          <w:lang w:val="es-ES" w:eastAsia="es-ES"/>
        </w:rPr>
      </w:pPr>
      <w:r>
        <w:rPr>
          <w:rFonts w:ascii="Tahoma" w:hAnsi="Tahoma" w:cs="Tahoma"/>
          <w:b/>
          <w:bCs/>
          <w:spacing w:val="9"/>
          <w:sz w:val="18"/>
          <w:szCs w:val="18"/>
          <w:lang w:val="es-ES" w:eastAsia="es-ES"/>
        </w:rPr>
        <w:t xml:space="preserve">ÚNICO: </w:t>
      </w:r>
      <w:r>
        <w:rPr>
          <w:rFonts w:ascii="Tahoma" w:hAnsi="Tahoma" w:cs="Tahoma"/>
          <w:spacing w:val="9"/>
          <w:sz w:val="18"/>
          <w:szCs w:val="18"/>
          <w:lang w:val="es-ES" w:eastAsia="es-ES"/>
        </w:rPr>
        <w:t xml:space="preserve">Este órgano colegiado procede a analizar el oficio </w:t>
      </w:r>
      <w:r>
        <w:rPr>
          <w:rFonts w:ascii="Tahoma" w:hAnsi="Tahoma" w:cs="Tahoma"/>
          <w:b/>
          <w:bCs/>
          <w:spacing w:val="9"/>
          <w:sz w:val="18"/>
          <w:szCs w:val="18"/>
          <w:lang w:val="es-ES" w:eastAsia="es-ES"/>
        </w:rPr>
        <w:t>DA</w:t>
      </w:r>
      <w:r w:rsidR="003853B7">
        <w:rPr>
          <w:rFonts w:ascii="Tahoma" w:hAnsi="Tahoma" w:cs="Tahoma"/>
          <w:b/>
          <w:bCs/>
          <w:spacing w:val="9"/>
          <w:sz w:val="18"/>
          <w:szCs w:val="18"/>
          <w:lang w:val="es-ES" w:eastAsia="es-ES"/>
        </w:rPr>
        <w:t>J</w:t>
      </w:r>
      <w:r>
        <w:rPr>
          <w:rFonts w:ascii="Tahoma" w:hAnsi="Tahoma" w:cs="Tahoma"/>
          <w:b/>
          <w:bCs/>
          <w:spacing w:val="9"/>
          <w:sz w:val="18"/>
          <w:szCs w:val="18"/>
          <w:lang w:val="es-ES" w:eastAsia="es-ES"/>
        </w:rPr>
        <w:t xml:space="preserve"> 2015-002165, </w:t>
      </w:r>
      <w:r>
        <w:rPr>
          <w:rFonts w:ascii="Tahoma" w:hAnsi="Tahoma" w:cs="Tahoma"/>
          <w:spacing w:val="9"/>
          <w:sz w:val="18"/>
          <w:szCs w:val="18"/>
          <w:lang w:val="es-ES" w:eastAsia="es-ES"/>
        </w:rPr>
        <w:t>referente a prórroga del servicio especial estable de taxi modalidad microbuses, y se mociona para aprobar todas las recomendaciones emitidas, basadas en los fundament</w:t>
      </w:r>
      <w:r>
        <w:rPr>
          <w:rFonts w:ascii="Tahoma" w:hAnsi="Tahoma" w:cs="Tahoma"/>
          <w:spacing w:val="9"/>
          <w:sz w:val="18"/>
          <w:szCs w:val="18"/>
          <w:lang w:val="es-ES" w:eastAsia="es-ES"/>
        </w:rPr>
        <w:t xml:space="preserve">os, motivos y contenidos, desarrollados en los considerandos del oficio </w:t>
      </w:r>
      <w:r w:rsidR="003853B7">
        <w:rPr>
          <w:rFonts w:ascii="Tahoma" w:hAnsi="Tahoma" w:cs="Tahoma"/>
          <w:b/>
          <w:bCs/>
          <w:spacing w:val="9"/>
          <w:sz w:val="18"/>
          <w:szCs w:val="18"/>
          <w:lang w:val="es-ES" w:eastAsia="es-ES"/>
        </w:rPr>
        <w:t>DAJ</w:t>
      </w:r>
      <w:r>
        <w:rPr>
          <w:rFonts w:ascii="Tahoma" w:hAnsi="Tahoma" w:cs="Tahoma"/>
          <w:b/>
          <w:bCs/>
          <w:spacing w:val="9"/>
          <w:sz w:val="18"/>
          <w:szCs w:val="18"/>
          <w:lang w:val="es-ES" w:eastAsia="es-ES"/>
        </w:rPr>
        <w:t xml:space="preserve"> 2015-002165, </w:t>
      </w:r>
      <w:r>
        <w:rPr>
          <w:rFonts w:ascii="Tahoma" w:hAnsi="Tahoma" w:cs="Tahoma"/>
          <w:spacing w:val="9"/>
          <w:sz w:val="18"/>
          <w:szCs w:val="18"/>
          <w:lang w:val="es-ES" w:eastAsia="es-ES"/>
        </w:rPr>
        <w:t>el cual forma parte integral de esta acta.</w:t>
      </w:r>
    </w:p>
    <w:p w:rsidR="00000000" w:rsidRDefault="003773B7">
      <w:pPr>
        <w:kinsoku w:val="0"/>
        <w:overflowPunct w:val="0"/>
        <w:autoSpaceDE/>
        <w:autoSpaceDN/>
        <w:adjustRightInd/>
        <w:spacing w:before="200" w:line="214" w:lineRule="exact"/>
        <w:ind w:left="576"/>
        <w:textAlignment w:val="baseline"/>
        <w:rPr>
          <w:rFonts w:ascii="Tahoma" w:hAnsi="Tahoma" w:cs="Tahoma"/>
          <w:b/>
          <w:bCs/>
          <w:spacing w:val="8"/>
          <w:sz w:val="18"/>
          <w:szCs w:val="18"/>
          <w:lang w:val="es-ES" w:eastAsia="es-ES"/>
        </w:rPr>
      </w:pPr>
      <w:r>
        <w:rPr>
          <w:rFonts w:ascii="Tahoma" w:hAnsi="Tahoma" w:cs="Tahoma"/>
          <w:b/>
          <w:bCs/>
          <w:spacing w:val="8"/>
          <w:sz w:val="18"/>
          <w:szCs w:val="18"/>
          <w:lang w:val="es-ES" w:eastAsia="es-ES"/>
        </w:rPr>
        <w:t>POR TANTO, SE ACUERDA</w:t>
      </w:r>
    </w:p>
    <w:p w:rsidR="00000000" w:rsidRDefault="003773B7">
      <w:pPr>
        <w:numPr>
          <w:ilvl w:val="0"/>
          <w:numId w:val="12"/>
        </w:numPr>
        <w:kinsoku w:val="0"/>
        <w:overflowPunct w:val="0"/>
        <w:autoSpaceDE/>
        <w:autoSpaceDN/>
        <w:adjustRightInd/>
        <w:spacing w:before="237" w:line="207" w:lineRule="exact"/>
        <w:ind w:right="720"/>
        <w:jc w:val="both"/>
        <w:textAlignment w:val="baseline"/>
        <w:rPr>
          <w:rFonts w:ascii="Tahoma" w:hAnsi="Tahoma" w:cs="Tahoma"/>
          <w:spacing w:val="9"/>
          <w:sz w:val="18"/>
          <w:szCs w:val="18"/>
          <w:lang w:val="es-ES" w:eastAsia="es-ES"/>
        </w:rPr>
      </w:pPr>
      <w:r>
        <w:rPr>
          <w:rFonts w:ascii="Tahoma" w:hAnsi="Tahoma" w:cs="Tahoma"/>
          <w:spacing w:val="9"/>
          <w:sz w:val="18"/>
          <w:szCs w:val="18"/>
          <w:lang w:val="es-ES" w:eastAsia="es-ES"/>
        </w:rPr>
        <w:t xml:space="preserve">Aprobar todas las recomendaciones contenidas en el oficio </w:t>
      </w:r>
      <w:r>
        <w:rPr>
          <w:rFonts w:ascii="Tahoma" w:hAnsi="Tahoma" w:cs="Tahoma"/>
          <w:b/>
          <w:bCs/>
          <w:spacing w:val="9"/>
          <w:sz w:val="18"/>
          <w:szCs w:val="18"/>
          <w:lang w:val="es-ES" w:eastAsia="es-ES"/>
        </w:rPr>
        <w:t>DA</w:t>
      </w:r>
      <w:r w:rsidR="003853B7">
        <w:rPr>
          <w:rFonts w:ascii="Tahoma" w:hAnsi="Tahoma" w:cs="Tahoma"/>
          <w:b/>
          <w:bCs/>
          <w:spacing w:val="9"/>
          <w:sz w:val="18"/>
          <w:szCs w:val="18"/>
          <w:lang w:val="es-ES" w:eastAsia="es-ES"/>
        </w:rPr>
        <w:t>J</w:t>
      </w:r>
      <w:r>
        <w:rPr>
          <w:rFonts w:ascii="Tahoma" w:hAnsi="Tahoma" w:cs="Tahoma"/>
          <w:b/>
          <w:bCs/>
          <w:spacing w:val="9"/>
          <w:sz w:val="18"/>
          <w:szCs w:val="18"/>
          <w:lang w:val="es-ES" w:eastAsia="es-ES"/>
        </w:rPr>
        <w:t xml:space="preserve"> 2015-002165, </w:t>
      </w:r>
      <w:r>
        <w:rPr>
          <w:rFonts w:ascii="Tahoma" w:hAnsi="Tahoma" w:cs="Tahoma"/>
          <w:spacing w:val="9"/>
          <w:sz w:val="18"/>
          <w:szCs w:val="18"/>
          <w:lang w:val="es-ES" w:eastAsia="es-ES"/>
        </w:rPr>
        <w:t>basados en los fundamen</w:t>
      </w:r>
      <w:r>
        <w:rPr>
          <w:rFonts w:ascii="Tahoma" w:hAnsi="Tahoma" w:cs="Tahoma"/>
          <w:spacing w:val="9"/>
          <w:sz w:val="18"/>
          <w:szCs w:val="18"/>
          <w:lang w:val="es-ES" w:eastAsia="es-ES"/>
        </w:rPr>
        <w:t>tos, motivos y contenidos, desarrollados en los considerandos del referido oficio, el cual forma parte integral de este acuerdo.</w:t>
      </w:r>
    </w:p>
    <w:p w:rsidR="00000000" w:rsidRDefault="003773B7">
      <w:pPr>
        <w:numPr>
          <w:ilvl w:val="0"/>
          <w:numId w:val="12"/>
        </w:numPr>
        <w:kinsoku w:val="0"/>
        <w:overflowPunct w:val="0"/>
        <w:autoSpaceDE/>
        <w:autoSpaceDN/>
        <w:adjustRightInd/>
        <w:spacing w:before="235" w:line="207" w:lineRule="exact"/>
        <w:ind w:right="720"/>
        <w:jc w:val="both"/>
        <w:textAlignment w:val="baseline"/>
        <w:rPr>
          <w:rFonts w:ascii="Tahoma" w:hAnsi="Tahoma" w:cs="Tahoma"/>
          <w:spacing w:val="8"/>
          <w:sz w:val="18"/>
          <w:szCs w:val="18"/>
          <w:lang w:val="es-ES" w:eastAsia="es-ES"/>
        </w:rPr>
      </w:pPr>
      <w:r>
        <w:rPr>
          <w:rFonts w:ascii="Tahoma" w:hAnsi="Tahoma" w:cs="Tahoma"/>
          <w:spacing w:val="8"/>
          <w:sz w:val="18"/>
          <w:szCs w:val="18"/>
          <w:lang w:val="es-ES" w:eastAsia="es-ES"/>
        </w:rPr>
        <w:t xml:space="preserve">En apego al principio de legalidad y al principio de discrecionalidad concedido por el ordenamiento jurídico, </w:t>
      </w:r>
      <w:r>
        <w:rPr>
          <w:rFonts w:ascii="Tahoma" w:hAnsi="Tahoma" w:cs="Tahoma"/>
          <w:b/>
          <w:bCs/>
          <w:spacing w:val="8"/>
          <w:sz w:val="18"/>
          <w:szCs w:val="18"/>
          <w:lang w:val="es-ES" w:eastAsia="es-ES"/>
        </w:rPr>
        <w:t xml:space="preserve">NO SE PROCEDE A PRORROGAR </w:t>
      </w:r>
      <w:r>
        <w:rPr>
          <w:rFonts w:ascii="Tahoma" w:hAnsi="Tahoma" w:cs="Tahoma"/>
          <w:spacing w:val="8"/>
          <w:sz w:val="18"/>
          <w:szCs w:val="18"/>
          <w:lang w:val="es-ES" w:eastAsia="es-ES"/>
        </w:rPr>
        <w:t>el servicio especial estable de taxi en la modalidad microbús, por resultar operativamente innecesario, al existir otras normas jurídicas habilitadas para cubrir una demanda cerrada y residual en el seetaxi modalidad automóvil a p</w:t>
      </w:r>
      <w:r>
        <w:rPr>
          <w:rFonts w:ascii="Tahoma" w:hAnsi="Tahoma" w:cs="Tahoma"/>
          <w:spacing w:val="8"/>
          <w:sz w:val="18"/>
          <w:szCs w:val="18"/>
          <w:lang w:val="es-ES" w:eastAsia="es-ES"/>
        </w:rPr>
        <w:t>artir de los transitorios I y II de la Ley No. 8955, artículos 2 y 29 de la Ley No. 7969, o servicio especial para estudiantes, trabajadores o turismo, con fundamento en los artículos 3 y 25 de la Ley No. 3503 y el Decreto Ejecutivo No. 15203-MOPT.</w:t>
      </w:r>
    </w:p>
    <w:p w:rsidR="00000000" w:rsidRDefault="003773B7">
      <w:pPr>
        <w:numPr>
          <w:ilvl w:val="0"/>
          <w:numId w:val="12"/>
        </w:numPr>
        <w:kinsoku w:val="0"/>
        <w:overflowPunct w:val="0"/>
        <w:autoSpaceDE/>
        <w:autoSpaceDN/>
        <w:adjustRightInd/>
        <w:spacing w:before="250" w:line="207" w:lineRule="exact"/>
        <w:jc w:val="both"/>
        <w:textAlignment w:val="baseline"/>
        <w:rPr>
          <w:rFonts w:ascii="Tahoma" w:hAnsi="Tahoma" w:cs="Tahoma"/>
          <w:spacing w:val="8"/>
          <w:sz w:val="18"/>
          <w:szCs w:val="18"/>
          <w:lang w:val="es-ES" w:eastAsia="es-ES"/>
        </w:rPr>
      </w:pPr>
      <w:r>
        <w:rPr>
          <w:rFonts w:ascii="Tahoma" w:hAnsi="Tahoma" w:cs="Tahoma"/>
          <w:spacing w:val="8"/>
          <w:sz w:val="18"/>
          <w:szCs w:val="18"/>
          <w:lang w:val="es-ES" w:eastAsia="es-ES"/>
        </w:rPr>
        <w:t>Infórme</w:t>
      </w:r>
      <w:r>
        <w:rPr>
          <w:rFonts w:ascii="Tahoma" w:hAnsi="Tahoma" w:cs="Tahoma"/>
          <w:spacing w:val="8"/>
          <w:sz w:val="18"/>
          <w:szCs w:val="18"/>
          <w:lang w:val="es-ES" w:eastAsia="es-ES"/>
        </w:rPr>
        <w:t>se a la Dirección General de la Policía de Tránsito, para lo de su cargo.</w:t>
      </w:r>
    </w:p>
    <w:p w:rsidR="00000000" w:rsidRPr="003853B7" w:rsidRDefault="003773B7">
      <w:pPr>
        <w:numPr>
          <w:ilvl w:val="0"/>
          <w:numId w:val="13"/>
        </w:numPr>
        <w:kinsoku w:val="0"/>
        <w:overflowPunct w:val="0"/>
        <w:autoSpaceDE/>
        <w:autoSpaceDN/>
        <w:adjustRightInd/>
        <w:spacing w:before="196" w:after="764" w:line="215" w:lineRule="exact"/>
        <w:ind w:right="720"/>
        <w:jc w:val="both"/>
        <w:textAlignment w:val="baseline"/>
        <w:rPr>
          <w:rFonts w:ascii="Tahoma" w:hAnsi="Tahoma" w:cs="Tahoma"/>
          <w:spacing w:val="9"/>
          <w:sz w:val="18"/>
          <w:szCs w:val="18"/>
          <w:lang w:val="es-ES" w:eastAsia="es-ES"/>
        </w:rPr>
      </w:pPr>
      <w:r>
        <w:rPr>
          <w:rFonts w:ascii="Tahoma" w:hAnsi="Tahoma" w:cs="Tahoma"/>
          <w:b/>
          <w:bCs/>
          <w:spacing w:val="9"/>
          <w:sz w:val="18"/>
          <w:szCs w:val="18"/>
          <w:lang w:val="es-ES" w:eastAsia="es-ES"/>
        </w:rPr>
        <w:t xml:space="preserve">Notifíquese: </w:t>
      </w:r>
      <w:r>
        <w:rPr>
          <w:rFonts w:ascii="Tahoma" w:hAnsi="Tahoma" w:cs="Tahoma"/>
          <w:spacing w:val="9"/>
          <w:sz w:val="18"/>
          <w:szCs w:val="18"/>
          <w:lang w:val="es-ES" w:eastAsia="es-ES"/>
        </w:rPr>
        <w:t xml:space="preserve">Todos los permisionarios de SEETAXI modalidad microbús </w:t>
      </w:r>
      <w:r>
        <w:rPr>
          <w:rFonts w:ascii="Tahoma" w:hAnsi="Tahoma" w:cs="Tahoma"/>
          <w:b/>
          <w:bCs/>
          <w:spacing w:val="9"/>
          <w:sz w:val="18"/>
          <w:szCs w:val="18"/>
          <w:lang w:val="es-ES" w:eastAsia="es-ES"/>
        </w:rPr>
        <w:t>(ADJUNTAR COPIA DEL OFICIO DA</w:t>
      </w:r>
      <w:r w:rsidR="003414A2">
        <w:rPr>
          <w:rFonts w:ascii="Tahoma" w:hAnsi="Tahoma" w:cs="Tahoma"/>
          <w:b/>
          <w:bCs/>
          <w:spacing w:val="9"/>
          <w:sz w:val="18"/>
          <w:szCs w:val="18"/>
          <w:lang w:val="es-ES" w:eastAsia="es-ES"/>
        </w:rPr>
        <w:t>J</w:t>
      </w:r>
      <w:bookmarkStart w:id="0" w:name="_GoBack"/>
      <w:bookmarkEnd w:id="0"/>
      <w:r>
        <w:rPr>
          <w:rFonts w:ascii="Tahoma" w:hAnsi="Tahoma" w:cs="Tahoma"/>
          <w:b/>
          <w:bCs/>
          <w:spacing w:val="9"/>
          <w:sz w:val="18"/>
          <w:szCs w:val="18"/>
          <w:lang w:val="es-ES" w:eastAsia="es-ES"/>
        </w:rPr>
        <w:t xml:space="preserve"> 2015-002165) / </w:t>
      </w:r>
      <w:r>
        <w:rPr>
          <w:rFonts w:ascii="Tahoma" w:hAnsi="Tahoma" w:cs="Tahoma"/>
          <w:spacing w:val="9"/>
          <w:sz w:val="18"/>
          <w:szCs w:val="18"/>
          <w:lang w:val="es-ES" w:eastAsia="es-ES"/>
        </w:rPr>
        <w:t xml:space="preserve">Dirección Ejecutiva a los </w:t>
      </w:r>
      <w:r w:rsidRPr="003853B7">
        <w:rPr>
          <w:rFonts w:ascii="Tahoma" w:hAnsi="Tahoma" w:cs="Tahoma"/>
          <w:spacing w:val="9"/>
          <w:sz w:val="18"/>
          <w:szCs w:val="18"/>
          <w:lang w:val="es-ES" w:eastAsia="es-ES"/>
        </w:rPr>
        <w:t xml:space="preserve">correos </w:t>
      </w:r>
      <w:hyperlink r:id="rId11" w:history="1">
        <w:r w:rsidR="003853B7" w:rsidRPr="003853B7">
          <w:rPr>
            <w:rStyle w:val="Hipervnculo"/>
            <w:rFonts w:ascii="Tahoma" w:hAnsi="Tahoma" w:cs="Tahoma"/>
            <w:color w:val="auto"/>
            <w:spacing w:val="9"/>
            <w:sz w:val="18"/>
            <w:szCs w:val="18"/>
            <w:lang w:val="es-ES" w:eastAsia="es-ES"/>
          </w:rPr>
          <w:t>mfallas@ctg.go.cr</w:t>
        </w:r>
      </w:hyperlink>
      <w:r w:rsidRPr="003853B7">
        <w:rPr>
          <w:rFonts w:ascii="Tahoma" w:hAnsi="Tahoma" w:cs="Tahoma"/>
          <w:spacing w:val="9"/>
          <w:sz w:val="18"/>
          <w:szCs w:val="18"/>
          <w:lang w:val="es-ES" w:eastAsia="es-ES"/>
        </w:rPr>
        <w:t xml:space="preserve"> y </w:t>
      </w:r>
      <w:hyperlink r:id="rId12" w:history="1">
        <w:r w:rsidRPr="003853B7">
          <w:rPr>
            <w:rFonts w:ascii="Tahoma" w:hAnsi="Tahoma" w:cs="Tahoma"/>
            <w:spacing w:val="9"/>
            <w:sz w:val="18"/>
            <w:szCs w:val="18"/>
            <w:u w:val="single"/>
            <w:lang w:val="es-ES" w:eastAsia="es-ES"/>
          </w:rPr>
          <w:t>sfonseca@ctp.go.cr</w:t>
        </w:r>
      </w:hyperlink>
      <w:r w:rsidRPr="003853B7">
        <w:rPr>
          <w:rFonts w:ascii="Tahoma" w:hAnsi="Tahoma" w:cs="Tahoma"/>
          <w:spacing w:val="9"/>
          <w:sz w:val="18"/>
          <w:szCs w:val="18"/>
          <w:lang w:val="es-ES" w:eastAsia="es-ES"/>
        </w:rPr>
        <w:t xml:space="preserve"> / Departamento de Administración de Permisos y Concesiones a los correos </w:t>
      </w:r>
      <w:hyperlink r:id="rId13" w:history="1">
        <w:r w:rsidRPr="003853B7">
          <w:rPr>
            <w:rFonts w:ascii="Tahoma" w:hAnsi="Tahoma" w:cs="Tahoma"/>
            <w:spacing w:val="9"/>
            <w:sz w:val="18"/>
            <w:szCs w:val="18"/>
            <w:u w:val="single"/>
            <w:lang w:val="es-ES" w:eastAsia="es-ES"/>
          </w:rPr>
          <w:t>ecambronero@ctp.go.cr</w:t>
        </w:r>
      </w:hyperlink>
      <w:r w:rsidRPr="003853B7">
        <w:rPr>
          <w:rFonts w:ascii="Tahoma" w:hAnsi="Tahoma" w:cs="Tahoma"/>
          <w:spacing w:val="9"/>
          <w:sz w:val="18"/>
          <w:szCs w:val="18"/>
          <w:u w:val="single"/>
          <w:lang w:val="es-ES" w:eastAsia="es-ES"/>
        </w:rPr>
        <w:t>, cchinchilla</w:t>
      </w:r>
      <w:r w:rsidR="003853B7" w:rsidRPr="003853B7">
        <w:rPr>
          <w:rFonts w:ascii="Tahoma" w:hAnsi="Tahoma" w:cs="Tahoma"/>
          <w:spacing w:val="9"/>
          <w:sz w:val="18"/>
          <w:szCs w:val="18"/>
          <w:u w:val="single"/>
          <w:lang w:val="es-ES" w:eastAsia="es-ES"/>
        </w:rPr>
        <w:t>@</w:t>
      </w:r>
      <w:r w:rsidRPr="003853B7">
        <w:rPr>
          <w:rFonts w:ascii="Tahoma" w:hAnsi="Tahoma" w:cs="Tahoma"/>
          <w:spacing w:val="9"/>
          <w:sz w:val="18"/>
          <w:szCs w:val="18"/>
          <w:u w:val="single"/>
          <w:lang w:val="es-ES" w:eastAsia="es-ES"/>
        </w:rPr>
        <w:t>ctp.go.cr</w:t>
      </w:r>
      <w:r w:rsidRPr="003853B7">
        <w:rPr>
          <w:rFonts w:ascii="Tahoma" w:hAnsi="Tahoma" w:cs="Tahoma"/>
          <w:spacing w:val="9"/>
          <w:sz w:val="18"/>
          <w:szCs w:val="18"/>
          <w:lang w:val="es-ES" w:eastAsia="es-ES"/>
        </w:rPr>
        <w:t xml:space="preserve"> y </w:t>
      </w:r>
      <w:hyperlink r:id="rId14" w:history="1">
        <w:r w:rsidRPr="003853B7">
          <w:rPr>
            <w:rFonts w:ascii="Tahoma" w:hAnsi="Tahoma" w:cs="Tahoma"/>
            <w:spacing w:val="9"/>
            <w:sz w:val="18"/>
            <w:szCs w:val="18"/>
            <w:u w:val="single"/>
            <w:lang w:val="es-ES" w:eastAsia="es-ES"/>
          </w:rPr>
          <w:t>daguero@ctp.go.cr</w:t>
        </w:r>
      </w:hyperlink>
      <w:r w:rsidRPr="003853B7">
        <w:rPr>
          <w:rFonts w:ascii="Tahoma" w:hAnsi="Tahoma" w:cs="Tahoma"/>
          <w:spacing w:val="9"/>
          <w:sz w:val="18"/>
          <w:szCs w:val="18"/>
          <w:lang w:val="es-ES" w:eastAsia="es-ES"/>
        </w:rPr>
        <w:t xml:space="preserve"> / Departamento Financiero (cobro de canon) al correo msalas@</w:t>
      </w:r>
      <w:hyperlink r:id="rId15" w:history="1">
        <w:r w:rsidRPr="003853B7">
          <w:rPr>
            <w:rFonts w:ascii="Tahoma" w:hAnsi="Tahoma" w:cs="Tahoma"/>
            <w:spacing w:val="9"/>
            <w:sz w:val="18"/>
            <w:szCs w:val="18"/>
            <w:u w:val="single"/>
            <w:lang w:val="es-ES" w:eastAsia="es-ES"/>
          </w:rPr>
          <w:t>ctp. go.cr</w:t>
        </w:r>
      </w:hyperlink>
      <w:r w:rsidRPr="003853B7">
        <w:rPr>
          <w:rFonts w:ascii="Tahoma" w:hAnsi="Tahoma" w:cs="Tahoma"/>
          <w:spacing w:val="9"/>
          <w:sz w:val="18"/>
          <w:szCs w:val="18"/>
          <w:lang w:val="es-ES" w:eastAsia="es-ES"/>
        </w:rPr>
        <w:t xml:space="preserve"> / Dirección General de la Policía de Tránsito</w:t>
      </w:r>
    </w:p>
    <w:p w:rsidR="00000000" w:rsidRPr="003853B7" w:rsidRDefault="003773B7">
      <w:pPr>
        <w:widowControl/>
        <w:rPr>
          <w:sz w:val="24"/>
          <w:szCs w:val="24"/>
        </w:rPr>
        <w:sectPr w:rsidR="00000000" w:rsidRPr="003853B7">
          <w:pgSz w:w="12278" w:h="15725"/>
          <w:pgMar w:top="2120" w:right="1790" w:bottom="52" w:left="1715" w:header="720" w:footer="720" w:gutter="0"/>
          <w:cols w:space="720"/>
          <w:noEndnote/>
        </w:sectPr>
      </w:pPr>
    </w:p>
    <w:p w:rsidR="00000000" w:rsidRDefault="003773B7">
      <w:pPr>
        <w:widowControl/>
        <w:rPr>
          <w:sz w:val="24"/>
          <w:szCs w:val="24"/>
        </w:rPr>
        <w:sectPr w:rsidR="00000000">
          <w:type w:val="continuous"/>
          <w:pgSz w:w="12278" w:h="15725"/>
          <w:pgMar w:top="2120" w:right="1790" w:bottom="52" w:left="7248" w:header="720" w:footer="720" w:gutter="0"/>
          <w:cols w:space="720"/>
          <w:noEndnote/>
        </w:sectPr>
      </w:pPr>
    </w:p>
    <w:p w:rsidR="00000000" w:rsidRDefault="003773B7">
      <w:pPr>
        <w:kinsoku w:val="0"/>
        <w:overflowPunct w:val="0"/>
        <w:autoSpaceDE/>
        <w:autoSpaceDN/>
        <w:adjustRightInd/>
        <w:spacing w:before="15" w:line="216" w:lineRule="exact"/>
        <w:ind w:left="576"/>
        <w:textAlignment w:val="baseline"/>
        <w:rPr>
          <w:rFonts w:ascii="Verdana" w:hAnsi="Verdana" w:cs="Verdana"/>
          <w:b/>
          <w:bCs/>
          <w:spacing w:val="-3"/>
          <w:sz w:val="18"/>
          <w:szCs w:val="18"/>
          <w:lang w:val="es-ES" w:eastAsia="es-ES"/>
        </w:rPr>
      </w:pPr>
      <w:r>
        <w:rPr>
          <w:rFonts w:ascii="Verdana" w:hAnsi="Verdana" w:cs="Verdana"/>
          <w:b/>
          <w:bCs/>
          <w:spacing w:val="-3"/>
          <w:sz w:val="18"/>
          <w:szCs w:val="18"/>
          <w:lang w:val="es-ES" w:eastAsia="es-ES"/>
        </w:rPr>
        <w:lastRenderedPageBreak/>
        <w:t>5. Se declara firme.-"...</w:t>
      </w:r>
    </w:p>
    <w:p w:rsidR="00000000" w:rsidRDefault="003773B7">
      <w:pPr>
        <w:kinsoku w:val="0"/>
        <w:overflowPunct w:val="0"/>
        <w:autoSpaceDE/>
        <w:autoSpaceDN/>
        <w:adjustRightInd/>
        <w:spacing w:before="274" w:line="295"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QUINTO: </w:t>
      </w:r>
      <w:r>
        <w:rPr>
          <w:rFonts w:ascii="Verdana" w:hAnsi="Verdana" w:cs="Verdana"/>
          <w:sz w:val="24"/>
          <w:szCs w:val="24"/>
          <w:lang w:val="es-ES" w:eastAsia="es-ES"/>
        </w:rPr>
        <w:t>El Consejo de Transporte Pú</w:t>
      </w:r>
      <w:r>
        <w:rPr>
          <w:rFonts w:ascii="Verdana" w:hAnsi="Verdana" w:cs="Verdana"/>
          <w:sz w:val="24"/>
          <w:szCs w:val="24"/>
          <w:lang w:val="es-ES" w:eastAsia="es-ES"/>
        </w:rPr>
        <w:t xml:space="preserve">blico, mediante publicación realizada en el diario La Extra del 04 de julio del 2015, informó y advirtió a los permisionarios del servicio público de SEETAXI sobre la fecha de vencimiento general de sus permisos </w:t>
      </w:r>
      <w:r>
        <w:rPr>
          <w:rFonts w:ascii="Verdana" w:hAnsi="Verdana" w:cs="Verdana"/>
          <w:b/>
          <w:bCs/>
          <w:i/>
          <w:iCs/>
          <w:sz w:val="24"/>
          <w:szCs w:val="24"/>
          <w:lang w:val="es-ES" w:eastAsia="es-ES"/>
        </w:rPr>
        <w:t xml:space="preserve">(07 de julio del 2015) </w:t>
      </w:r>
      <w:r>
        <w:rPr>
          <w:rFonts w:ascii="Verdana" w:hAnsi="Verdana" w:cs="Verdana"/>
          <w:sz w:val="24"/>
          <w:szCs w:val="24"/>
          <w:lang w:val="es-ES" w:eastAsia="es-ES"/>
        </w:rPr>
        <w:t>y determinó</w:t>
      </w:r>
      <w:r>
        <w:rPr>
          <w:rFonts w:ascii="Verdana" w:hAnsi="Verdana" w:cs="Verdana"/>
          <w:sz w:val="24"/>
          <w:szCs w:val="24"/>
          <w:lang w:val="es-ES" w:eastAsia="es-ES"/>
        </w:rPr>
        <w:t xml:space="preserve"> que los requisitos pertinentes continuaban siendo los mismos establecidos por el transitorio I de la ley no. 8955 y por el artículo 29 de la ley no. 7969.</w:t>
      </w:r>
    </w:p>
    <w:p w:rsidR="00000000" w:rsidRDefault="003773B7">
      <w:pPr>
        <w:kinsoku w:val="0"/>
        <w:overflowPunct w:val="0"/>
        <w:autoSpaceDE/>
        <w:autoSpaceDN/>
        <w:adjustRightInd/>
        <w:spacing w:before="305" w:line="294"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SEXTO: </w:t>
      </w:r>
      <w:r>
        <w:rPr>
          <w:rFonts w:ascii="Verdana" w:hAnsi="Verdana" w:cs="Verdana"/>
          <w:sz w:val="24"/>
          <w:szCs w:val="24"/>
          <w:lang w:val="es-ES" w:eastAsia="es-ES"/>
        </w:rPr>
        <w:t>Comunicados que le fueran los acuerdos antes dichos y el aviso referido, el 7 de julio de 201</w:t>
      </w:r>
      <w:r>
        <w:rPr>
          <w:rFonts w:ascii="Verdana" w:hAnsi="Verdana" w:cs="Verdana"/>
          <w:sz w:val="24"/>
          <w:szCs w:val="24"/>
          <w:lang w:val="es-ES" w:eastAsia="es-ES"/>
        </w:rPr>
        <w:t xml:space="preserve">5, la firma hoy recurrente presenta ante el Consejo de Transporte Público, su </w:t>
      </w:r>
      <w:r>
        <w:rPr>
          <w:rFonts w:ascii="Verdana" w:hAnsi="Verdana" w:cs="Verdana"/>
          <w:b/>
          <w:bCs/>
          <w:sz w:val="24"/>
          <w:szCs w:val="24"/>
          <w:lang w:val="es-ES" w:eastAsia="es-ES"/>
        </w:rPr>
        <w:t xml:space="preserve">SOLICITUD DE PRORROGA DE LOS PERMISOS DE SEETAXI QUE VENÍA DETENTANDO EN RIGOR DE LA PROMULGACIÓN DE LA LEY No. 8955. </w:t>
      </w:r>
      <w:r>
        <w:rPr>
          <w:rFonts w:ascii="Verdana" w:hAnsi="Verdana" w:cs="Verdana"/>
          <w:sz w:val="24"/>
          <w:szCs w:val="24"/>
          <w:lang w:val="es-ES" w:eastAsia="es-ES"/>
        </w:rPr>
        <w:t>(Léanse folios del 72 al 75 del expediente administrativo)</w:t>
      </w:r>
    </w:p>
    <w:p w:rsidR="00000000" w:rsidRDefault="003773B7">
      <w:pPr>
        <w:kinsoku w:val="0"/>
        <w:overflowPunct w:val="0"/>
        <w:autoSpaceDE/>
        <w:autoSpaceDN/>
        <w:adjustRightInd/>
        <w:spacing w:before="269" w:line="296" w:lineRule="exact"/>
        <w:ind w:right="72"/>
        <w:jc w:val="both"/>
        <w:textAlignment w:val="baseline"/>
        <w:rPr>
          <w:rFonts w:ascii="Verdana" w:hAnsi="Verdana" w:cs="Verdana"/>
          <w:spacing w:val="4"/>
          <w:sz w:val="24"/>
          <w:szCs w:val="24"/>
          <w:lang w:val="es-ES" w:eastAsia="es-ES"/>
        </w:rPr>
      </w:pPr>
      <w:r>
        <w:rPr>
          <w:rFonts w:ascii="Verdana" w:hAnsi="Verdana" w:cs="Verdana"/>
          <w:b/>
          <w:bCs/>
          <w:spacing w:val="4"/>
          <w:sz w:val="24"/>
          <w:szCs w:val="24"/>
          <w:lang w:val="es-ES" w:eastAsia="es-ES"/>
        </w:rPr>
        <w:t>S</w:t>
      </w:r>
      <w:r>
        <w:rPr>
          <w:rFonts w:ascii="Verdana" w:hAnsi="Verdana" w:cs="Verdana"/>
          <w:b/>
          <w:bCs/>
          <w:spacing w:val="4"/>
          <w:sz w:val="24"/>
          <w:szCs w:val="24"/>
          <w:lang w:val="es-ES" w:eastAsia="es-ES"/>
        </w:rPr>
        <w:t xml:space="preserve">ETIMO: </w:t>
      </w:r>
      <w:r>
        <w:rPr>
          <w:rFonts w:ascii="Verdana" w:hAnsi="Verdana" w:cs="Verdana"/>
          <w:spacing w:val="4"/>
          <w:sz w:val="24"/>
          <w:szCs w:val="24"/>
          <w:lang w:val="es-ES" w:eastAsia="es-ES"/>
        </w:rPr>
        <w:t xml:space="preserve">La Dirección de Asesoría Jurídica del Consejo de Transporte Público, mediante oficio </w:t>
      </w:r>
      <w:r>
        <w:rPr>
          <w:rFonts w:ascii="Verdana" w:hAnsi="Verdana" w:cs="Verdana"/>
          <w:b/>
          <w:bCs/>
          <w:spacing w:val="4"/>
          <w:sz w:val="24"/>
          <w:szCs w:val="24"/>
          <w:lang w:val="es-ES" w:eastAsia="es-ES"/>
        </w:rPr>
        <w:t xml:space="preserve">No. DAJ-2015002414 del 20 de Julio de 2015, </w:t>
      </w:r>
      <w:r>
        <w:rPr>
          <w:rFonts w:ascii="Verdana" w:hAnsi="Verdana" w:cs="Verdana"/>
          <w:spacing w:val="4"/>
          <w:sz w:val="24"/>
          <w:szCs w:val="24"/>
          <w:lang w:val="es-ES" w:eastAsia="es-ES"/>
        </w:rPr>
        <w:t xml:space="preserve">le </w:t>
      </w:r>
      <w:r>
        <w:rPr>
          <w:rFonts w:ascii="Verdana" w:hAnsi="Verdana" w:cs="Verdana"/>
          <w:b/>
          <w:bCs/>
          <w:spacing w:val="4"/>
          <w:sz w:val="24"/>
          <w:szCs w:val="24"/>
          <w:lang w:val="es-ES" w:eastAsia="es-ES"/>
        </w:rPr>
        <w:t xml:space="preserve">PREVIENE </w:t>
      </w:r>
      <w:r>
        <w:rPr>
          <w:rFonts w:ascii="Verdana" w:hAnsi="Verdana" w:cs="Verdana"/>
          <w:spacing w:val="4"/>
          <w:sz w:val="24"/>
          <w:szCs w:val="24"/>
          <w:lang w:val="es-ES" w:eastAsia="es-ES"/>
        </w:rPr>
        <w:t xml:space="preserve">a la recurrente, sobre ciertos requisitos faltantes </w:t>
      </w:r>
      <w:r>
        <w:rPr>
          <w:rFonts w:ascii="Verdana" w:hAnsi="Verdana" w:cs="Verdana"/>
          <w:i/>
          <w:iCs/>
          <w:spacing w:val="4"/>
          <w:sz w:val="24"/>
          <w:szCs w:val="24"/>
          <w:lang w:val="es-ES" w:eastAsia="es-ES"/>
        </w:rPr>
        <w:t>(valorados los mismos a tenor de las disposiciones del t</w:t>
      </w:r>
      <w:r>
        <w:rPr>
          <w:rFonts w:ascii="Verdana" w:hAnsi="Verdana" w:cs="Verdana"/>
          <w:i/>
          <w:iCs/>
          <w:spacing w:val="4"/>
          <w:sz w:val="24"/>
          <w:szCs w:val="24"/>
          <w:lang w:val="es-ES" w:eastAsia="es-ES"/>
        </w:rPr>
        <w:t xml:space="preserve">ransitorio I de la ley no. 8955 y de los numerales 2 y 29 de la ley no. 7969) </w:t>
      </w:r>
      <w:r>
        <w:rPr>
          <w:rFonts w:ascii="Verdana" w:hAnsi="Verdana" w:cs="Verdana"/>
          <w:b/>
          <w:bCs/>
          <w:spacing w:val="4"/>
          <w:sz w:val="24"/>
          <w:szCs w:val="24"/>
          <w:lang w:val="es-ES" w:eastAsia="es-ES"/>
        </w:rPr>
        <w:t>y le pide que determine y que presente los documentos específicos relativos a los vehículos que continuarán operando el servicio que en el caso de la petente son 4 en el cantón d</w:t>
      </w:r>
      <w:r>
        <w:rPr>
          <w:rFonts w:ascii="Verdana" w:hAnsi="Verdana" w:cs="Verdana"/>
          <w:b/>
          <w:bCs/>
          <w:spacing w:val="4"/>
          <w:sz w:val="24"/>
          <w:szCs w:val="24"/>
          <w:lang w:val="es-ES" w:eastAsia="es-ES"/>
        </w:rPr>
        <w:t xml:space="preserve">e Poás de Alajuela., </w:t>
      </w:r>
      <w:r>
        <w:rPr>
          <w:rFonts w:ascii="Verdana" w:hAnsi="Verdana" w:cs="Verdana"/>
          <w:spacing w:val="4"/>
          <w:sz w:val="24"/>
          <w:szCs w:val="24"/>
          <w:lang w:val="es-ES" w:eastAsia="es-ES"/>
        </w:rPr>
        <w:t xml:space="preserve">dado el redimensionamiento en cuanto a la cantidad de vehículos y/o códigos por base de operación que se ha realizado al emitirse los acuerdos aludidos en los resultandos 1 y 2 anteriores, y en mérito de los dispuesto por el </w:t>
      </w:r>
      <w:r>
        <w:rPr>
          <w:rFonts w:ascii="Verdana" w:hAnsi="Verdana" w:cs="Verdana"/>
          <w:b/>
          <w:bCs/>
          <w:spacing w:val="4"/>
          <w:sz w:val="24"/>
          <w:szCs w:val="24"/>
          <w:lang w:val="es-ES" w:eastAsia="es-ES"/>
        </w:rPr>
        <w:t>Dictamen C</w:t>
      </w:r>
      <w:r>
        <w:rPr>
          <w:rFonts w:ascii="Verdana" w:hAnsi="Verdana" w:cs="Verdana"/>
          <w:b/>
          <w:bCs/>
          <w:spacing w:val="4"/>
          <w:sz w:val="24"/>
          <w:szCs w:val="24"/>
          <w:lang w:val="es-ES" w:eastAsia="es-ES"/>
        </w:rPr>
        <w:t xml:space="preserve">-078-2015 de la Procuraduría General de la República del 13 de Abril del 2015. </w:t>
      </w:r>
      <w:r>
        <w:rPr>
          <w:rFonts w:ascii="Verdana" w:hAnsi="Verdana" w:cs="Verdana"/>
          <w:spacing w:val="4"/>
          <w:sz w:val="24"/>
          <w:szCs w:val="24"/>
          <w:lang w:val="es-ES" w:eastAsia="es-ES"/>
        </w:rPr>
        <w:t>(Léanse folios 87 y 88 del expediente administrativo)</w:t>
      </w:r>
    </w:p>
    <w:p w:rsidR="00000000" w:rsidRDefault="003773B7" w:rsidP="003853B7">
      <w:pPr>
        <w:kinsoku w:val="0"/>
        <w:overflowPunct w:val="0"/>
        <w:autoSpaceDE/>
        <w:autoSpaceDN/>
        <w:adjustRightInd/>
        <w:spacing w:before="295" w:line="299" w:lineRule="exact"/>
        <w:jc w:val="both"/>
        <w:textAlignment w:val="baseline"/>
        <w:rPr>
          <w:rFonts w:ascii="Verdana" w:hAnsi="Verdana" w:cs="Verdana"/>
          <w:spacing w:val="6"/>
          <w:sz w:val="24"/>
          <w:szCs w:val="24"/>
          <w:lang w:val="es-ES" w:eastAsia="es-ES"/>
        </w:rPr>
      </w:pPr>
      <w:r>
        <w:rPr>
          <w:rFonts w:ascii="Verdana" w:hAnsi="Verdana" w:cs="Verdana"/>
          <w:b/>
          <w:bCs/>
          <w:spacing w:val="6"/>
          <w:sz w:val="24"/>
          <w:szCs w:val="24"/>
          <w:lang w:val="es-ES" w:eastAsia="es-ES"/>
        </w:rPr>
        <w:t xml:space="preserve">OCTAVO: </w:t>
      </w:r>
      <w:r>
        <w:rPr>
          <w:rFonts w:ascii="Verdana" w:hAnsi="Verdana" w:cs="Verdana"/>
          <w:spacing w:val="6"/>
          <w:sz w:val="24"/>
          <w:szCs w:val="24"/>
          <w:lang w:val="es-ES" w:eastAsia="es-ES"/>
        </w:rPr>
        <w:t>Mediante Oficio sin número fechado 30 de julio de 2015 la empresa recurrente se apersona a dar respuesta a la Preve</w:t>
      </w:r>
      <w:r>
        <w:rPr>
          <w:rFonts w:ascii="Verdana" w:hAnsi="Verdana" w:cs="Verdana"/>
          <w:spacing w:val="6"/>
          <w:sz w:val="24"/>
          <w:szCs w:val="24"/>
          <w:lang w:val="es-ES" w:eastAsia="es-ES"/>
        </w:rPr>
        <w:t xml:space="preserve">nción girada por el CTP y en uno de los puntos indica que </w:t>
      </w:r>
      <w:r>
        <w:rPr>
          <w:rFonts w:ascii="Verdana" w:hAnsi="Verdana" w:cs="Verdana"/>
          <w:i/>
          <w:iCs/>
          <w:spacing w:val="6"/>
          <w:sz w:val="24"/>
          <w:szCs w:val="24"/>
          <w:lang w:val="es-ES" w:eastAsia="es-ES"/>
        </w:rPr>
        <w:t xml:space="preserve">"Se omite detallar la cantidad de vehículos, puesto que </w:t>
      </w:r>
      <w:r>
        <w:rPr>
          <w:rFonts w:ascii="Verdana" w:hAnsi="Verdana" w:cs="Verdana"/>
          <w:b/>
          <w:bCs/>
          <w:i/>
          <w:iCs/>
          <w:spacing w:val="6"/>
          <w:sz w:val="24"/>
          <w:szCs w:val="24"/>
          <w:lang w:val="es-ES" w:eastAsia="es-ES"/>
        </w:rPr>
        <w:t xml:space="preserve">NOS OPONEMOS </w:t>
      </w:r>
      <w:r>
        <w:rPr>
          <w:rFonts w:ascii="Verdana" w:hAnsi="Verdana" w:cs="Verdana"/>
          <w:i/>
          <w:iCs/>
          <w:spacing w:val="6"/>
          <w:sz w:val="24"/>
          <w:szCs w:val="24"/>
          <w:lang w:val="es-ES" w:eastAsia="es-ES"/>
        </w:rPr>
        <w:t xml:space="preserve">a la disposición del 30% a nivel de base de operación por ser abiertamente ilegal,". </w:t>
      </w:r>
      <w:r>
        <w:rPr>
          <w:rFonts w:ascii="Verdana" w:hAnsi="Verdana" w:cs="Verdana"/>
          <w:spacing w:val="6"/>
          <w:sz w:val="24"/>
          <w:szCs w:val="24"/>
          <w:lang w:val="es-ES" w:eastAsia="es-ES"/>
        </w:rPr>
        <w:t>(Léanse fol</w:t>
      </w:r>
      <w:r>
        <w:rPr>
          <w:rFonts w:ascii="Verdana" w:hAnsi="Verdana" w:cs="Verdana"/>
          <w:spacing w:val="6"/>
          <w:sz w:val="24"/>
          <w:szCs w:val="24"/>
          <w:lang w:val="es-ES" w:eastAsia="es-ES"/>
        </w:rPr>
        <w:t>ios 91 y 92 del expediente administrativo</w:t>
      </w:r>
    </w:p>
    <w:p w:rsidR="00000000" w:rsidRDefault="003773B7">
      <w:pPr>
        <w:kinsoku w:val="0"/>
        <w:overflowPunct w:val="0"/>
        <w:autoSpaceDE/>
        <w:autoSpaceDN/>
        <w:adjustRightInd/>
        <w:spacing w:before="310" w:line="295" w:lineRule="exact"/>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NOVENO: </w:t>
      </w:r>
      <w:r>
        <w:rPr>
          <w:rFonts w:ascii="Verdana" w:hAnsi="Verdana" w:cs="Verdana"/>
          <w:sz w:val="24"/>
          <w:szCs w:val="24"/>
          <w:lang w:val="es-ES" w:eastAsia="es-ES"/>
        </w:rPr>
        <w:t>Ante prevención que realizara este Tribunal, la recurrente se apersona por medio de su representante el día 22 de setiembre</w:t>
      </w:r>
    </w:p>
    <w:p w:rsidR="00000000" w:rsidRDefault="003773B7">
      <w:pPr>
        <w:widowControl/>
        <w:rPr>
          <w:sz w:val="24"/>
          <w:szCs w:val="24"/>
        </w:rPr>
        <w:sectPr w:rsidR="00000000">
          <w:pgSz w:w="12278" w:h="15725"/>
          <w:pgMar w:top="1980" w:right="1903" w:bottom="162" w:left="1675" w:header="720" w:footer="720" w:gutter="0"/>
          <w:cols w:space="720"/>
          <w:noEndnote/>
        </w:sectPr>
      </w:pPr>
    </w:p>
    <w:p w:rsidR="00000000" w:rsidRDefault="003773B7">
      <w:pPr>
        <w:kinsoku w:val="0"/>
        <w:overflowPunct w:val="0"/>
        <w:autoSpaceDE/>
        <w:autoSpaceDN/>
        <w:adjustRightInd/>
        <w:spacing w:line="293" w:lineRule="exact"/>
        <w:jc w:val="both"/>
        <w:textAlignment w:val="baseline"/>
        <w:rPr>
          <w:rFonts w:ascii="Verdana" w:hAnsi="Verdana" w:cs="Verdana"/>
          <w:spacing w:val="11"/>
          <w:sz w:val="23"/>
          <w:szCs w:val="23"/>
          <w:lang w:val="es-ES" w:eastAsia="es-ES"/>
        </w:rPr>
      </w:pPr>
      <w:r>
        <w:rPr>
          <w:rFonts w:ascii="Verdana" w:hAnsi="Verdana" w:cs="Verdana"/>
          <w:spacing w:val="11"/>
          <w:sz w:val="23"/>
          <w:szCs w:val="23"/>
          <w:lang w:val="es-ES" w:eastAsia="es-ES"/>
        </w:rPr>
        <w:lastRenderedPageBreak/>
        <w:t>de 2015 e indica que ha renunciado a cualquier Recurso de Revocatoria y ha decidido interponer la acción recursiva ante este Despacho (Véanse folios 39 y 40 del expediente administrativo)</w:t>
      </w:r>
    </w:p>
    <w:p w:rsidR="00000000" w:rsidRDefault="003773B7">
      <w:pPr>
        <w:kinsoku w:val="0"/>
        <w:overflowPunct w:val="0"/>
        <w:autoSpaceDE/>
        <w:autoSpaceDN/>
        <w:adjustRightInd/>
        <w:spacing w:before="312" w:line="284" w:lineRule="exact"/>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DECIMO: </w:t>
      </w:r>
      <w:r>
        <w:rPr>
          <w:rFonts w:ascii="Verdana" w:hAnsi="Verdana" w:cs="Verdana"/>
          <w:sz w:val="23"/>
          <w:szCs w:val="23"/>
          <w:lang w:val="es-ES" w:eastAsia="es-ES"/>
        </w:rPr>
        <w:t>En los procedimientos seguidos se han observado las prescrip</w:t>
      </w:r>
      <w:r>
        <w:rPr>
          <w:rFonts w:ascii="Verdana" w:hAnsi="Verdana" w:cs="Verdana"/>
          <w:sz w:val="23"/>
          <w:szCs w:val="23"/>
          <w:lang w:val="es-ES" w:eastAsia="es-ES"/>
        </w:rPr>
        <w:t xml:space="preserve">ciones legales, </w:t>
      </w:r>
      <w:r>
        <w:rPr>
          <w:rFonts w:ascii="Verdana" w:hAnsi="Verdana" w:cs="Verdana"/>
          <w:b/>
          <w:bCs/>
          <w:i/>
          <w:iCs/>
          <w:sz w:val="23"/>
          <w:szCs w:val="23"/>
          <w:u w:val="single"/>
          <w:lang w:val="es-ES" w:eastAsia="es-ES"/>
        </w:rPr>
        <w:t>toda vez que ha sido resuelta la acción de inconstitucionalidad</w:t>
      </w:r>
      <w:r>
        <w:rPr>
          <w:rFonts w:ascii="Verdana" w:hAnsi="Verdana" w:cs="Verdana"/>
          <w:sz w:val="23"/>
          <w:szCs w:val="23"/>
          <w:lang w:val="es-ES" w:eastAsia="es-ES"/>
        </w:rPr>
        <w:t xml:space="preserve"> tramitada en la Sala Constitucional mediante expediente número 15-015456-0007-CO, en </w:t>
      </w:r>
      <w:r>
        <w:rPr>
          <w:rFonts w:ascii="Verdana" w:hAnsi="Verdana" w:cs="Verdana"/>
          <w:b/>
          <w:bCs/>
          <w:sz w:val="23"/>
          <w:szCs w:val="23"/>
          <w:lang w:val="es-ES" w:eastAsia="es-ES"/>
        </w:rPr>
        <w:t xml:space="preserve">Voto No. 2017-002791, </w:t>
      </w:r>
      <w:r>
        <w:rPr>
          <w:rFonts w:ascii="Verdana" w:hAnsi="Verdana" w:cs="Verdana"/>
          <w:sz w:val="23"/>
          <w:szCs w:val="23"/>
          <w:lang w:val="es-ES" w:eastAsia="es-ES"/>
        </w:rPr>
        <w:t xml:space="preserve">por la cual se había suspendido el conocimiento de este expediente y </w:t>
      </w:r>
      <w:r>
        <w:rPr>
          <w:rFonts w:ascii="Verdana" w:hAnsi="Verdana" w:cs="Verdana"/>
          <w:sz w:val="23"/>
          <w:szCs w:val="23"/>
          <w:lang w:val="es-ES" w:eastAsia="es-ES"/>
        </w:rPr>
        <w:t>en este acto se conoce y resuelve.</w:t>
      </w:r>
    </w:p>
    <w:p w:rsidR="00000000" w:rsidRDefault="003773B7">
      <w:pPr>
        <w:kinsoku w:val="0"/>
        <w:overflowPunct w:val="0"/>
        <w:autoSpaceDE/>
        <w:autoSpaceDN/>
        <w:adjustRightInd/>
        <w:spacing w:before="283" w:line="291" w:lineRule="exact"/>
        <w:textAlignment w:val="baseline"/>
        <w:rPr>
          <w:rFonts w:ascii="Verdana" w:hAnsi="Verdana" w:cs="Verdana"/>
          <w:b/>
          <w:bCs/>
          <w:i/>
          <w:iCs/>
          <w:spacing w:val="12"/>
          <w:sz w:val="23"/>
          <w:szCs w:val="23"/>
          <w:lang w:val="es-ES" w:eastAsia="es-ES"/>
        </w:rPr>
      </w:pPr>
      <w:r>
        <w:rPr>
          <w:rFonts w:ascii="Verdana" w:hAnsi="Verdana" w:cs="Verdana"/>
          <w:b/>
          <w:bCs/>
          <w:i/>
          <w:iCs/>
          <w:spacing w:val="12"/>
          <w:sz w:val="23"/>
          <w:szCs w:val="23"/>
          <w:lang w:val="es-ES" w:eastAsia="es-ES"/>
        </w:rPr>
        <w:t>REDACTA LA JUEZA PÉREZ PELÁEZ,</w:t>
      </w:r>
    </w:p>
    <w:p w:rsidR="00000000" w:rsidRDefault="003773B7">
      <w:pPr>
        <w:kinsoku w:val="0"/>
        <w:overflowPunct w:val="0"/>
        <w:autoSpaceDE/>
        <w:autoSpaceDN/>
        <w:adjustRightInd/>
        <w:spacing w:before="304" w:line="282" w:lineRule="exact"/>
        <w:jc w:val="center"/>
        <w:textAlignment w:val="baseline"/>
        <w:rPr>
          <w:rFonts w:ascii="Verdana" w:hAnsi="Verdana" w:cs="Verdana"/>
          <w:b/>
          <w:bCs/>
          <w:spacing w:val="13"/>
          <w:sz w:val="23"/>
          <w:szCs w:val="23"/>
          <w:lang w:val="es-ES" w:eastAsia="es-ES"/>
        </w:rPr>
      </w:pPr>
      <w:r>
        <w:rPr>
          <w:rFonts w:ascii="Verdana" w:hAnsi="Verdana" w:cs="Verdana"/>
          <w:b/>
          <w:bCs/>
          <w:spacing w:val="13"/>
          <w:sz w:val="23"/>
          <w:szCs w:val="23"/>
          <w:lang w:val="es-ES" w:eastAsia="es-ES"/>
        </w:rPr>
        <w:t>CONSIDERANDO</w:t>
      </w:r>
    </w:p>
    <w:p w:rsidR="00000000" w:rsidRDefault="003773B7">
      <w:pPr>
        <w:numPr>
          <w:ilvl w:val="0"/>
          <w:numId w:val="14"/>
        </w:numPr>
        <w:kinsoku w:val="0"/>
        <w:overflowPunct w:val="0"/>
        <w:autoSpaceDE/>
        <w:autoSpaceDN/>
        <w:adjustRightInd/>
        <w:spacing w:before="300" w:line="284" w:lineRule="exact"/>
        <w:jc w:val="both"/>
        <w:textAlignment w:val="baseline"/>
        <w:rPr>
          <w:rFonts w:ascii="Verdana" w:hAnsi="Verdana" w:cs="Verdana"/>
          <w:spacing w:val="2"/>
          <w:sz w:val="23"/>
          <w:szCs w:val="23"/>
          <w:lang w:val="es-ES" w:eastAsia="es-ES"/>
        </w:rPr>
      </w:pPr>
      <w:r>
        <w:rPr>
          <w:rFonts w:ascii="Verdana" w:hAnsi="Verdana" w:cs="Verdana"/>
          <w:b/>
          <w:bCs/>
          <w:spacing w:val="2"/>
          <w:sz w:val="23"/>
          <w:szCs w:val="23"/>
          <w:lang w:val="es-ES" w:eastAsia="es-ES"/>
        </w:rPr>
        <w:t xml:space="preserve">SOBRE LA COMPETENCIA: </w:t>
      </w:r>
      <w:r>
        <w:rPr>
          <w:rFonts w:ascii="Verdana" w:hAnsi="Verdana" w:cs="Verdana"/>
          <w:spacing w:val="2"/>
          <w:sz w:val="23"/>
          <w:szCs w:val="23"/>
          <w:lang w:val="es-ES" w:eastAsia="es-ES"/>
        </w:rPr>
        <w:t xml:space="preserve">El Tribunal Administrativo de Transporte es el Órgano competente para conocer y resolver el presente </w:t>
      </w:r>
      <w:r>
        <w:rPr>
          <w:rFonts w:ascii="Verdana" w:hAnsi="Verdana" w:cs="Verdana"/>
          <w:b/>
          <w:bCs/>
          <w:spacing w:val="2"/>
          <w:sz w:val="18"/>
          <w:szCs w:val="18"/>
          <w:lang w:val="es-ES" w:eastAsia="es-ES"/>
        </w:rPr>
        <w:t xml:space="preserve">RECURSO DE APELACIÓN </w:t>
      </w:r>
      <w:r>
        <w:rPr>
          <w:rFonts w:ascii="Verdana" w:hAnsi="Verdana" w:cs="Verdana"/>
          <w:spacing w:val="2"/>
          <w:sz w:val="23"/>
          <w:szCs w:val="23"/>
          <w:lang w:val="es-ES" w:eastAsia="es-ES"/>
        </w:rPr>
        <w:t>de conformidad con el Artí</w:t>
      </w:r>
      <w:r>
        <w:rPr>
          <w:rFonts w:ascii="Verdana" w:hAnsi="Verdana" w:cs="Verdana"/>
          <w:spacing w:val="2"/>
          <w:sz w:val="23"/>
          <w:szCs w:val="23"/>
          <w:lang w:val="es-ES" w:eastAsia="es-ES"/>
        </w:rPr>
        <w:t xml:space="preserve">culo 22 de la Ley Reguladora del Servicio Público de Transporte Remunerado de Personas en Vehículos en la Modalidad de Taxi, No. 7969 de 22 de diciembre de 1999 y sus Reformas </w:t>
      </w:r>
      <w:r>
        <w:rPr>
          <w:rFonts w:ascii="Verdana" w:hAnsi="Verdana" w:cs="Verdana"/>
          <w:i/>
          <w:iCs/>
          <w:spacing w:val="2"/>
          <w:sz w:val="23"/>
          <w:szCs w:val="23"/>
          <w:lang w:val="es-ES" w:eastAsia="es-ES"/>
        </w:rPr>
        <w:t xml:space="preserve">(Ley No. 8955); </w:t>
      </w:r>
      <w:r>
        <w:rPr>
          <w:rFonts w:ascii="Verdana" w:hAnsi="Verdana" w:cs="Verdana"/>
          <w:spacing w:val="2"/>
          <w:sz w:val="23"/>
          <w:szCs w:val="23"/>
          <w:lang w:val="es-ES" w:eastAsia="es-ES"/>
        </w:rPr>
        <w:t xml:space="preserve">así como de la </w:t>
      </w:r>
      <w:r>
        <w:rPr>
          <w:rFonts w:ascii="Verdana" w:hAnsi="Verdana" w:cs="Verdana"/>
          <w:b/>
          <w:bCs/>
          <w:spacing w:val="2"/>
          <w:sz w:val="23"/>
          <w:szCs w:val="23"/>
          <w:lang w:val="es-ES" w:eastAsia="es-ES"/>
        </w:rPr>
        <w:t xml:space="preserve">NULIDAD </w:t>
      </w:r>
      <w:r>
        <w:rPr>
          <w:rFonts w:ascii="Verdana" w:hAnsi="Verdana" w:cs="Verdana"/>
          <w:spacing w:val="2"/>
          <w:sz w:val="23"/>
          <w:szCs w:val="23"/>
          <w:lang w:val="es-ES" w:eastAsia="es-ES"/>
        </w:rPr>
        <w:t>correlativa, según los términos de la Ley</w:t>
      </w:r>
      <w:r>
        <w:rPr>
          <w:rFonts w:ascii="Verdana" w:hAnsi="Verdana" w:cs="Verdana"/>
          <w:spacing w:val="2"/>
          <w:sz w:val="23"/>
          <w:szCs w:val="23"/>
          <w:lang w:val="es-ES" w:eastAsia="es-ES"/>
        </w:rPr>
        <w:t xml:space="preserve"> General de la Administración Pública. -</w:t>
      </w:r>
    </w:p>
    <w:p w:rsidR="00000000" w:rsidRDefault="003773B7">
      <w:pPr>
        <w:numPr>
          <w:ilvl w:val="0"/>
          <w:numId w:val="14"/>
        </w:numPr>
        <w:kinsoku w:val="0"/>
        <w:overflowPunct w:val="0"/>
        <w:autoSpaceDE/>
        <w:autoSpaceDN/>
        <w:adjustRightInd/>
        <w:spacing w:before="268" w:line="284" w:lineRule="exact"/>
        <w:jc w:val="both"/>
        <w:textAlignment w:val="baseline"/>
        <w:rPr>
          <w:rFonts w:ascii="Verdana" w:hAnsi="Verdana" w:cs="Verdana"/>
          <w:sz w:val="24"/>
          <w:szCs w:val="24"/>
          <w:lang w:eastAsia="en-US"/>
        </w:rPr>
      </w:pPr>
      <w:r>
        <w:rPr>
          <w:rFonts w:ascii="Verdana" w:hAnsi="Verdana" w:cs="Verdana"/>
          <w:b/>
          <w:bCs/>
          <w:sz w:val="23"/>
          <w:szCs w:val="23"/>
          <w:lang w:val="es-ES" w:eastAsia="es-ES"/>
        </w:rPr>
        <w:t xml:space="preserve">LA ADMISIBILIDAD DEL RECURSO: </w:t>
      </w:r>
      <w:r>
        <w:rPr>
          <w:rFonts w:ascii="Verdana" w:hAnsi="Verdana" w:cs="Verdana"/>
          <w:b/>
          <w:bCs/>
          <w:sz w:val="23"/>
          <w:szCs w:val="23"/>
          <w:u w:val="single"/>
          <w:lang w:val="es-ES" w:eastAsia="es-ES"/>
        </w:rPr>
        <w:t>En cuanto a la  Legitimación:</w:t>
      </w:r>
      <w:r>
        <w:rPr>
          <w:rFonts w:ascii="Verdana" w:hAnsi="Verdana" w:cs="Verdana"/>
          <w:sz w:val="23"/>
          <w:szCs w:val="23"/>
          <w:lang w:val="es-ES" w:eastAsia="es-ES"/>
        </w:rPr>
        <w:t xml:space="preserve"> Mediante el acuerdo impugnado se rechaza la solicitud de prórroga del permiso de Servicio Especial Estable de Taxi presentada por la recurrente, por lo que</w:t>
      </w:r>
      <w:r>
        <w:rPr>
          <w:rFonts w:ascii="Verdana" w:hAnsi="Verdana" w:cs="Verdana"/>
          <w:sz w:val="23"/>
          <w:szCs w:val="23"/>
          <w:lang w:val="es-ES" w:eastAsia="es-ES"/>
        </w:rPr>
        <w:t xml:space="preserve"> a criterio de este Tribunal cuenta con la Legitimación necesaria para actuar en cuanto al presente asunto. </w:t>
      </w:r>
      <w:r>
        <w:rPr>
          <w:rFonts w:ascii="Verdana" w:hAnsi="Verdana" w:cs="Verdana"/>
          <w:b/>
          <w:bCs/>
          <w:sz w:val="23"/>
          <w:szCs w:val="23"/>
          <w:lang w:val="es-ES" w:eastAsia="es-ES"/>
        </w:rPr>
        <w:t xml:space="preserve">En </w:t>
      </w:r>
      <w:r>
        <w:rPr>
          <w:rFonts w:ascii="Verdana" w:hAnsi="Verdana" w:cs="Verdana"/>
          <w:b/>
          <w:bCs/>
          <w:sz w:val="23"/>
          <w:szCs w:val="23"/>
          <w:u w:val="single"/>
          <w:lang w:val="es-ES" w:eastAsia="es-ES"/>
        </w:rPr>
        <w:t>cuanto al Plazo:</w:t>
      </w:r>
      <w:r>
        <w:rPr>
          <w:rFonts w:ascii="Verdana" w:hAnsi="Verdana" w:cs="Verdana"/>
          <w:sz w:val="23"/>
          <w:szCs w:val="23"/>
          <w:lang w:val="es-ES" w:eastAsia="es-ES"/>
        </w:rPr>
        <w:t xml:space="preserve"> El Recurso de Apelación fue presentado el día 03 de Setiembre del 2015 ante este Tribunal, y de acuerdo con acta de notificación</w:t>
      </w:r>
      <w:r>
        <w:rPr>
          <w:rFonts w:ascii="Verdana" w:hAnsi="Verdana" w:cs="Verdana"/>
          <w:sz w:val="23"/>
          <w:szCs w:val="23"/>
          <w:lang w:val="es-ES" w:eastAsia="es-ES"/>
        </w:rPr>
        <w:t xml:space="preserve"> del acuerdo impugnado a la Recurrente, se le comunicó el 27 de agosto de 2015, (ver folio 56) por lo que el líbelo fue presentado dentro del plazo del Artículo No. 11 de la Ley No. 7969.</w:t>
      </w:r>
      <w:r>
        <w:rPr>
          <w:rFonts w:ascii="Verdana" w:hAnsi="Verdana" w:cs="Verdana"/>
          <w:sz w:val="23"/>
          <w:szCs w:val="23"/>
          <w:lang w:val="es-ES" w:eastAsia="es-ES"/>
        </w:rPr>
        <w:noBreakHyphen/>
      </w:r>
    </w:p>
    <w:p w:rsidR="00000000" w:rsidRDefault="003773B7">
      <w:pPr>
        <w:numPr>
          <w:ilvl w:val="0"/>
          <w:numId w:val="14"/>
        </w:numPr>
        <w:kinsoku w:val="0"/>
        <w:overflowPunct w:val="0"/>
        <w:autoSpaceDE/>
        <w:autoSpaceDN/>
        <w:adjustRightInd/>
        <w:spacing w:before="270" w:line="282" w:lineRule="exact"/>
        <w:jc w:val="both"/>
        <w:textAlignment w:val="baseline"/>
        <w:rPr>
          <w:rFonts w:ascii="Verdana" w:hAnsi="Verdana" w:cs="Verdana"/>
          <w:b/>
          <w:bCs/>
          <w:spacing w:val="4"/>
          <w:sz w:val="23"/>
          <w:szCs w:val="23"/>
          <w:lang w:val="es-ES" w:eastAsia="es-ES"/>
        </w:rPr>
      </w:pPr>
      <w:r>
        <w:rPr>
          <w:rFonts w:ascii="Verdana" w:hAnsi="Verdana" w:cs="Verdana"/>
          <w:b/>
          <w:bCs/>
          <w:spacing w:val="4"/>
          <w:sz w:val="23"/>
          <w:szCs w:val="23"/>
          <w:lang w:val="es-ES" w:eastAsia="es-ES"/>
        </w:rPr>
        <w:t>HECHOS PROBADOS</w:t>
      </w:r>
    </w:p>
    <w:p w:rsidR="00000000" w:rsidRDefault="003773B7">
      <w:pPr>
        <w:kinsoku w:val="0"/>
        <w:overflowPunct w:val="0"/>
        <w:autoSpaceDE/>
        <w:autoSpaceDN/>
        <w:adjustRightInd/>
        <w:spacing w:before="306" w:line="284"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De importancia para la decisión de est</w:t>
      </w:r>
      <w:r>
        <w:rPr>
          <w:rFonts w:ascii="Verdana" w:hAnsi="Verdana" w:cs="Verdana"/>
          <w:sz w:val="23"/>
          <w:szCs w:val="23"/>
          <w:lang w:val="es-ES" w:eastAsia="es-ES"/>
        </w:rPr>
        <w:t>e asunto, se estiman como debidamente demostrados los siguientes hechos:</w:t>
      </w:r>
    </w:p>
    <w:p w:rsidR="00000000" w:rsidRDefault="003773B7">
      <w:pPr>
        <w:kinsoku w:val="0"/>
        <w:overflowPunct w:val="0"/>
        <w:autoSpaceDE/>
        <w:autoSpaceDN/>
        <w:adjustRightInd/>
        <w:spacing w:before="333" w:after="806" w:line="284" w:lineRule="exact"/>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A). - </w:t>
      </w:r>
      <w:r>
        <w:rPr>
          <w:rFonts w:ascii="Verdana" w:hAnsi="Verdana" w:cs="Verdana"/>
          <w:sz w:val="23"/>
          <w:szCs w:val="23"/>
          <w:lang w:val="es-ES" w:eastAsia="es-ES"/>
        </w:rPr>
        <w:t xml:space="preserve">La Junta Directiva del Consejo de Transporte Público mediante el </w:t>
      </w:r>
      <w:r>
        <w:rPr>
          <w:rFonts w:ascii="Verdana" w:hAnsi="Verdana" w:cs="Verdana"/>
          <w:b/>
          <w:bCs/>
          <w:sz w:val="23"/>
          <w:szCs w:val="23"/>
          <w:lang w:val="es-ES" w:eastAsia="es-ES"/>
        </w:rPr>
        <w:t xml:space="preserve">Artículo 7.1.17 de la Sesión Ordinaria 49-2015 del 20 de agosto de 2015, </w:t>
      </w:r>
      <w:r>
        <w:rPr>
          <w:rFonts w:ascii="Verdana" w:hAnsi="Verdana" w:cs="Verdana"/>
          <w:sz w:val="23"/>
          <w:szCs w:val="23"/>
          <w:lang w:val="es-ES" w:eastAsia="es-ES"/>
        </w:rPr>
        <w:t>determina rechazar la solicitud de prór</w:t>
      </w:r>
      <w:r>
        <w:rPr>
          <w:rFonts w:ascii="Verdana" w:hAnsi="Verdana" w:cs="Verdana"/>
          <w:sz w:val="23"/>
          <w:szCs w:val="23"/>
          <w:lang w:val="es-ES" w:eastAsia="es-ES"/>
        </w:rPr>
        <w:t>roga del permiso de</w:t>
      </w:r>
    </w:p>
    <w:p w:rsidR="00000000" w:rsidRDefault="003773B7">
      <w:pPr>
        <w:widowControl/>
        <w:rPr>
          <w:sz w:val="24"/>
          <w:szCs w:val="24"/>
        </w:rPr>
        <w:sectPr w:rsidR="00000000">
          <w:pgSz w:w="12293" w:h="15725"/>
          <w:pgMar w:top="2140" w:right="1847" w:bottom="62" w:left="1746" w:header="720" w:footer="720" w:gutter="0"/>
          <w:cols w:space="720"/>
          <w:noEndnote/>
        </w:sectPr>
      </w:pPr>
    </w:p>
    <w:p w:rsidR="00000000" w:rsidRDefault="003773B7">
      <w:pPr>
        <w:widowControl/>
        <w:rPr>
          <w:sz w:val="24"/>
          <w:szCs w:val="24"/>
        </w:rPr>
        <w:sectPr w:rsidR="00000000">
          <w:type w:val="continuous"/>
          <w:pgSz w:w="12293" w:h="15725"/>
          <w:pgMar w:top="2140" w:right="1878" w:bottom="62" w:left="7315" w:header="720" w:footer="720" w:gutter="0"/>
          <w:cols w:space="720"/>
          <w:noEndnote/>
        </w:sectPr>
      </w:pPr>
    </w:p>
    <w:p w:rsidR="00000000" w:rsidRDefault="003773B7">
      <w:pPr>
        <w:kinsoku w:val="0"/>
        <w:overflowPunct w:val="0"/>
        <w:autoSpaceDE/>
        <w:autoSpaceDN/>
        <w:adjustRightInd/>
        <w:spacing w:before="55" w:line="264" w:lineRule="exact"/>
        <w:ind w:left="72"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servicio especial estable de taxi, formulada por la recurrente. (Léanse folio 23 y 24 del expediente administrativo).</w:t>
      </w:r>
    </w:p>
    <w:p w:rsidR="00000000" w:rsidRDefault="003773B7">
      <w:pPr>
        <w:kinsoku w:val="0"/>
        <w:overflowPunct w:val="0"/>
        <w:autoSpaceDE/>
        <w:autoSpaceDN/>
        <w:adjustRightInd/>
        <w:spacing w:before="322" w:line="282" w:lineRule="exact"/>
        <w:ind w:left="72" w:right="144"/>
        <w:jc w:val="both"/>
        <w:textAlignment w:val="baseline"/>
        <w:rPr>
          <w:rFonts w:ascii="Verdana" w:hAnsi="Verdana" w:cs="Verdana"/>
          <w:spacing w:val="-4"/>
          <w:sz w:val="24"/>
          <w:szCs w:val="24"/>
          <w:lang w:val="es-ES" w:eastAsia="es-ES"/>
        </w:rPr>
      </w:pPr>
      <w:r>
        <w:rPr>
          <w:rFonts w:ascii="Verdana" w:hAnsi="Verdana" w:cs="Verdana"/>
          <w:b/>
          <w:bCs/>
          <w:spacing w:val="-4"/>
          <w:sz w:val="24"/>
          <w:szCs w:val="24"/>
          <w:lang w:val="es-ES" w:eastAsia="es-ES"/>
        </w:rPr>
        <w:t xml:space="preserve">B).- </w:t>
      </w:r>
      <w:r>
        <w:rPr>
          <w:rFonts w:ascii="Verdana" w:hAnsi="Verdana" w:cs="Verdana"/>
          <w:spacing w:val="-4"/>
          <w:sz w:val="24"/>
          <w:szCs w:val="24"/>
          <w:lang w:val="es-ES" w:eastAsia="es-ES"/>
        </w:rPr>
        <w:t xml:space="preserve">La empresa </w:t>
      </w:r>
      <w:r>
        <w:rPr>
          <w:rFonts w:ascii="Verdana" w:hAnsi="Verdana" w:cs="Verdana"/>
          <w:b/>
          <w:bCs/>
          <w:spacing w:val="-4"/>
          <w:sz w:val="24"/>
          <w:szCs w:val="24"/>
          <w:lang w:val="es-ES" w:eastAsia="es-ES"/>
        </w:rPr>
        <w:t xml:space="preserve">recurrente, </w:t>
      </w:r>
      <w:r>
        <w:rPr>
          <w:rFonts w:ascii="Verdana" w:hAnsi="Verdana" w:cs="Verdana"/>
          <w:spacing w:val="-4"/>
          <w:sz w:val="24"/>
          <w:szCs w:val="24"/>
          <w:lang w:val="es-ES" w:eastAsia="es-ES"/>
        </w:rPr>
        <w:t>presenta recurso contra</w:t>
      </w:r>
      <w:r>
        <w:rPr>
          <w:rFonts w:ascii="Verdana" w:hAnsi="Verdana" w:cs="Verdana"/>
          <w:spacing w:val="-4"/>
          <w:sz w:val="24"/>
          <w:szCs w:val="24"/>
          <w:lang w:val="es-ES" w:eastAsia="es-ES"/>
        </w:rPr>
        <w:t xml:space="preserve"> el </w:t>
      </w:r>
      <w:r>
        <w:rPr>
          <w:rFonts w:ascii="Verdana" w:hAnsi="Verdana" w:cs="Verdana"/>
          <w:b/>
          <w:bCs/>
          <w:spacing w:val="-4"/>
          <w:sz w:val="24"/>
          <w:szCs w:val="24"/>
          <w:lang w:val="es-ES" w:eastAsia="es-ES"/>
        </w:rPr>
        <w:t xml:space="preserve">Acuerdo 7.1.17 de la Sesión Ordinaria 49-2015 del 20 de agosto de 2015 </w:t>
      </w:r>
      <w:r>
        <w:rPr>
          <w:rFonts w:ascii="Verdana" w:hAnsi="Verdana" w:cs="Verdana"/>
          <w:spacing w:val="-4"/>
          <w:sz w:val="24"/>
          <w:szCs w:val="24"/>
          <w:lang w:val="es-ES" w:eastAsia="es-ES"/>
        </w:rPr>
        <w:t xml:space="preserve">y manifiesta que los permisos que ostenta fueron dados por Ley por lo que no son en precario, cumplió con todos los requisitos exigidos y la administración violenta el principio de </w:t>
      </w:r>
      <w:r>
        <w:rPr>
          <w:rFonts w:ascii="Verdana" w:hAnsi="Verdana" w:cs="Verdana"/>
          <w:spacing w:val="-4"/>
          <w:sz w:val="24"/>
          <w:szCs w:val="24"/>
          <w:lang w:val="es-ES" w:eastAsia="es-ES"/>
        </w:rPr>
        <w:t>Legalidad con su proceder además de que el acto no se encuentra motivado adecuadamente y se transgrede la Ley 8220 pues se piden documentos que constan en el mismo CTP. (Léanse folios del 1 al 21 del expediente administrativo)</w:t>
      </w:r>
    </w:p>
    <w:p w:rsidR="00000000" w:rsidRDefault="003773B7">
      <w:pPr>
        <w:numPr>
          <w:ilvl w:val="0"/>
          <w:numId w:val="15"/>
        </w:numPr>
        <w:kinsoku w:val="0"/>
        <w:overflowPunct w:val="0"/>
        <w:autoSpaceDE/>
        <w:autoSpaceDN/>
        <w:adjustRightInd/>
        <w:spacing w:before="282" w:line="294" w:lineRule="exact"/>
        <w:ind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 La Junta Directiva de</w:t>
      </w:r>
      <w:r>
        <w:rPr>
          <w:rFonts w:ascii="Verdana" w:hAnsi="Verdana" w:cs="Verdana"/>
          <w:sz w:val="24"/>
          <w:szCs w:val="24"/>
          <w:lang w:val="es-ES" w:eastAsia="es-ES"/>
        </w:rPr>
        <w:t xml:space="preserve">l Consejo de Transporte Público, mediante </w:t>
      </w:r>
      <w:r>
        <w:rPr>
          <w:rFonts w:ascii="Verdana" w:hAnsi="Verdana" w:cs="Verdana"/>
          <w:b/>
          <w:bCs/>
          <w:sz w:val="24"/>
          <w:szCs w:val="24"/>
          <w:lang w:val="es-ES" w:eastAsia="es-ES"/>
        </w:rPr>
        <w:t xml:space="preserve">Acuerdo 7.8.2 de su Sesión Ordinaria No. 37-2015 del 1° de Julio del 2015, </w:t>
      </w:r>
      <w:r>
        <w:rPr>
          <w:rFonts w:ascii="Verdana" w:hAnsi="Verdana" w:cs="Verdana"/>
          <w:sz w:val="24"/>
          <w:szCs w:val="24"/>
          <w:lang w:val="es-ES" w:eastAsia="es-ES"/>
        </w:rPr>
        <w:t xml:space="preserve">conoce y avala los </w:t>
      </w:r>
      <w:r w:rsidR="003853B7">
        <w:rPr>
          <w:rFonts w:ascii="Verdana" w:hAnsi="Verdana" w:cs="Verdana"/>
          <w:b/>
          <w:bCs/>
          <w:sz w:val="24"/>
          <w:szCs w:val="24"/>
          <w:lang w:val="es-ES" w:eastAsia="es-ES"/>
        </w:rPr>
        <w:t>informes DAJ</w:t>
      </w:r>
      <w:r>
        <w:rPr>
          <w:rFonts w:ascii="Verdana" w:hAnsi="Verdana" w:cs="Verdana"/>
          <w:b/>
          <w:bCs/>
          <w:sz w:val="24"/>
          <w:szCs w:val="24"/>
          <w:lang w:val="es-ES" w:eastAsia="es-ES"/>
        </w:rPr>
        <w:t xml:space="preserve"> 2015-002164 de la Dirección de Asuntos Jurídicos y DE-2015-1980 y DE-2015-2046 de la Dirección Ejecutiva, </w:t>
      </w:r>
      <w:r>
        <w:rPr>
          <w:rFonts w:ascii="Verdana" w:hAnsi="Verdana" w:cs="Verdana"/>
          <w:sz w:val="24"/>
          <w:szCs w:val="24"/>
          <w:lang w:val="es-ES" w:eastAsia="es-ES"/>
        </w:rPr>
        <w:t>y</w:t>
      </w:r>
      <w:r>
        <w:rPr>
          <w:rFonts w:ascii="Verdana" w:hAnsi="Verdana" w:cs="Verdana"/>
          <w:sz w:val="24"/>
          <w:szCs w:val="24"/>
          <w:lang w:val="es-ES" w:eastAsia="es-ES"/>
        </w:rPr>
        <w:t xml:space="preserve"> dispuso la renovación de los permisos de SEETAXI en la modalidad de vehículos tipo sedán, conforme a una distribución por base de operación, según el número de concesionarios de taxi existentes en las mismas.</w:t>
      </w:r>
    </w:p>
    <w:p w:rsidR="00000000" w:rsidRDefault="003773B7">
      <w:pPr>
        <w:numPr>
          <w:ilvl w:val="0"/>
          <w:numId w:val="16"/>
        </w:numPr>
        <w:kinsoku w:val="0"/>
        <w:overflowPunct w:val="0"/>
        <w:autoSpaceDE/>
        <w:autoSpaceDN/>
        <w:adjustRightInd/>
        <w:spacing w:before="302" w:line="295"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 </w:t>
      </w:r>
      <w:r>
        <w:rPr>
          <w:rFonts w:ascii="Verdana" w:hAnsi="Verdana" w:cs="Verdana"/>
          <w:sz w:val="24"/>
          <w:szCs w:val="24"/>
          <w:lang w:val="es-ES" w:eastAsia="es-ES"/>
        </w:rPr>
        <w:t>La Junta Directiva del Consejo de Tran</w:t>
      </w:r>
      <w:r>
        <w:rPr>
          <w:rFonts w:ascii="Verdana" w:hAnsi="Verdana" w:cs="Verdana"/>
          <w:sz w:val="24"/>
          <w:szCs w:val="24"/>
          <w:lang w:val="es-ES" w:eastAsia="es-ES"/>
        </w:rPr>
        <w:t xml:space="preserve">sporte Público por medio del </w:t>
      </w:r>
      <w:r>
        <w:rPr>
          <w:rFonts w:ascii="Verdana" w:hAnsi="Verdana" w:cs="Verdana"/>
          <w:b/>
          <w:bCs/>
          <w:sz w:val="24"/>
          <w:szCs w:val="24"/>
          <w:lang w:val="es-ES" w:eastAsia="es-ES"/>
        </w:rPr>
        <w:t xml:space="preserve">Acuerdo 7.8.3 de su Sesión Ordinaria No. 37-2015 del 1° de Julio del 2015, </w:t>
      </w:r>
      <w:r>
        <w:rPr>
          <w:rFonts w:ascii="Verdana" w:hAnsi="Verdana" w:cs="Verdana"/>
          <w:sz w:val="24"/>
          <w:szCs w:val="24"/>
          <w:lang w:val="es-ES" w:eastAsia="es-ES"/>
        </w:rPr>
        <w:t xml:space="preserve">conoce y avala el informe DAJ 2015-002165 de la Dirección de Asuntos Jurídicos, y determinó la NO Renovación de los permisos de SEETAXI en la modalidad </w:t>
      </w:r>
      <w:r>
        <w:rPr>
          <w:rFonts w:ascii="Verdana" w:hAnsi="Verdana" w:cs="Verdana"/>
          <w:sz w:val="24"/>
          <w:szCs w:val="24"/>
          <w:lang w:val="es-ES" w:eastAsia="es-ES"/>
        </w:rPr>
        <w:t>de vehículos tipo microbús.</w:t>
      </w:r>
    </w:p>
    <w:p w:rsidR="00000000" w:rsidRDefault="003773B7">
      <w:pPr>
        <w:numPr>
          <w:ilvl w:val="0"/>
          <w:numId w:val="16"/>
        </w:numPr>
        <w:kinsoku w:val="0"/>
        <w:overflowPunct w:val="0"/>
        <w:autoSpaceDE/>
        <w:autoSpaceDN/>
        <w:adjustRightInd/>
        <w:spacing w:before="275" w:line="294"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 </w:t>
      </w:r>
      <w:r>
        <w:rPr>
          <w:rFonts w:ascii="Verdana" w:hAnsi="Verdana" w:cs="Verdana"/>
          <w:sz w:val="24"/>
          <w:szCs w:val="24"/>
          <w:lang w:val="es-ES" w:eastAsia="es-ES"/>
        </w:rPr>
        <w:t>El Consejo de Transporte Público, mediante publicación realizada en el diario La Extra del 04 de julio del 2015, informó y advirtió a los permisionarios del servicio público</w:t>
      </w:r>
      <w:r>
        <w:rPr>
          <w:rFonts w:ascii="Verdana" w:hAnsi="Verdana" w:cs="Verdana"/>
          <w:sz w:val="24"/>
          <w:szCs w:val="24"/>
          <w:lang w:val="es-ES" w:eastAsia="es-ES"/>
        </w:rPr>
        <w:t xml:space="preserve"> de SEETAXI sobre la fecha de vencimiento general de sus permisos </w:t>
      </w:r>
      <w:r>
        <w:rPr>
          <w:rFonts w:ascii="Verdana" w:hAnsi="Verdana" w:cs="Verdana"/>
          <w:b/>
          <w:bCs/>
          <w:i/>
          <w:iCs/>
          <w:sz w:val="24"/>
          <w:szCs w:val="24"/>
          <w:lang w:val="es-ES" w:eastAsia="es-ES"/>
        </w:rPr>
        <w:t xml:space="preserve">(07 de julio del 2015) </w:t>
      </w:r>
      <w:r>
        <w:rPr>
          <w:rFonts w:ascii="Verdana" w:hAnsi="Verdana" w:cs="Verdana"/>
          <w:sz w:val="24"/>
          <w:szCs w:val="24"/>
          <w:lang w:val="es-ES" w:eastAsia="es-ES"/>
        </w:rPr>
        <w:t>y determinó que los requisitos pertinentes continuaban siendo los mismos establecidos por el transitorio I de la ley no. 8955 y por el artículo 29 de la ley no. 7969.</w:t>
      </w:r>
    </w:p>
    <w:p w:rsidR="00000000" w:rsidRDefault="003773B7">
      <w:pPr>
        <w:numPr>
          <w:ilvl w:val="0"/>
          <w:numId w:val="16"/>
        </w:numPr>
        <w:kinsoku w:val="0"/>
        <w:overflowPunct w:val="0"/>
        <w:autoSpaceDE/>
        <w:autoSpaceDN/>
        <w:adjustRightInd/>
        <w:spacing w:before="303" w:after="1123" w:line="299"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Comunicados que le fueran los acuerdos antes dichos y el aviso referido, el 7 de julio de 2015, la firma hoy recurrente presenta ante el Consejo de Transporte Público, su </w:t>
      </w:r>
      <w:r>
        <w:rPr>
          <w:rFonts w:ascii="Verdana" w:hAnsi="Verdana" w:cs="Verdana"/>
          <w:b/>
          <w:bCs/>
          <w:sz w:val="24"/>
          <w:szCs w:val="24"/>
          <w:lang w:val="es-ES" w:eastAsia="es-ES"/>
        </w:rPr>
        <w:t>SOLICITUD DE PRORROGA DE LOS PERMISOS DE SEETAXI QUE VENÍA DETENTANDO EN RIGOR DE L</w:t>
      </w:r>
      <w:r>
        <w:rPr>
          <w:rFonts w:ascii="Verdana" w:hAnsi="Verdana" w:cs="Verdana"/>
          <w:b/>
          <w:bCs/>
          <w:sz w:val="24"/>
          <w:szCs w:val="24"/>
          <w:lang w:val="es-ES" w:eastAsia="es-ES"/>
        </w:rPr>
        <w:t xml:space="preserve">A PROMULGACIÓN DE LA LEY No. 8955. </w:t>
      </w:r>
      <w:r>
        <w:rPr>
          <w:rFonts w:ascii="Verdana" w:hAnsi="Verdana" w:cs="Verdana"/>
          <w:sz w:val="24"/>
          <w:szCs w:val="24"/>
          <w:lang w:val="es-ES" w:eastAsia="es-ES"/>
        </w:rPr>
        <w:t>(Léanse folios del 72 al 75 del expediente administrativo)</w:t>
      </w:r>
    </w:p>
    <w:p w:rsidR="00000000" w:rsidRDefault="003773B7">
      <w:pPr>
        <w:widowControl/>
        <w:rPr>
          <w:sz w:val="24"/>
          <w:szCs w:val="24"/>
        </w:rPr>
        <w:sectPr w:rsidR="00000000">
          <w:pgSz w:w="12293" w:h="15725"/>
          <w:pgMar w:top="1980" w:right="1848" w:bottom="142" w:left="1653" w:header="720" w:footer="720" w:gutter="0"/>
          <w:cols w:space="720"/>
          <w:noEndnote/>
        </w:sectPr>
      </w:pPr>
    </w:p>
    <w:p w:rsidR="00000000" w:rsidRDefault="003773B7">
      <w:pPr>
        <w:widowControl/>
        <w:rPr>
          <w:sz w:val="24"/>
          <w:szCs w:val="24"/>
        </w:rPr>
        <w:sectPr w:rsidR="00000000">
          <w:type w:val="continuous"/>
          <w:pgSz w:w="12293" w:h="15725"/>
          <w:pgMar w:top="1980" w:right="1848" w:bottom="142" w:left="7205" w:header="720" w:footer="720" w:gutter="0"/>
          <w:cols w:space="720"/>
          <w:noEndnote/>
        </w:sectPr>
      </w:pPr>
    </w:p>
    <w:p w:rsidR="00000000" w:rsidRDefault="003773B7">
      <w:pPr>
        <w:numPr>
          <w:ilvl w:val="0"/>
          <w:numId w:val="17"/>
        </w:numPr>
        <w:kinsoku w:val="0"/>
        <w:overflowPunct w:val="0"/>
        <w:autoSpaceDE/>
        <w:autoSpaceDN/>
        <w:adjustRightInd/>
        <w:spacing w:before="70" w:line="294" w:lineRule="exact"/>
        <w:ind w:right="72"/>
        <w:jc w:val="both"/>
        <w:textAlignment w:val="baseline"/>
        <w:rPr>
          <w:rFonts w:ascii="Verdana" w:hAnsi="Verdana" w:cs="Verdana"/>
          <w:spacing w:val="6"/>
          <w:sz w:val="24"/>
          <w:szCs w:val="24"/>
          <w:lang w:val="es-ES" w:eastAsia="es-ES"/>
        </w:rPr>
      </w:pPr>
      <w:r>
        <w:rPr>
          <w:rFonts w:ascii="Verdana" w:hAnsi="Verdana" w:cs="Verdana"/>
          <w:spacing w:val="6"/>
          <w:sz w:val="24"/>
          <w:szCs w:val="24"/>
          <w:lang w:val="es-ES" w:eastAsia="es-ES"/>
        </w:rPr>
        <w:lastRenderedPageBreak/>
        <w:t xml:space="preserve">La Dirección de Asesoría Jurídica del Consejo de Transporte Público, mediante oficio </w:t>
      </w:r>
      <w:r>
        <w:rPr>
          <w:rFonts w:ascii="Verdana" w:hAnsi="Verdana" w:cs="Verdana"/>
          <w:b/>
          <w:bCs/>
          <w:spacing w:val="6"/>
          <w:sz w:val="24"/>
          <w:szCs w:val="24"/>
          <w:lang w:val="es-ES" w:eastAsia="es-ES"/>
        </w:rPr>
        <w:t>No</w:t>
      </w:r>
      <w:r>
        <w:rPr>
          <w:rFonts w:ascii="Verdana" w:hAnsi="Verdana" w:cs="Verdana"/>
          <w:b/>
          <w:bCs/>
          <w:spacing w:val="6"/>
          <w:sz w:val="24"/>
          <w:szCs w:val="24"/>
          <w:lang w:val="es-ES" w:eastAsia="es-ES"/>
        </w:rPr>
        <w:t xml:space="preserve">. DAJ-2015002414 del 20 de Julio de 2015, </w:t>
      </w:r>
      <w:r>
        <w:rPr>
          <w:rFonts w:ascii="Verdana" w:hAnsi="Verdana" w:cs="Verdana"/>
          <w:spacing w:val="6"/>
          <w:sz w:val="24"/>
          <w:szCs w:val="24"/>
          <w:lang w:val="es-ES" w:eastAsia="es-ES"/>
        </w:rPr>
        <w:t xml:space="preserve">le </w:t>
      </w:r>
      <w:r>
        <w:rPr>
          <w:rFonts w:ascii="Verdana" w:hAnsi="Verdana" w:cs="Verdana"/>
          <w:b/>
          <w:bCs/>
          <w:spacing w:val="6"/>
          <w:sz w:val="24"/>
          <w:szCs w:val="24"/>
          <w:lang w:val="es-ES" w:eastAsia="es-ES"/>
        </w:rPr>
        <w:t xml:space="preserve">PREVIENE </w:t>
      </w:r>
      <w:r>
        <w:rPr>
          <w:rFonts w:ascii="Verdana" w:hAnsi="Verdana" w:cs="Verdana"/>
          <w:spacing w:val="6"/>
          <w:sz w:val="24"/>
          <w:szCs w:val="24"/>
          <w:lang w:val="es-ES" w:eastAsia="es-ES"/>
        </w:rPr>
        <w:t xml:space="preserve">a la recurrente, sobre ciertos requisitos faltantes </w:t>
      </w:r>
      <w:r>
        <w:rPr>
          <w:rFonts w:ascii="Verdana" w:hAnsi="Verdana" w:cs="Verdana"/>
          <w:i/>
          <w:iCs/>
          <w:spacing w:val="6"/>
          <w:sz w:val="24"/>
          <w:szCs w:val="24"/>
          <w:lang w:val="es-ES" w:eastAsia="es-ES"/>
        </w:rPr>
        <w:t xml:space="preserve">(valorados /os mismos a tenor de las disposiciones del transitorio I de la ley no. 8955 y de los numerales 2 y 29 de la ley no. 7969) </w:t>
      </w:r>
      <w:r>
        <w:rPr>
          <w:rFonts w:ascii="Verdana" w:hAnsi="Verdana" w:cs="Verdana"/>
          <w:b/>
          <w:bCs/>
          <w:spacing w:val="6"/>
          <w:sz w:val="24"/>
          <w:szCs w:val="24"/>
          <w:lang w:val="es-ES" w:eastAsia="es-ES"/>
        </w:rPr>
        <w:t>y le pide que de</w:t>
      </w:r>
      <w:r>
        <w:rPr>
          <w:rFonts w:ascii="Verdana" w:hAnsi="Verdana" w:cs="Verdana"/>
          <w:b/>
          <w:bCs/>
          <w:spacing w:val="6"/>
          <w:sz w:val="24"/>
          <w:szCs w:val="24"/>
          <w:lang w:val="es-ES" w:eastAsia="es-ES"/>
        </w:rPr>
        <w:t xml:space="preserve">termine y que presente los documentos específicos relativos a los vehículos que continuarán operando el servicio que en el caso de la petente son 4 en el cantón de Poás de Alajuela, </w:t>
      </w:r>
      <w:r>
        <w:rPr>
          <w:rFonts w:ascii="Verdana" w:hAnsi="Verdana" w:cs="Verdana"/>
          <w:spacing w:val="6"/>
          <w:sz w:val="24"/>
          <w:szCs w:val="24"/>
          <w:lang w:val="es-ES" w:eastAsia="es-ES"/>
        </w:rPr>
        <w:t>dado el redimensionamiento en cuanto a la cantidad de vehículos y/o código</w:t>
      </w:r>
      <w:r>
        <w:rPr>
          <w:rFonts w:ascii="Verdana" w:hAnsi="Verdana" w:cs="Verdana"/>
          <w:spacing w:val="6"/>
          <w:sz w:val="24"/>
          <w:szCs w:val="24"/>
          <w:lang w:val="es-ES" w:eastAsia="es-ES"/>
        </w:rPr>
        <w:t xml:space="preserve">s por base de operación que se ha realizado al emitirse los acuerdos aludidos en los resultandos 1 y 2 anteriores, y en mérito de los dispuesto por el </w:t>
      </w:r>
      <w:r>
        <w:rPr>
          <w:rFonts w:ascii="Verdana" w:hAnsi="Verdana" w:cs="Verdana"/>
          <w:b/>
          <w:bCs/>
          <w:spacing w:val="6"/>
          <w:sz w:val="24"/>
          <w:szCs w:val="24"/>
          <w:lang w:val="es-ES" w:eastAsia="es-ES"/>
        </w:rPr>
        <w:t xml:space="preserve">Dictamen C-078-2015 de la Procuraduría General de la República del 13 de Abril del 2015. </w:t>
      </w:r>
      <w:r>
        <w:rPr>
          <w:rFonts w:ascii="Verdana" w:hAnsi="Verdana" w:cs="Verdana"/>
          <w:spacing w:val="6"/>
          <w:sz w:val="24"/>
          <w:szCs w:val="24"/>
          <w:lang w:val="es-ES" w:eastAsia="es-ES"/>
        </w:rPr>
        <w:t>(Léanse folios 8</w:t>
      </w:r>
      <w:r>
        <w:rPr>
          <w:rFonts w:ascii="Verdana" w:hAnsi="Verdana" w:cs="Verdana"/>
          <w:spacing w:val="6"/>
          <w:sz w:val="24"/>
          <w:szCs w:val="24"/>
          <w:lang w:val="es-ES" w:eastAsia="es-ES"/>
        </w:rPr>
        <w:t>7 y 88 del expediente administrativo)</w:t>
      </w:r>
    </w:p>
    <w:p w:rsidR="00000000" w:rsidRDefault="003773B7">
      <w:pPr>
        <w:numPr>
          <w:ilvl w:val="0"/>
          <w:numId w:val="17"/>
        </w:numPr>
        <w:kinsoku w:val="0"/>
        <w:overflowPunct w:val="0"/>
        <w:autoSpaceDE/>
        <w:autoSpaceDN/>
        <w:adjustRightInd/>
        <w:spacing w:before="304" w:line="293" w:lineRule="exact"/>
        <w:ind w:right="72"/>
        <w:jc w:val="both"/>
        <w:textAlignment w:val="baseline"/>
        <w:rPr>
          <w:rFonts w:ascii="Verdana" w:hAnsi="Verdana" w:cs="Verdana"/>
          <w:spacing w:val="6"/>
          <w:sz w:val="24"/>
          <w:szCs w:val="24"/>
          <w:lang w:val="es-ES" w:eastAsia="es-ES"/>
        </w:rPr>
      </w:pPr>
      <w:r>
        <w:rPr>
          <w:rFonts w:ascii="Verdana" w:hAnsi="Verdana" w:cs="Verdana"/>
          <w:spacing w:val="6"/>
          <w:sz w:val="24"/>
          <w:szCs w:val="24"/>
          <w:lang w:val="es-ES" w:eastAsia="es-ES"/>
        </w:rPr>
        <w:t xml:space="preserve">Mediante Oficio sin número fechado 30 de julio de 2015 la empresa recurrente se apersona a dar respuesta a la Prevención girada por el CTP y en uno de los puntos indica que </w:t>
      </w:r>
      <w:r>
        <w:rPr>
          <w:rFonts w:ascii="Verdana" w:hAnsi="Verdana" w:cs="Verdana"/>
          <w:i/>
          <w:iCs/>
          <w:spacing w:val="6"/>
          <w:sz w:val="24"/>
          <w:szCs w:val="24"/>
          <w:lang w:val="es-ES" w:eastAsia="es-ES"/>
        </w:rPr>
        <w:t xml:space="preserve">"Se omite detallar la cantidad de vehículos, </w:t>
      </w:r>
      <w:r>
        <w:rPr>
          <w:rFonts w:ascii="Verdana" w:hAnsi="Verdana" w:cs="Verdana"/>
          <w:i/>
          <w:iCs/>
          <w:spacing w:val="6"/>
          <w:sz w:val="24"/>
          <w:szCs w:val="24"/>
          <w:lang w:val="es-ES" w:eastAsia="es-ES"/>
        </w:rPr>
        <w:t xml:space="preserve">puesto que </w:t>
      </w:r>
      <w:r>
        <w:rPr>
          <w:rFonts w:ascii="Verdana" w:hAnsi="Verdana" w:cs="Verdana"/>
          <w:b/>
          <w:bCs/>
          <w:i/>
          <w:iCs/>
          <w:spacing w:val="6"/>
          <w:sz w:val="24"/>
          <w:szCs w:val="24"/>
          <w:lang w:val="es-ES" w:eastAsia="es-ES"/>
        </w:rPr>
        <w:t xml:space="preserve">NOS OPONEMOS </w:t>
      </w:r>
      <w:r>
        <w:rPr>
          <w:rFonts w:ascii="Verdana" w:hAnsi="Verdana" w:cs="Verdana"/>
          <w:i/>
          <w:iCs/>
          <w:spacing w:val="6"/>
          <w:sz w:val="24"/>
          <w:szCs w:val="24"/>
          <w:lang w:val="es-ES" w:eastAsia="es-ES"/>
        </w:rPr>
        <w:t xml:space="preserve">a la disposición del 30% a nivel de base de operación por ser abiertamente ilegal,". </w:t>
      </w:r>
      <w:r>
        <w:rPr>
          <w:rFonts w:ascii="Verdana" w:hAnsi="Verdana" w:cs="Verdana"/>
          <w:spacing w:val="6"/>
          <w:sz w:val="24"/>
          <w:szCs w:val="24"/>
          <w:lang w:val="es-ES" w:eastAsia="es-ES"/>
        </w:rPr>
        <w:t>(Léanse folios 91 y 92 del expediente administrativo</w:t>
      </w:r>
    </w:p>
    <w:p w:rsidR="00000000" w:rsidRDefault="003773B7">
      <w:pPr>
        <w:kinsoku w:val="0"/>
        <w:overflowPunct w:val="0"/>
        <w:autoSpaceDE/>
        <w:autoSpaceDN/>
        <w:adjustRightInd/>
        <w:spacing w:before="308" w:line="294" w:lineRule="exact"/>
        <w:ind w:left="72" w:right="72"/>
        <w:jc w:val="both"/>
        <w:textAlignment w:val="baseline"/>
        <w:rPr>
          <w:rFonts w:ascii="Verdana" w:hAnsi="Verdana" w:cs="Verdana"/>
          <w:sz w:val="24"/>
          <w:szCs w:val="24"/>
          <w:lang w:val="es-ES" w:eastAsia="es-ES"/>
        </w:rPr>
      </w:pPr>
      <w:r w:rsidRPr="003853B7">
        <w:rPr>
          <w:rFonts w:ascii="Verdana" w:hAnsi="Verdana" w:cs="Verdana"/>
          <w:b/>
          <w:sz w:val="24"/>
          <w:szCs w:val="24"/>
          <w:lang w:val="es-ES" w:eastAsia="es-ES"/>
        </w:rPr>
        <w:t>I).</w:t>
      </w:r>
      <w:r>
        <w:rPr>
          <w:rFonts w:ascii="Verdana" w:hAnsi="Verdana" w:cs="Verdana"/>
          <w:sz w:val="24"/>
          <w:szCs w:val="24"/>
          <w:lang w:val="es-ES" w:eastAsia="es-ES"/>
        </w:rPr>
        <w:t xml:space="preserve"> - Ante prevenció</w:t>
      </w:r>
      <w:r>
        <w:rPr>
          <w:rFonts w:ascii="Verdana" w:hAnsi="Verdana" w:cs="Verdana"/>
          <w:sz w:val="24"/>
          <w:szCs w:val="24"/>
          <w:lang w:val="es-ES" w:eastAsia="es-ES"/>
        </w:rPr>
        <w:t>n que realizara este Tribunal la recurrente se apersona por medio de su representante el día 22 de setiembre de 2015 e indica que ha renunciado a cualquier Recurso de Revocatoria y ha decidido interponer la acción recursiva ante este Despacho (Véanse folio</w:t>
      </w:r>
      <w:r>
        <w:rPr>
          <w:rFonts w:ascii="Verdana" w:hAnsi="Verdana" w:cs="Verdana"/>
          <w:sz w:val="24"/>
          <w:szCs w:val="24"/>
          <w:lang w:val="es-ES" w:eastAsia="es-ES"/>
        </w:rPr>
        <w:t>s 39 y 40 del expediente administrativo)</w:t>
      </w:r>
    </w:p>
    <w:p w:rsidR="00000000" w:rsidRDefault="003773B7">
      <w:pPr>
        <w:numPr>
          <w:ilvl w:val="0"/>
          <w:numId w:val="18"/>
        </w:numPr>
        <w:kinsoku w:val="0"/>
        <w:overflowPunct w:val="0"/>
        <w:autoSpaceDE/>
        <w:autoSpaceDN/>
        <w:adjustRightInd/>
        <w:spacing w:before="544" w:line="295" w:lineRule="exact"/>
        <w:textAlignment w:val="baseline"/>
        <w:rPr>
          <w:rFonts w:ascii="Verdana" w:hAnsi="Verdana" w:cs="Verdana"/>
          <w:b/>
          <w:bCs/>
          <w:spacing w:val="-6"/>
          <w:sz w:val="24"/>
          <w:szCs w:val="24"/>
          <w:lang w:val="es-ES" w:eastAsia="es-ES"/>
        </w:rPr>
      </w:pPr>
      <w:r>
        <w:rPr>
          <w:rFonts w:ascii="Verdana" w:hAnsi="Verdana" w:cs="Verdana"/>
          <w:b/>
          <w:bCs/>
          <w:spacing w:val="-6"/>
          <w:sz w:val="24"/>
          <w:szCs w:val="24"/>
          <w:lang w:val="es-ES" w:eastAsia="es-ES"/>
        </w:rPr>
        <w:t>HECHOS NO PROBADOS:</w:t>
      </w:r>
    </w:p>
    <w:p w:rsidR="00000000" w:rsidRDefault="003773B7">
      <w:pPr>
        <w:kinsoku w:val="0"/>
        <w:overflowPunct w:val="0"/>
        <w:autoSpaceDE/>
        <w:autoSpaceDN/>
        <w:adjustRightInd/>
        <w:spacing w:line="294" w:lineRule="exact"/>
        <w:ind w:left="72"/>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No se tiene como tal ninguno de relevancia para lo que se define por el</w:t>
      </w:r>
    </w:p>
    <w:p w:rsidR="00000000" w:rsidRDefault="003773B7">
      <w:pPr>
        <w:kinsoku w:val="0"/>
        <w:overflowPunct w:val="0"/>
        <w:autoSpaceDE/>
        <w:autoSpaceDN/>
        <w:adjustRightInd/>
        <w:spacing w:line="264" w:lineRule="exact"/>
        <w:ind w:left="72"/>
        <w:textAlignment w:val="baseline"/>
        <w:rPr>
          <w:rFonts w:ascii="Verdana" w:hAnsi="Verdana" w:cs="Verdana"/>
          <w:spacing w:val="-5"/>
          <w:sz w:val="24"/>
          <w:szCs w:val="24"/>
          <w:lang w:val="es-ES" w:eastAsia="es-ES"/>
        </w:rPr>
      </w:pPr>
      <w:r>
        <w:rPr>
          <w:rFonts w:ascii="Verdana" w:hAnsi="Verdana" w:cs="Verdana"/>
          <w:spacing w:val="-5"/>
          <w:sz w:val="24"/>
          <w:szCs w:val="24"/>
          <w:lang w:val="es-ES" w:eastAsia="es-ES"/>
        </w:rPr>
        <w:t>presente medio.</w:t>
      </w:r>
    </w:p>
    <w:p w:rsidR="00000000" w:rsidRDefault="003773B7">
      <w:pPr>
        <w:numPr>
          <w:ilvl w:val="0"/>
          <w:numId w:val="18"/>
        </w:numPr>
        <w:kinsoku w:val="0"/>
        <w:overflowPunct w:val="0"/>
        <w:autoSpaceDE/>
        <w:autoSpaceDN/>
        <w:adjustRightInd/>
        <w:spacing w:line="715" w:lineRule="exact"/>
        <w:textAlignment w:val="baseline"/>
        <w:rPr>
          <w:rFonts w:ascii="Verdana" w:hAnsi="Verdana" w:cs="Verdana"/>
          <w:b/>
          <w:bCs/>
          <w:sz w:val="24"/>
          <w:szCs w:val="24"/>
          <w:lang w:val="es-ES" w:eastAsia="es-ES"/>
        </w:rPr>
      </w:pPr>
      <w:r>
        <w:rPr>
          <w:rFonts w:ascii="Verdana" w:hAnsi="Verdana" w:cs="Verdana"/>
          <w:b/>
          <w:bCs/>
          <w:sz w:val="24"/>
          <w:szCs w:val="24"/>
          <w:lang w:val="es-ES" w:eastAsia="es-ES"/>
        </w:rPr>
        <w:t>SOBRE EL FONDO:</w:t>
      </w:r>
      <w:r>
        <w:rPr>
          <w:rFonts w:ascii="Verdana" w:hAnsi="Verdana" w:cs="Verdana"/>
          <w:b/>
          <w:bCs/>
          <w:sz w:val="24"/>
          <w:szCs w:val="24"/>
          <w:lang w:val="es-ES" w:eastAsia="es-ES"/>
        </w:rPr>
        <w:br/>
        <w:t>5.1.- OBJETO DEL RECURSO</w:t>
      </w:r>
    </w:p>
    <w:p w:rsidR="00000000" w:rsidRDefault="003773B7">
      <w:pPr>
        <w:kinsoku w:val="0"/>
        <w:overflowPunct w:val="0"/>
        <w:autoSpaceDE/>
        <w:autoSpaceDN/>
        <w:adjustRightInd/>
        <w:spacing w:before="313" w:after="523" w:line="284"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 xml:space="preserve">Las presentes acciones impugnatorias tienen como fin que se declare la ilegalidad del </w:t>
      </w:r>
      <w:r>
        <w:rPr>
          <w:rFonts w:ascii="Verdana" w:hAnsi="Verdana" w:cs="Verdana"/>
          <w:b/>
          <w:bCs/>
          <w:spacing w:val="-2"/>
          <w:sz w:val="24"/>
          <w:szCs w:val="24"/>
          <w:lang w:val="es-ES" w:eastAsia="es-ES"/>
        </w:rPr>
        <w:t xml:space="preserve">Artículo 7.1.17 de la Sesión Ordinaria 49-2015, de 20 de agosto de 2015, </w:t>
      </w:r>
      <w:r>
        <w:rPr>
          <w:rFonts w:ascii="Verdana" w:hAnsi="Verdana" w:cs="Verdana"/>
          <w:spacing w:val="-2"/>
          <w:sz w:val="24"/>
          <w:szCs w:val="24"/>
          <w:lang w:val="es-ES" w:eastAsia="es-ES"/>
        </w:rPr>
        <w:t>dictado por la Junta Directiva del Consejo de</w:t>
      </w:r>
    </w:p>
    <w:p w:rsidR="00000000" w:rsidRDefault="003773B7">
      <w:pPr>
        <w:widowControl/>
        <w:rPr>
          <w:sz w:val="24"/>
          <w:szCs w:val="24"/>
        </w:rPr>
        <w:sectPr w:rsidR="00000000">
          <w:pgSz w:w="12293" w:h="15744"/>
          <w:pgMar w:top="2120" w:right="1818" w:bottom="52" w:left="1683" w:header="720" w:footer="720" w:gutter="0"/>
          <w:cols w:space="720"/>
          <w:noEndnote/>
        </w:sectPr>
      </w:pPr>
    </w:p>
    <w:p w:rsidR="00000000" w:rsidRDefault="003773B7">
      <w:pPr>
        <w:widowControl/>
        <w:rPr>
          <w:sz w:val="24"/>
          <w:szCs w:val="24"/>
        </w:rPr>
        <w:sectPr w:rsidR="00000000">
          <w:type w:val="continuous"/>
          <w:pgSz w:w="12293" w:h="15744"/>
          <w:pgMar w:top="2120" w:right="1843" w:bottom="52" w:left="7210" w:header="720" w:footer="720" w:gutter="0"/>
          <w:cols w:space="720"/>
          <w:noEndnote/>
        </w:sectPr>
      </w:pPr>
    </w:p>
    <w:p w:rsidR="00000000" w:rsidRDefault="003773B7">
      <w:pPr>
        <w:kinsoku w:val="0"/>
        <w:overflowPunct w:val="0"/>
        <w:autoSpaceDE/>
        <w:autoSpaceDN/>
        <w:adjustRightInd/>
        <w:spacing w:before="22" w:line="268"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Transporte Público y se proceda a anular el mismo renovándosele los permisos a la recurrente.</w:t>
      </w:r>
    </w:p>
    <w:p w:rsidR="00000000" w:rsidRDefault="003773B7">
      <w:pPr>
        <w:kinsoku w:val="0"/>
        <w:overflowPunct w:val="0"/>
        <w:autoSpaceDE/>
        <w:autoSpaceDN/>
        <w:adjustRightInd/>
        <w:spacing w:before="564" w:line="291" w:lineRule="exact"/>
        <w:ind w:left="72" w:right="72"/>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DE LO ACTUADO POR EL CONSEJO DE TRANSPORTE PÚBLICO.</w:t>
      </w:r>
    </w:p>
    <w:p w:rsidR="00000000" w:rsidRDefault="003773B7">
      <w:pPr>
        <w:kinsoku w:val="0"/>
        <w:overflowPunct w:val="0"/>
        <w:autoSpaceDE/>
        <w:autoSpaceDN/>
        <w:adjustRightInd/>
        <w:spacing w:before="618" w:line="290" w:lineRule="exact"/>
        <w:ind w:left="72" w:right="72"/>
        <w:jc w:val="both"/>
        <w:textAlignment w:val="baseline"/>
        <w:rPr>
          <w:rFonts w:ascii="Verdana" w:hAnsi="Verdana" w:cs="Verdana"/>
          <w:spacing w:val="10"/>
          <w:sz w:val="23"/>
          <w:szCs w:val="23"/>
          <w:lang w:val="es-ES" w:eastAsia="es-ES"/>
        </w:rPr>
      </w:pPr>
      <w:r>
        <w:rPr>
          <w:rFonts w:ascii="Verdana" w:hAnsi="Verdana" w:cs="Verdana"/>
          <w:spacing w:val="10"/>
          <w:sz w:val="23"/>
          <w:szCs w:val="23"/>
          <w:lang w:val="es-ES" w:eastAsia="es-ES"/>
        </w:rPr>
        <w:t xml:space="preserve">La Junta Directiva del Consejo de Transporte Público, mediante </w:t>
      </w:r>
      <w:r>
        <w:rPr>
          <w:rFonts w:ascii="Verdana" w:hAnsi="Verdana" w:cs="Verdana"/>
          <w:b/>
          <w:bCs/>
          <w:spacing w:val="10"/>
          <w:sz w:val="23"/>
          <w:szCs w:val="23"/>
          <w:lang w:val="es-ES" w:eastAsia="es-ES"/>
        </w:rPr>
        <w:t>Acuerdo 7.8.2 de su Sesió</w:t>
      </w:r>
      <w:r>
        <w:rPr>
          <w:rFonts w:ascii="Verdana" w:hAnsi="Verdana" w:cs="Verdana"/>
          <w:b/>
          <w:bCs/>
          <w:spacing w:val="10"/>
          <w:sz w:val="23"/>
          <w:szCs w:val="23"/>
          <w:lang w:val="es-ES" w:eastAsia="es-ES"/>
        </w:rPr>
        <w:t xml:space="preserve">n Ordinaria No. 37-2015 del 1° de Julio del 2015, </w:t>
      </w:r>
      <w:r>
        <w:rPr>
          <w:rFonts w:ascii="Verdana" w:hAnsi="Verdana" w:cs="Verdana"/>
          <w:spacing w:val="10"/>
          <w:sz w:val="23"/>
          <w:szCs w:val="23"/>
          <w:lang w:val="es-ES" w:eastAsia="es-ES"/>
        </w:rPr>
        <w:t xml:space="preserve">conoce y avala los </w:t>
      </w:r>
      <w:r>
        <w:rPr>
          <w:rFonts w:ascii="Verdana" w:hAnsi="Verdana" w:cs="Verdana"/>
          <w:b/>
          <w:bCs/>
          <w:spacing w:val="10"/>
          <w:sz w:val="23"/>
          <w:szCs w:val="23"/>
          <w:lang w:val="es-ES" w:eastAsia="es-ES"/>
        </w:rPr>
        <w:t>informes DA</w:t>
      </w:r>
      <w:r w:rsidR="003853B7">
        <w:rPr>
          <w:rFonts w:ascii="Verdana" w:hAnsi="Verdana" w:cs="Verdana"/>
          <w:b/>
          <w:bCs/>
          <w:spacing w:val="10"/>
          <w:sz w:val="23"/>
          <w:szCs w:val="23"/>
          <w:lang w:val="es-ES" w:eastAsia="es-ES"/>
        </w:rPr>
        <w:t>J</w:t>
      </w:r>
      <w:r>
        <w:rPr>
          <w:rFonts w:ascii="Verdana" w:hAnsi="Verdana" w:cs="Verdana"/>
          <w:b/>
          <w:bCs/>
          <w:spacing w:val="10"/>
          <w:sz w:val="23"/>
          <w:szCs w:val="23"/>
          <w:lang w:val="es-ES" w:eastAsia="es-ES"/>
        </w:rPr>
        <w:t xml:space="preserve"> 2015-002164 de la Dirección de Asuntos Jurídicos y DE-2015-1980 y DE-2015-2046 de la Dirección Ejecutiva, </w:t>
      </w:r>
      <w:r>
        <w:rPr>
          <w:rFonts w:ascii="Verdana" w:hAnsi="Verdana" w:cs="Verdana"/>
          <w:spacing w:val="10"/>
          <w:sz w:val="23"/>
          <w:szCs w:val="23"/>
          <w:lang w:val="es-ES" w:eastAsia="es-ES"/>
        </w:rPr>
        <w:t>y dispuso la renovación de los permisos de SEETAXI en la modalidad d</w:t>
      </w:r>
      <w:r>
        <w:rPr>
          <w:rFonts w:ascii="Verdana" w:hAnsi="Verdana" w:cs="Verdana"/>
          <w:spacing w:val="10"/>
          <w:sz w:val="23"/>
          <w:szCs w:val="23"/>
          <w:lang w:val="es-ES" w:eastAsia="es-ES"/>
        </w:rPr>
        <w:t>e vehículos tipo sedán, conforme a una distribución por base de operación, según el número de concesionarios de taxi existentes en las mismas.</w:t>
      </w:r>
    </w:p>
    <w:p w:rsidR="00000000" w:rsidRDefault="003773B7">
      <w:pPr>
        <w:kinsoku w:val="0"/>
        <w:overflowPunct w:val="0"/>
        <w:autoSpaceDE/>
        <w:autoSpaceDN/>
        <w:adjustRightInd/>
        <w:spacing w:before="321" w:line="290" w:lineRule="exact"/>
        <w:ind w:left="72" w:right="72"/>
        <w:jc w:val="both"/>
        <w:textAlignment w:val="baseline"/>
        <w:rPr>
          <w:rFonts w:ascii="Verdana" w:hAnsi="Verdana" w:cs="Verdana"/>
          <w:spacing w:val="9"/>
          <w:sz w:val="23"/>
          <w:szCs w:val="23"/>
          <w:lang w:val="es-ES" w:eastAsia="es-ES"/>
        </w:rPr>
      </w:pPr>
      <w:r>
        <w:rPr>
          <w:rFonts w:ascii="Verdana" w:hAnsi="Verdana" w:cs="Verdana"/>
          <w:spacing w:val="9"/>
          <w:sz w:val="23"/>
          <w:szCs w:val="23"/>
          <w:lang w:val="es-ES" w:eastAsia="es-ES"/>
        </w:rPr>
        <w:t xml:space="preserve">La Junta Directiva del Consejo de Transporte Público por medio del Acuerdo </w:t>
      </w:r>
      <w:r>
        <w:rPr>
          <w:rFonts w:ascii="Verdana" w:hAnsi="Verdana" w:cs="Verdana"/>
          <w:b/>
          <w:bCs/>
          <w:spacing w:val="9"/>
          <w:sz w:val="23"/>
          <w:szCs w:val="23"/>
          <w:lang w:val="es-ES" w:eastAsia="es-ES"/>
        </w:rPr>
        <w:t>7.8.3 de su Sesión Ordinaria No. 37-20</w:t>
      </w:r>
      <w:r>
        <w:rPr>
          <w:rFonts w:ascii="Verdana" w:hAnsi="Verdana" w:cs="Verdana"/>
          <w:b/>
          <w:bCs/>
          <w:spacing w:val="9"/>
          <w:sz w:val="23"/>
          <w:szCs w:val="23"/>
          <w:lang w:val="es-ES" w:eastAsia="es-ES"/>
        </w:rPr>
        <w:t>15 del 1° de Julio del</w:t>
      </w:r>
      <w:r>
        <w:rPr>
          <w:rFonts w:ascii="Verdana" w:hAnsi="Verdana" w:cs="Verdana"/>
          <w:spacing w:val="9"/>
          <w:sz w:val="23"/>
          <w:szCs w:val="23"/>
          <w:lang w:val="es-ES" w:eastAsia="es-ES"/>
        </w:rPr>
        <w:t xml:space="preserve">. </w:t>
      </w:r>
      <w:r>
        <w:rPr>
          <w:rFonts w:ascii="Verdana" w:hAnsi="Verdana" w:cs="Verdana"/>
          <w:b/>
          <w:bCs/>
          <w:spacing w:val="9"/>
          <w:sz w:val="23"/>
          <w:szCs w:val="23"/>
          <w:lang w:val="es-ES" w:eastAsia="es-ES"/>
        </w:rPr>
        <w:t xml:space="preserve">2015, </w:t>
      </w:r>
      <w:r>
        <w:rPr>
          <w:rFonts w:ascii="Verdana" w:hAnsi="Verdana" w:cs="Verdana"/>
          <w:spacing w:val="9"/>
          <w:sz w:val="23"/>
          <w:szCs w:val="23"/>
          <w:lang w:val="es-ES" w:eastAsia="es-ES"/>
        </w:rPr>
        <w:t>conoce y avala el informe DAJ 2015-002165 de la Dirección de Asuntos Jurídicos, y determinó la NO Renovación de los permisos de SEETAXI en la modalidad de vehículos tipo microbús.</w:t>
      </w:r>
    </w:p>
    <w:p w:rsidR="00000000" w:rsidRDefault="003773B7">
      <w:pPr>
        <w:kinsoku w:val="0"/>
        <w:overflowPunct w:val="0"/>
        <w:autoSpaceDE/>
        <w:autoSpaceDN/>
        <w:adjustRightInd/>
        <w:spacing w:before="273" w:line="290"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La Junta Directiva del Consejo de Transporte P</w:t>
      </w:r>
      <w:r>
        <w:rPr>
          <w:rFonts w:ascii="Verdana" w:hAnsi="Verdana" w:cs="Verdana"/>
          <w:sz w:val="23"/>
          <w:szCs w:val="23"/>
          <w:lang w:val="es-ES" w:eastAsia="es-ES"/>
        </w:rPr>
        <w:t xml:space="preserve">úblico mediante el Artículo </w:t>
      </w:r>
      <w:r>
        <w:rPr>
          <w:rFonts w:ascii="Verdana" w:hAnsi="Verdana" w:cs="Verdana"/>
          <w:b/>
          <w:bCs/>
          <w:sz w:val="23"/>
          <w:szCs w:val="23"/>
          <w:lang w:val="es-ES" w:eastAsia="es-ES"/>
        </w:rPr>
        <w:t xml:space="preserve">7.1.17 de la Sesión Ordinaria 49-2015 del 20 de agosto de 2015, </w:t>
      </w:r>
      <w:r>
        <w:rPr>
          <w:rFonts w:ascii="Verdana" w:hAnsi="Verdana" w:cs="Verdana"/>
          <w:sz w:val="23"/>
          <w:szCs w:val="23"/>
          <w:lang w:val="es-ES" w:eastAsia="es-ES"/>
        </w:rPr>
        <w:t>determina rechazar la solicitud de prórroga del permiso de servicio especial estable de taxi, formulada por la recurrente.</w:t>
      </w:r>
    </w:p>
    <w:p w:rsidR="00000000" w:rsidRDefault="003773B7">
      <w:pPr>
        <w:kinsoku w:val="0"/>
        <w:overflowPunct w:val="0"/>
        <w:autoSpaceDE/>
        <w:autoSpaceDN/>
        <w:adjustRightInd/>
        <w:spacing w:before="257" w:line="291" w:lineRule="exact"/>
        <w:ind w:left="72" w:right="72"/>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DE LOS ALEGATOS DE LA RECURRENTE.</w:t>
      </w:r>
    </w:p>
    <w:p w:rsidR="00000000" w:rsidRDefault="003773B7" w:rsidP="003853B7">
      <w:pPr>
        <w:kinsoku w:val="0"/>
        <w:overflowPunct w:val="0"/>
        <w:autoSpaceDE/>
        <w:autoSpaceDN/>
        <w:adjustRightInd/>
        <w:spacing w:before="268" w:line="290" w:lineRule="exact"/>
        <w:ind w:right="72"/>
        <w:jc w:val="both"/>
        <w:textAlignment w:val="baseline"/>
        <w:rPr>
          <w:rFonts w:ascii="Verdana" w:hAnsi="Verdana" w:cs="Verdana"/>
          <w:sz w:val="23"/>
          <w:szCs w:val="23"/>
          <w:lang w:val="es-ES" w:eastAsia="es-ES"/>
        </w:rPr>
      </w:pPr>
      <w:r>
        <w:rPr>
          <w:rFonts w:ascii="Verdana" w:hAnsi="Verdana" w:cs="Verdana"/>
          <w:b/>
          <w:bCs/>
          <w:spacing w:val="4"/>
          <w:sz w:val="23"/>
          <w:szCs w:val="23"/>
          <w:lang w:val="es-ES" w:eastAsia="es-ES"/>
        </w:rPr>
        <w:t>La empr</w:t>
      </w:r>
      <w:r>
        <w:rPr>
          <w:rFonts w:ascii="Verdana" w:hAnsi="Verdana" w:cs="Verdana"/>
          <w:b/>
          <w:bCs/>
          <w:spacing w:val="4"/>
          <w:sz w:val="23"/>
          <w:szCs w:val="23"/>
          <w:lang w:val="es-ES" w:eastAsia="es-ES"/>
        </w:rPr>
        <w:t>esa T</w:t>
      </w:r>
      <w:r w:rsidR="003853B7">
        <w:rPr>
          <w:rFonts w:ascii="Verdana" w:hAnsi="Verdana" w:cs="Verdana"/>
          <w:b/>
          <w:bCs/>
          <w:spacing w:val="4"/>
          <w:sz w:val="23"/>
          <w:szCs w:val="23"/>
          <w:lang w:val="es-ES" w:eastAsia="es-ES"/>
        </w:rPr>
        <w:t>.P.R.S.R.L.</w:t>
      </w:r>
      <w:r>
        <w:rPr>
          <w:rFonts w:ascii="Verdana" w:hAnsi="Verdana" w:cs="Verdana"/>
          <w:b/>
          <w:bCs/>
          <w:spacing w:val="4"/>
          <w:sz w:val="23"/>
          <w:szCs w:val="23"/>
          <w:lang w:val="es-ES" w:eastAsia="es-ES"/>
        </w:rPr>
        <w:t xml:space="preserve">, cédula jurídica número </w:t>
      </w:r>
      <w:r w:rsidR="003853B7">
        <w:rPr>
          <w:rFonts w:ascii="Verdana" w:hAnsi="Verdana" w:cs="Verdana"/>
          <w:b/>
          <w:bCs/>
          <w:spacing w:val="4"/>
          <w:sz w:val="23"/>
          <w:szCs w:val="23"/>
          <w:lang w:val="es-ES" w:eastAsia="es-ES"/>
        </w:rPr>
        <w:t>…</w:t>
      </w:r>
      <w:r>
        <w:rPr>
          <w:rFonts w:ascii="Verdana" w:hAnsi="Verdana" w:cs="Verdana"/>
          <w:b/>
          <w:bCs/>
          <w:spacing w:val="4"/>
          <w:sz w:val="23"/>
          <w:szCs w:val="23"/>
          <w:lang w:val="es-ES" w:eastAsia="es-ES"/>
        </w:rPr>
        <w:t xml:space="preserve">, </w:t>
      </w:r>
      <w:r>
        <w:rPr>
          <w:rFonts w:ascii="Verdana" w:hAnsi="Verdana" w:cs="Verdana"/>
          <w:spacing w:val="4"/>
          <w:sz w:val="23"/>
          <w:szCs w:val="23"/>
          <w:lang w:val="es-ES" w:eastAsia="es-ES"/>
        </w:rPr>
        <w:t xml:space="preserve">presenta recurso contra el </w:t>
      </w:r>
      <w:r>
        <w:rPr>
          <w:rFonts w:ascii="Verdana" w:hAnsi="Verdana" w:cs="Verdana"/>
          <w:b/>
          <w:bCs/>
          <w:spacing w:val="4"/>
          <w:sz w:val="23"/>
          <w:szCs w:val="23"/>
          <w:lang w:val="es-ES" w:eastAsia="es-ES"/>
        </w:rPr>
        <w:t xml:space="preserve">Acuerdo 7.1.17 de la Sesión Ordinaria número 49-2015 de 20 de agosto de 2015 </w:t>
      </w:r>
      <w:r>
        <w:rPr>
          <w:rFonts w:ascii="Verdana" w:hAnsi="Verdana" w:cs="Verdana"/>
          <w:spacing w:val="4"/>
          <w:sz w:val="23"/>
          <w:szCs w:val="23"/>
          <w:lang w:val="es-ES" w:eastAsia="es-ES"/>
        </w:rPr>
        <w:t>y manifiesta en lo conducente que el acto impugnado atenta contra sus in</w:t>
      </w:r>
      <w:r>
        <w:rPr>
          <w:rFonts w:ascii="Verdana" w:hAnsi="Verdana" w:cs="Verdana"/>
          <w:spacing w:val="4"/>
          <w:sz w:val="23"/>
          <w:szCs w:val="23"/>
          <w:lang w:val="es-ES" w:eastAsia="es-ES"/>
        </w:rPr>
        <w:t>tereses y derecho a una justicia pronta y cumplida, ya que se adopta una determinación sumamente gravosa para las empresas de SEETAXI dado que hace nugatorios e insubsistentes los derechos subjetivos consagrados en el ordenamiento jurídico y que derivan de</w:t>
      </w:r>
      <w:r>
        <w:rPr>
          <w:rFonts w:ascii="Verdana" w:hAnsi="Verdana" w:cs="Verdana"/>
          <w:spacing w:val="4"/>
          <w:sz w:val="23"/>
          <w:szCs w:val="23"/>
          <w:lang w:val="es-ES" w:eastAsia="es-ES"/>
        </w:rPr>
        <w:t xml:space="preserve">l mandato legal, contenido en la Ley de Servicio Especial Estable de Taxi. Su actividad está totalmente amparada y resguardada en la Ley y el Consejo de Transporte Público (en adelante CTP) obra en manifiesta violación de normas imperativas de obligatorio </w:t>
      </w:r>
      <w:r>
        <w:rPr>
          <w:rFonts w:ascii="Verdana" w:hAnsi="Verdana" w:cs="Verdana"/>
          <w:spacing w:val="4"/>
          <w:sz w:val="23"/>
          <w:szCs w:val="23"/>
          <w:lang w:val="es-ES" w:eastAsia="es-ES"/>
        </w:rPr>
        <w:t>acatamiento, pues decide de mutuo propio evadir las principales características e</w:t>
      </w:r>
      <w:r w:rsidR="003853B7">
        <w:rPr>
          <w:rFonts w:ascii="Verdana" w:hAnsi="Verdana" w:cs="Verdana"/>
          <w:spacing w:val="4"/>
          <w:sz w:val="23"/>
          <w:szCs w:val="23"/>
          <w:lang w:val="es-ES" w:eastAsia="es-ES"/>
        </w:rPr>
        <w:t xml:space="preserve"> </w:t>
      </w:r>
      <w:r>
        <w:rPr>
          <w:rFonts w:ascii="Verdana" w:hAnsi="Verdana" w:cs="Verdana"/>
          <w:sz w:val="23"/>
          <w:szCs w:val="23"/>
          <w:lang w:val="es-ES" w:eastAsia="es-ES"/>
        </w:rPr>
        <w:t>implicaciones de la figura del SEETAXI.</w:t>
      </w:r>
      <w:r>
        <w:rPr>
          <w:rFonts w:ascii="Verdana" w:hAnsi="Verdana" w:cs="Verdana"/>
          <w:sz w:val="23"/>
          <w:szCs w:val="23"/>
          <w:lang w:val="es-ES" w:eastAsia="es-ES"/>
        </w:rPr>
        <w:tab/>
      </w:r>
      <w:r w:rsidR="003853B7">
        <w:rPr>
          <w:rFonts w:ascii="Verdana" w:hAnsi="Verdana" w:cs="Verdana"/>
          <w:sz w:val="23"/>
          <w:szCs w:val="23"/>
          <w:lang w:val="es-ES" w:eastAsia="es-ES"/>
        </w:rPr>
        <w:t xml:space="preserve"> </w:t>
      </w:r>
      <w:r>
        <w:rPr>
          <w:rFonts w:ascii="Verdana" w:hAnsi="Verdana" w:cs="Verdana"/>
          <w:sz w:val="23"/>
          <w:szCs w:val="23"/>
          <w:lang w:val="es-ES" w:eastAsia="es-ES"/>
        </w:rPr>
        <w:t xml:space="preserve">El </w:t>
      </w:r>
      <w:r w:rsidR="003853B7">
        <w:rPr>
          <w:rFonts w:ascii="Verdana" w:hAnsi="Verdana" w:cs="Verdana"/>
          <w:sz w:val="23"/>
          <w:szCs w:val="23"/>
          <w:lang w:val="es-ES" w:eastAsia="es-ES"/>
        </w:rPr>
        <w:t xml:space="preserve"> </w:t>
      </w:r>
      <w:r>
        <w:rPr>
          <w:rFonts w:ascii="Verdana" w:hAnsi="Verdana" w:cs="Verdana"/>
          <w:sz w:val="23"/>
          <w:szCs w:val="23"/>
          <w:lang w:val="es-ES" w:eastAsia="es-ES"/>
        </w:rPr>
        <w:t>acto impugnado es</w:t>
      </w:r>
    </w:p>
    <w:p w:rsidR="00000000" w:rsidRDefault="003773B7">
      <w:pPr>
        <w:widowControl/>
        <w:rPr>
          <w:sz w:val="24"/>
          <w:szCs w:val="24"/>
        </w:rPr>
        <w:sectPr w:rsidR="00000000">
          <w:pgSz w:w="12293" w:h="15744"/>
          <w:pgMar w:top="2000" w:right="1887" w:bottom="162" w:left="1614" w:header="720" w:footer="720" w:gutter="0"/>
          <w:cols w:space="720"/>
          <w:noEndnote/>
        </w:sectPr>
      </w:pPr>
    </w:p>
    <w:p w:rsidR="00000000" w:rsidRDefault="003773B7">
      <w:pPr>
        <w:widowControl/>
        <w:rPr>
          <w:sz w:val="24"/>
          <w:szCs w:val="24"/>
        </w:rPr>
        <w:sectPr w:rsidR="00000000">
          <w:type w:val="continuous"/>
          <w:pgSz w:w="12293" w:h="15744"/>
          <w:pgMar w:top="2000" w:right="1886" w:bottom="162" w:left="7167" w:header="720" w:footer="720" w:gutter="0"/>
          <w:cols w:space="720"/>
          <w:noEndnote/>
        </w:sectPr>
      </w:pPr>
    </w:p>
    <w:p w:rsidR="00000000" w:rsidRDefault="003773B7">
      <w:pPr>
        <w:kinsoku w:val="0"/>
        <w:overflowPunct w:val="0"/>
        <w:autoSpaceDE/>
        <w:autoSpaceDN/>
        <w:adjustRightInd/>
        <w:spacing w:before="38" w:after="590" w:line="284" w:lineRule="exact"/>
        <w:ind w:left="72"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lastRenderedPageBreak/>
        <w:t>absolutamente nulo, pues sin sustento jurí</w:t>
      </w:r>
      <w:r>
        <w:rPr>
          <w:rFonts w:ascii="Verdana" w:hAnsi="Verdana" w:cs="Verdana"/>
          <w:spacing w:val="-1"/>
          <w:sz w:val="23"/>
          <w:szCs w:val="23"/>
          <w:lang w:val="es-ES" w:eastAsia="es-ES"/>
        </w:rPr>
        <w:t xml:space="preserve">dico impone la obligación a la empresa de reducir en un 30% el número de vehículos, de códigos de operación, determinación que deriva de una interpretación incorrecta del sentido y de los alcances de los numerales 29.2 inciso h) de la Ley número 7969, que </w:t>
      </w:r>
      <w:r>
        <w:rPr>
          <w:rFonts w:ascii="Verdana" w:hAnsi="Verdana" w:cs="Verdana"/>
          <w:spacing w:val="-1"/>
          <w:sz w:val="23"/>
          <w:szCs w:val="23"/>
          <w:lang w:val="es-ES" w:eastAsia="es-ES"/>
        </w:rPr>
        <w:t>es la Ley Reguladora de los Servicios Públicos Remunerado de Personas en la Modalidad de Taxi y del Transitorio II Inciso c) de la Ley 8955. El artículo 29.2 es particularmente claro en dos puntos medulares, primero los permisos otorgados han sido otorgado</w:t>
      </w:r>
      <w:r>
        <w:rPr>
          <w:rFonts w:ascii="Verdana" w:hAnsi="Verdana" w:cs="Verdana"/>
          <w:spacing w:val="-1"/>
          <w:sz w:val="23"/>
          <w:szCs w:val="23"/>
          <w:lang w:val="es-ES" w:eastAsia="es-ES"/>
        </w:rPr>
        <w:t>s por Ley y luego de cumplir con una serie de requisitos, lo que los abstrae de la discrecionalidad Administrativa de la aplicación del numeral 154 de la Ley General de la Administración Pública, no son permisos en precario pues han pasado por un proceso d</w:t>
      </w:r>
      <w:r>
        <w:rPr>
          <w:rFonts w:ascii="Verdana" w:hAnsi="Verdana" w:cs="Verdana"/>
          <w:spacing w:val="-1"/>
          <w:sz w:val="23"/>
          <w:szCs w:val="23"/>
          <w:lang w:val="es-ES" w:eastAsia="es-ES"/>
        </w:rPr>
        <w:t>e cumplimiento de requisitos exigidos por la Ley para su otorgamiento y basados en un Transitorio que es de carácter material contenido en Ley especial, por lo que el Legislador previó la presentación cada tres años de los mismos requisitos contemplados en</w:t>
      </w:r>
      <w:r>
        <w:rPr>
          <w:rFonts w:ascii="Verdana" w:hAnsi="Verdana" w:cs="Verdana"/>
          <w:spacing w:val="-1"/>
          <w:sz w:val="23"/>
          <w:szCs w:val="23"/>
          <w:lang w:val="es-ES" w:eastAsia="es-ES"/>
        </w:rPr>
        <w:t xml:space="preserve"> el transitorio correspondiente a efecto de que el CTP pudiera determinar cada tres años que la condición ESTABLE no varíe y se encuentre cumpliendo sus obligaciones y lo más importantes determinar que la necesidad sigue existiendo con la presentación de l</w:t>
      </w:r>
      <w:r>
        <w:rPr>
          <w:rFonts w:ascii="Verdana" w:hAnsi="Verdana" w:cs="Verdana"/>
          <w:spacing w:val="-1"/>
          <w:sz w:val="23"/>
          <w:szCs w:val="23"/>
          <w:lang w:val="es-ES" w:eastAsia="es-ES"/>
        </w:rPr>
        <w:t>os contratos suscritos con los usuarios, en este sentido la única función del CTP es verificar los requisitos para determinar que el permiso se puede renovar en las mismas condiciones o en su efecto, dar inicio al debido proceso para reducir, en caso de qu</w:t>
      </w:r>
      <w:r>
        <w:rPr>
          <w:rFonts w:ascii="Verdana" w:hAnsi="Verdana" w:cs="Verdana"/>
          <w:spacing w:val="-1"/>
          <w:sz w:val="23"/>
          <w:szCs w:val="23"/>
          <w:lang w:val="es-ES" w:eastAsia="es-ES"/>
        </w:rPr>
        <w:t>e se haya reducido la cartera de clientes. Es importante aludir que el CTP efectúa una interconexión o combinación aplicando al caso concreto, pues una cosa es regular la existencia de permisos especiales estables de taxi a futuro, con la aprobación o incl</w:t>
      </w:r>
      <w:r>
        <w:rPr>
          <w:rFonts w:ascii="Verdana" w:hAnsi="Verdana" w:cs="Verdana"/>
          <w:spacing w:val="-1"/>
          <w:sz w:val="23"/>
          <w:szCs w:val="23"/>
          <w:lang w:val="es-ES" w:eastAsia="es-ES"/>
        </w:rPr>
        <w:t>usión del artículo 29.2 inciso h) de la Ley 7969 operada en virtud de la aprobación de la Ley 8955 y en donde efectivamente se da una limitación del número de unidades de SEETAXI por base de operación en un 3% respecto de las concesiones de taxi y otra muy</w:t>
      </w:r>
      <w:r>
        <w:rPr>
          <w:rFonts w:ascii="Verdana" w:hAnsi="Verdana" w:cs="Verdana"/>
          <w:spacing w:val="-1"/>
          <w:sz w:val="23"/>
          <w:szCs w:val="23"/>
          <w:lang w:val="es-ES" w:eastAsia="es-ES"/>
        </w:rPr>
        <w:t xml:space="preserve"> distinta es la Regulación del régimen aplicable a los permisos que venían operando en la actividad del porteo de vehículos hasta antes de la aprobación de la Ley 8955, pues para estos como ya tenían derechos subjetivos consolidados se disponía que el núme</w:t>
      </w:r>
      <w:r>
        <w:rPr>
          <w:rFonts w:ascii="Verdana" w:hAnsi="Verdana" w:cs="Verdana"/>
          <w:spacing w:val="-1"/>
          <w:sz w:val="23"/>
          <w:szCs w:val="23"/>
          <w:lang w:val="es-ES" w:eastAsia="es-ES"/>
        </w:rPr>
        <w:t>ro no podía superar el 30% de las concesiones de taxi A NIVEL NACIONAL, y en la actualidad no se supera dicho porcentaje. La interpretación que realiza el CTP es diferente a lo establecido inclusive por los sucesivos criterios de la Procuraduría General de</w:t>
      </w:r>
      <w:r>
        <w:rPr>
          <w:rFonts w:ascii="Verdana" w:hAnsi="Verdana" w:cs="Verdana"/>
          <w:spacing w:val="-1"/>
          <w:sz w:val="23"/>
          <w:szCs w:val="23"/>
          <w:lang w:val="es-ES" w:eastAsia="es-ES"/>
        </w:rPr>
        <w:t xml:space="preserve"> la República y contrarios a lo dispuesto en la Ley 8955, esto por cuanto el dictamen número 078-2015 del órgano consultivo como el artículo 29 de la Ley 7969, regulan sobre futuros operadores, mientras el Transitorio I y II de la Ley 8955 y el Dictamen Nú</w:t>
      </w:r>
      <w:r>
        <w:rPr>
          <w:rFonts w:ascii="Verdana" w:hAnsi="Verdana" w:cs="Verdana"/>
          <w:spacing w:val="-1"/>
          <w:sz w:val="23"/>
          <w:szCs w:val="23"/>
          <w:lang w:val="es-ES" w:eastAsia="es-ES"/>
        </w:rPr>
        <w:t>mero 043-2013, disponen acerca de la cantidad de porteadores que podían acreditar como servicio especial estable de taxi, esto para proteger los derechos adquiridos de los antiguos porteadores contenidas y derivadas del artículo 323 del Código de</w:t>
      </w:r>
    </w:p>
    <w:p w:rsidR="00000000" w:rsidRDefault="003773B7">
      <w:pPr>
        <w:widowControl/>
        <w:rPr>
          <w:sz w:val="24"/>
          <w:szCs w:val="24"/>
        </w:rPr>
        <w:sectPr w:rsidR="00000000">
          <w:pgSz w:w="12293" w:h="15734"/>
          <w:pgMar w:top="2140" w:right="1820" w:bottom="37" w:left="1681" w:header="720" w:footer="720" w:gutter="0"/>
          <w:cols w:space="720"/>
          <w:noEndnote/>
        </w:sectPr>
      </w:pPr>
    </w:p>
    <w:p w:rsidR="00000000" w:rsidRDefault="003773B7">
      <w:pPr>
        <w:widowControl/>
        <w:rPr>
          <w:sz w:val="24"/>
          <w:szCs w:val="24"/>
        </w:rPr>
        <w:sectPr w:rsidR="00000000">
          <w:type w:val="continuous"/>
          <w:pgSz w:w="12293" w:h="15734"/>
          <w:pgMar w:top="2140" w:right="1863" w:bottom="37" w:left="7190" w:header="720" w:footer="720" w:gutter="0"/>
          <w:cols w:space="720"/>
          <w:noEndnote/>
        </w:sectPr>
      </w:pPr>
    </w:p>
    <w:p w:rsidR="00000000" w:rsidRDefault="003773B7">
      <w:pPr>
        <w:kinsoku w:val="0"/>
        <w:overflowPunct w:val="0"/>
        <w:autoSpaceDE/>
        <w:autoSpaceDN/>
        <w:adjustRightInd/>
        <w:spacing w:before="39" w:after="614" w:line="283" w:lineRule="exact"/>
        <w:ind w:lef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Comercio. Por lo anterior su representada puede seguir prestando el servicio de manera prorrogada del permiso otorgado el cual puede revocarse siguiendo el Debido Proceso, cuando se corneta</w:t>
      </w:r>
      <w:r>
        <w:rPr>
          <w:rFonts w:ascii="Verdana" w:hAnsi="Verdana" w:cs="Verdana"/>
          <w:sz w:val="23"/>
          <w:szCs w:val="23"/>
          <w:lang w:val="es-ES" w:eastAsia="es-ES"/>
        </w:rPr>
        <w:t xml:space="preserve"> una falta que prevé el Transitorio I de la Ley 8955, pues no se está ante un permiso en precario y mantener la incorrecta tesitura de que todo lo que no sea otorgado por concesión es precario. No se trata de permisos a título precario ya que la normativa </w:t>
      </w:r>
      <w:r>
        <w:rPr>
          <w:rFonts w:ascii="Verdana" w:hAnsi="Verdana" w:cs="Verdana"/>
          <w:sz w:val="23"/>
          <w:szCs w:val="23"/>
          <w:lang w:val="es-ES" w:eastAsia="es-ES"/>
        </w:rPr>
        <w:t>actual dispone de causales de mecanismos y de procedimientos explícitos para la explotación y la cancelación de los respectivos permisos. El CTP con su actuación prohibida por la Ley misma, cree que con una actuación Unilateral puede derogar para el caso c</w:t>
      </w:r>
      <w:r>
        <w:rPr>
          <w:rFonts w:ascii="Verdana" w:hAnsi="Verdana" w:cs="Verdana"/>
          <w:sz w:val="23"/>
          <w:szCs w:val="23"/>
          <w:lang w:val="es-ES" w:eastAsia="es-ES"/>
        </w:rPr>
        <w:t xml:space="preserve">oncreto lo establecido en una Ley en clara violación de los artículos 121 inciso 1 y 129 de la Carta Magna, los que otorgan a la Asamblea Legislativa solamente tal potestad. No es cierto que las sociedades mercantiles accionantes pretendan una permanencia </w:t>
      </w:r>
      <w:r>
        <w:rPr>
          <w:rFonts w:ascii="Verdana" w:hAnsi="Verdana" w:cs="Verdana"/>
          <w:sz w:val="23"/>
          <w:szCs w:val="23"/>
          <w:lang w:val="es-ES" w:eastAsia="es-ES"/>
        </w:rPr>
        <w:t>ilegal de una condición de operación de un servicio público, que no esté previsto dentro del ordenamiento jurídico, lo único que pretenden es que se respete el texto claro y enfático de la ley 8955, la que estipula que los permisos SEETAXI son prorrogables</w:t>
      </w:r>
      <w:r>
        <w:rPr>
          <w:rFonts w:ascii="Verdana" w:hAnsi="Verdana" w:cs="Verdana"/>
          <w:sz w:val="23"/>
          <w:szCs w:val="23"/>
          <w:lang w:val="es-ES" w:eastAsia="es-ES"/>
        </w:rPr>
        <w:t>. Si bien el CTP es el órgano legal de la Administración para el otorgamiento y asignación de permisos, en el caso de interés SEETAXI, no está habilitado para ejercitar estas potestades de manera arbitraria y antojadiza alejada de los linderos de la norma,</w:t>
      </w:r>
      <w:r>
        <w:rPr>
          <w:rFonts w:ascii="Verdana" w:hAnsi="Verdana" w:cs="Verdana"/>
          <w:sz w:val="23"/>
          <w:szCs w:val="23"/>
          <w:lang w:val="es-ES" w:eastAsia="es-ES"/>
        </w:rPr>
        <w:t xml:space="preserve"> no puede en consecuencia exigir requisitos que no estén contemplados en el texto de la norma. Igualmente, lo actuado por el CTP transgrede los mismos dictámenes de la Procuraduría General de la República en los que dice basarse, y el acto impugnado se vue</w:t>
      </w:r>
      <w:r>
        <w:rPr>
          <w:rFonts w:ascii="Verdana" w:hAnsi="Verdana" w:cs="Verdana"/>
          <w:sz w:val="23"/>
          <w:szCs w:val="23"/>
          <w:lang w:val="es-ES" w:eastAsia="es-ES"/>
        </w:rPr>
        <w:t>lve más ilegal, toda vez que pasa por alto dichos informes, pues calla deliberadamente los aspectos en los cuales el órgano procurador se ha pronunciado respecto de la protección de los derechos adquiridos por parte de los que se dedicaban al porteo. Retor</w:t>
      </w:r>
      <w:r>
        <w:rPr>
          <w:rFonts w:ascii="Verdana" w:hAnsi="Verdana" w:cs="Verdana"/>
          <w:sz w:val="23"/>
          <w:szCs w:val="23"/>
          <w:lang w:val="es-ES" w:eastAsia="es-ES"/>
        </w:rPr>
        <w:t>na lo dicho por el Tribunal Contencioso Administrativo en su resolución número 2212-2015 de las 16 horas de 25 de agosto de 2015 en el sentido de que el servicio SEETAXI, en nada afecta o restringe los derechos de los concesionarios de taxis rojos, ni afec</w:t>
      </w:r>
      <w:r>
        <w:rPr>
          <w:rFonts w:ascii="Verdana" w:hAnsi="Verdana" w:cs="Verdana"/>
          <w:sz w:val="23"/>
          <w:szCs w:val="23"/>
          <w:lang w:val="es-ES" w:eastAsia="es-ES"/>
        </w:rPr>
        <w:t>ta directa o indirectamente el régimen jurídico de los últimos, y que por ello no era posible acceder a la pretensión del CTP en el sentido de traer al proceso a la totalidad de concesionarios de taxi, pues los SEETAXI, no significan una competencia ilegit</w:t>
      </w:r>
      <w:r>
        <w:rPr>
          <w:rFonts w:ascii="Verdana" w:hAnsi="Verdana" w:cs="Verdana"/>
          <w:sz w:val="23"/>
          <w:szCs w:val="23"/>
          <w:lang w:val="es-ES" w:eastAsia="es-ES"/>
        </w:rPr>
        <w:t>ima para éstos. Como se ve en el presente caso el CTP ha dado en establecer una serie de requisitos exorbitantes y de criterios manifiestamente ilegales para la prórroga del servicio SEETAXI que no vienen expresamente contemplados en la Legislación especia</w:t>
      </w:r>
      <w:r>
        <w:rPr>
          <w:rFonts w:ascii="Verdana" w:hAnsi="Verdana" w:cs="Verdana"/>
          <w:sz w:val="23"/>
          <w:szCs w:val="23"/>
          <w:lang w:val="es-ES" w:eastAsia="es-ES"/>
        </w:rPr>
        <w:t xml:space="preserve">l aplicable, algunos de esos requisitos y consideraciones han sido expresamente desechados por la jurisdicción Contencioso Administrativa como es el hecho de que se altera el equilibrio financiero de los concesionarios de taxi. Con esas determinaciones se </w:t>
      </w:r>
      <w:r>
        <w:rPr>
          <w:rFonts w:ascii="Verdana" w:hAnsi="Verdana" w:cs="Verdana"/>
          <w:sz w:val="23"/>
          <w:szCs w:val="23"/>
          <w:lang w:val="es-ES" w:eastAsia="es-ES"/>
        </w:rPr>
        <w:t>está creando una serie de puntuales y marcados daños en la esfera de sus intereses</w:t>
      </w:r>
    </w:p>
    <w:p w:rsidR="00000000" w:rsidRDefault="003773B7">
      <w:pPr>
        <w:widowControl/>
        <w:rPr>
          <w:sz w:val="24"/>
          <w:szCs w:val="24"/>
        </w:rPr>
        <w:sectPr w:rsidR="00000000">
          <w:pgSz w:w="12293" w:h="15734"/>
          <w:pgMar w:top="2000" w:right="1892" w:bottom="147" w:left="1609" w:header="720" w:footer="720" w:gutter="0"/>
          <w:cols w:space="720"/>
          <w:noEndnote/>
        </w:sectPr>
      </w:pPr>
    </w:p>
    <w:p w:rsidR="00000000" w:rsidRDefault="003773B7">
      <w:pPr>
        <w:widowControl/>
        <w:rPr>
          <w:sz w:val="24"/>
          <w:szCs w:val="24"/>
        </w:rPr>
        <w:sectPr w:rsidR="00000000">
          <w:type w:val="continuous"/>
          <w:pgSz w:w="12293" w:h="15734"/>
          <w:pgMar w:top="2000" w:right="1884" w:bottom="147" w:left="7169" w:header="720" w:footer="720" w:gutter="0"/>
          <w:cols w:space="720"/>
          <w:noEndnote/>
        </w:sectPr>
      </w:pPr>
    </w:p>
    <w:p w:rsidR="00000000" w:rsidRDefault="003773B7">
      <w:pPr>
        <w:kinsoku w:val="0"/>
        <w:overflowPunct w:val="0"/>
        <w:autoSpaceDE/>
        <w:autoSpaceDN/>
        <w:adjustRightInd/>
        <w:spacing w:before="23" w:after="619" w:line="284" w:lineRule="exact"/>
        <w:ind w:left="72"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lastRenderedPageBreak/>
        <w:t>patrimoniales y se está dejando sin fuente de trabajo y de subsistencia a un amplio sector de la població</w:t>
      </w:r>
      <w:r>
        <w:rPr>
          <w:rFonts w:ascii="Verdana" w:hAnsi="Verdana" w:cs="Verdana"/>
          <w:spacing w:val="-1"/>
          <w:sz w:val="23"/>
          <w:szCs w:val="23"/>
          <w:lang w:val="es-ES" w:eastAsia="es-ES"/>
        </w:rPr>
        <w:t>n y se violenta el principio de Seguridad Jurídica. Otro motivo de impugnación del acto es la falta de motivación del acto administrativo en contradicción del numeral 136 de la Ley General de la Administración Pública, pues el acuerdo del CTP debe menciona</w:t>
      </w:r>
      <w:r>
        <w:rPr>
          <w:rFonts w:ascii="Verdana" w:hAnsi="Verdana" w:cs="Verdana"/>
          <w:spacing w:val="-1"/>
          <w:sz w:val="23"/>
          <w:szCs w:val="23"/>
          <w:lang w:val="es-ES" w:eastAsia="es-ES"/>
        </w:rPr>
        <w:t>r de manera precisa cuáles son las normas que aplica para la renovación del permiso de SEETAXI, debe valorar con sumo cuidado la jurisprudencia en relación a la diferencia entre un permiso precario y un permiso SEETAXI, pero no existió fundamentación adecu</w:t>
      </w:r>
      <w:r>
        <w:rPr>
          <w:rFonts w:ascii="Verdana" w:hAnsi="Verdana" w:cs="Verdana"/>
          <w:spacing w:val="-1"/>
          <w:sz w:val="23"/>
          <w:szCs w:val="23"/>
          <w:lang w:val="es-ES" w:eastAsia="es-ES"/>
        </w:rPr>
        <w:t>ada en la notificación del acto impugnado así como de los acuerdos 7.8.2 y 7.8.3 de la Sesión 37-2015. No fue analizada toda la situación jurídica esbozada por su representada al momento de formular la solicitud para la renovación o prórroga del servicio a</w:t>
      </w:r>
      <w:r>
        <w:rPr>
          <w:rFonts w:ascii="Verdana" w:hAnsi="Verdana" w:cs="Verdana"/>
          <w:spacing w:val="-1"/>
          <w:sz w:val="23"/>
          <w:szCs w:val="23"/>
          <w:lang w:val="es-ES" w:eastAsia="es-ES"/>
        </w:rPr>
        <w:t>utorizado, no fue analizada de forma íntegra y puntal por la Junta Directiva del CTP, lo único que realiza es una indicación somera y lacónica en el sentido del rechazo de sus solicitudes, y hace una remisión marginal al contenido del oficio de la Direcció</w:t>
      </w:r>
      <w:r>
        <w:rPr>
          <w:rFonts w:ascii="Verdana" w:hAnsi="Verdana" w:cs="Verdana"/>
          <w:spacing w:val="-1"/>
          <w:sz w:val="23"/>
          <w:szCs w:val="23"/>
          <w:lang w:val="es-ES" w:eastAsia="es-ES"/>
        </w:rPr>
        <w:t xml:space="preserve">n Jurídica, el cual indica que como no concretaron las cantidades de placas de taxi por renovar, debía rechazárseles los permisos para todas las unidades. Con lo dicho se obvia el mandato jurídico que impone que los actos que supriman derechos subjetivos, </w:t>
      </w:r>
      <w:r>
        <w:rPr>
          <w:rFonts w:ascii="Verdana" w:hAnsi="Verdana" w:cs="Verdana"/>
          <w:spacing w:val="-1"/>
          <w:sz w:val="23"/>
          <w:szCs w:val="23"/>
          <w:lang w:val="es-ES" w:eastAsia="es-ES"/>
        </w:rPr>
        <w:t>deben ser hartamente motivados tanto a nivel fáctico como jurídico. La denegatoria total de los permisos transgrede una competencia que es exclusiva de la Asamblea legislativa quien solo podría determinar una modificación a los transitorios de la Ley 8955.</w:t>
      </w:r>
      <w:r>
        <w:rPr>
          <w:rFonts w:ascii="Verdana" w:hAnsi="Verdana" w:cs="Verdana"/>
          <w:spacing w:val="-1"/>
          <w:sz w:val="23"/>
          <w:szCs w:val="23"/>
          <w:lang w:val="es-ES" w:eastAsia="es-ES"/>
        </w:rPr>
        <w:t xml:space="preserve"> Es absolutamente impropio e inválido que venga ahora una autoridad administrativa a querer saltarse el texto de la Ley y mediante resoluciones ayunas de fundamento implementar una serie de requisitos y de consideraciones que no se desprenden de la misma L</w:t>
      </w:r>
      <w:r>
        <w:rPr>
          <w:rFonts w:ascii="Verdana" w:hAnsi="Verdana" w:cs="Verdana"/>
          <w:spacing w:val="-1"/>
          <w:sz w:val="23"/>
          <w:szCs w:val="23"/>
          <w:lang w:val="es-ES" w:eastAsia="es-ES"/>
        </w:rPr>
        <w:t>ey. En tal sentido el acto impugnado quebranta flagrantemente la Ley. La falta de Motivación del acto es más grande aún, cuando en la práctica se les achaca el incumplimiento de una serie de requisitos que no contempla la Ley 8955, en esa norma no se prevé</w:t>
      </w:r>
      <w:r>
        <w:rPr>
          <w:rFonts w:ascii="Verdana" w:hAnsi="Verdana" w:cs="Verdana"/>
          <w:spacing w:val="-1"/>
          <w:sz w:val="23"/>
          <w:szCs w:val="23"/>
          <w:lang w:val="es-ES" w:eastAsia="es-ES"/>
        </w:rPr>
        <w:t xml:space="preserve"> la obligación del potencial permisionario de SEETAXI de acreditar los documentos de la revisión técnica vehicular de cada automotor, ni de los derechos de circulación, documentos de titularidad y contratos originales firmados por cada uno de los afiliados</w:t>
      </w:r>
      <w:r>
        <w:rPr>
          <w:rFonts w:ascii="Verdana" w:hAnsi="Verdana" w:cs="Verdana"/>
          <w:spacing w:val="-1"/>
          <w:sz w:val="23"/>
          <w:szCs w:val="23"/>
          <w:lang w:val="es-ES" w:eastAsia="es-ES"/>
        </w:rPr>
        <w:t xml:space="preserve"> a la empresa, dichos requisitos, no se encuentran en los transitorios de la Ley 8955, no pueden ser tomados en cuenta para el rechazo de sus pretensiones, además esos requisitos se deben de presentar cada seis meses ante el CTP como parte de las gestiones</w:t>
      </w:r>
      <w:r>
        <w:rPr>
          <w:rFonts w:ascii="Verdana" w:hAnsi="Verdana" w:cs="Verdana"/>
          <w:spacing w:val="-1"/>
          <w:sz w:val="23"/>
          <w:szCs w:val="23"/>
          <w:lang w:val="es-ES" w:eastAsia="es-ES"/>
        </w:rPr>
        <w:t xml:space="preserve"> de cambio de cada una de las unidades y renovación de los códigos, por lo que es impropio venir a exigirlos cuando la mayoría de requisitos obran en poder del CTP, pues se violenta la Ley 8220. La materialidad de los Transitorios I, II y III de la Ley 895</w:t>
      </w:r>
      <w:r>
        <w:rPr>
          <w:rFonts w:ascii="Verdana" w:hAnsi="Verdana" w:cs="Verdana"/>
          <w:spacing w:val="-1"/>
          <w:sz w:val="23"/>
          <w:szCs w:val="23"/>
          <w:lang w:val="es-ES" w:eastAsia="es-ES"/>
        </w:rPr>
        <w:t>5 fue establecida de tal manera que quienes a la fecha de la publicación de esta normativa venían operando al amparo del Código de Comercio, asegurarían a futuro su posibilidad de</w:t>
      </w:r>
    </w:p>
    <w:p w:rsidR="00000000" w:rsidRDefault="003773B7">
      <w:pPr>
        <w:widowControl/>
        <w:rPr>
          <w:sz w:val="24"/>
          <w:szCs w:val="24"/>
        </w:rPr>
        <w:sectPr w:rsidR="00000000">
          <w:pgSz w:w="12302" w:h="15725"/>
          <w:pgMar w:top="2140" w:right="1846" w:bottom="32" w:left="1664" w:header="720" w:footer="720" w:gutter="0"/>
          <w:cols w:space="720"/>
          <w:noEndnote/>
        </w:sectPr>
      </w:pPr>
    </w:p>
    <w:p w:rsidR="00000000" w:rsidRDefault="003773B7">
      <w:pPr>
        <w:widowControl/>
        <w:rPr>
          <w:sz w:val="24"/>
          <w:szCs w:val="24"/>
        </w:rPr>
        <w:sectPr w:rsidR="00000000">
          <w:type w:val="continuous"/>
          <w:pgSz w:w="12302" w:h="15725"/>
          <w:pgMar w:top="2140" w:right="1859" w:bottom="32" w:left="7203" w:header="720" w:footer="720" w:gutter="0"/>
          <w:cols w:space="720"/>
          <w:noEndnote/>
        </w:sectPr>
      </w:pPr>
    </w:p>
    <w:p w:rsidR="00000000" w:rsidRDefault="003773B7">
      <w:pPr>
        <w:kinsoku w:val="0"/>
        <w:overflowPunct w:val="0"/>
        <w:autoSpaceDE/>
        <w:autoSpaceDN/>
        <w:adjustRightInd/>
        <w:spacing w:before="60" w:after="628" w:line="282" w:lineRule="exact"/>
        <w:ind w:left="72"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lastRenderedPageBreak/>
        <w:t>seguir br</w:t>
      </w:r>
      <w:r>
        <w:rPr>
          <w:rFonts w:ascii="Verdana" w:hAnsi="Verdana" w:cs="Verdana"/>
          <w:spacing w:val="1"/>
          <w:sz w:val="23"/>
          <w:szCs w:val="23"/>
          <w:lang w:val="es-ES" w:eastAsia="es-ES"/>
        </w:rPr>
        <w:t xml:space="preserve">indando el servicio y de seguir ejerciendo la actividad, solo que ya no como porteadores sino como operadores de SEETAXI. Los alcances de la Ley 8955 son claros y sencillos, el CTP se ha encargado de crear una nebulosa en torno a los mismos, tergiversando </w:t>
      </w:r>
      <w:r>
        <w:rPr>
          <w:rFonts w:ascii="Verdana" w:hAnsi="Verdana" w:cs="Verdana"/>
          <w:spacing w:val="1"/>
          <w:sz w:val="23"/>
          <w:szCs w:val="23"/>
          <w:lang w:val="es-ES" w:eastAsia="es-ES"/>
        </w:rPr>
        <w:t>su verdadero sentido, pues la Ley determino a través de las disposiciones transitorias que las personas que en aquel momento ejercieran la actividad del porteo y se les otorgara el permiso podrían ejercer el mismo por periodos de tres años prorrogables ind</w:t>
      </w:r>
      <w:r>
        <w:rPr>
          <w:rFonts w:ascii="Verdana" w:hAnsi="Verdana" w:cs="Verdana"/>
          <w:spacing w:val="1"/>
          <w:sz w:val="23"/>
          <w:szCs w:val="23"/>
          <w:lang w:val="es-ES" w:eastAsia="es-ES"/>
        </w:rPr>
        <w:t>efinidamente. La resolución impugnada es omisa también en su fundamentación y motivación a la hora de determinar en cuales criterios se basa para definir que la limitación del 30% que aplicara, debe realizarse sobre la base de operación de taxi rojo y no a</w:t>
      </w:r>
      <w:r>
        <w:rPr>
          <w:rFonts w:ascii="Verdana" w:hAnsi="Verdana" w:cs="Verdana"/>
          <w:spacing w:val="1"/>
          <w:sz w:val="23"/>
          <w:szCs w:val="23"/>
          <w:lang w:val="es-ES" w:eastAsia="es-ES"/>
        </w:rPr>
        <w:t xml:space="preserve"> nivel nacional como explica el Transitorio II inciso c de la Ley 8955; en ninguna parte la Ley 8955 establece la renovación de los permisos de SEETAXI, utilizando el 30% de las concesiones por base de operación de los taxis rojos, sino más bien la norma c</w:t>
      </w:r>
      <w:r>
        <w:rPr>
          <w:rFonts w:ascii="Verdana" w:hAnsi="Verdana" w:cs="Verdana"/>
          <w:spacing w:val="1"/>
          <w:sz w:val="23"/>
          <w:szCs w:val="23"/>
          <w:lang w:val="es-ES" w:eastAsia="es-ES"/>
        </w:rPr>
        <w:t>ontenida en los artículos 2 y 29 de la Ley 7969 la que autoriza al CTP a otorgar el 3% de operación por bases de taxi rojos, pero sólo para los permisos de SEETAXI que se establezcan a futuro, es decir, cuyo supuesto de hecho generador del derecho respecti</w:t>
      </w:r>
      <w:r>
        <w:rPr>
          <w:rFonts w:ascii="Verdana" w:hAnsi="Verdana" w:cs="Verdana"/>
          <w:spacing w:val="1"/>
          <w:sz w:val="23"/>
          <w:szCs w:val="23"/>
          <w:lang w:val="es-ES" w:eastAsia="es-ES"/>
        </w:rPr>
        <w:t>vo, se configuren con posterioridad a la emisión y promulgación de la ley 8955. Lo establecido en el artículo 2 inciso h de la reforma al artículo 29 de la Ley 7969, dictaminada por el artículo primero de la Ley 8969, y que deja sentado el porcentaje del 3</w:t>
      </w:r>
      <w:r>
        <w:rPr>
          <w:rFonts w:ascii="Verdana" w:hAnsi="Verdana" w:cs="Verdana"/>
          <w:spacing w:val="1"/>
          <w:sz w:val="23"/>
          <w:szCs w:val="23"/>
          <w:lang w:val="es-ES" w:eastAsia="es-ES"/>
        </w:rPr>
        <w:t>%, lo es solamente para quienes pretendan esta clase de derechos con posterioridad a la promulgación de la Ley de trato y no para quienes ya disfrutaban de una serie de derechos adquiridos, es decir no es aplicable a los ya acreditados. Según los últimos r</w:t>
      </w:r>
      <w:r>
        <w:rPr>
          <w:rFonts w:ascii="Verdana" w:hAnsi="Verdana" w:cs="Verdana"/>
          <w:spacing w:val="1"/>
          <w:sz w:val="23"/>
          <w:szCs w:val="23"/>
          <w:lang w:val="es-ES" w:eastAsia="es-ES"/>
        </w:rPr>
        <w:t xml:space="preserve">egiones del párrafo tercero de folio seis del oficio 2015002821 de la Dirección Jurídica se indica </w:t>
      </w:r>
      <w:r>
        <w:rPr>
          <w:rFonts w:ascii="Verdana" w:hAnsi="Verdana" w:cs="Verdana"/>
          <w:i/>
          <w:iCs/>
          <w:spacing w:val="1"/>
          <w:sz w:val="23"/>
          <w:szCs w:val="23"/>
          <w:lang w:val="es-ES" w:eastAsia="es-ES"/>
        </w:rPr>
        <w:t>"La empresa tampoco detalló los números de las placas de los vehículos que amparan la prórroga del permiso Seetaxi, ni los documentos atinentes a; revisión t</w:t>
      </w:r>
      <w:r>
        <w:rPr>
          <w:rFonts w:ascii="Verdana" w:hAnsi="Verdana" w:cs="Verdana"/>
          <w:i/>
          <w:iCs/>
          <w:spacing w:val="1"/>
          <w:sz w:val="23"/>
          <w:szCs w:val="23"/>
          <w:lang w:val="es-ES" w:eastAsia="es-ES"/>
        </w:rPr>
        <w:t xml:space="preserve">écnica vehicular, derecho de circulación, documento de titularidad, contrato con la empresa y documento de póliza." </w:t>
      </w:r>
      <w:r>
        <w:rPr>
          <w:rFonts w:ascii="Verdana" w:hAnsi="Verdana" w:cs="Verdana"/>
          <w:spacing w:val="1"/>
          <w:sz w:val="23"/>
          <w:szCs w:val="23"/>
          <w:lang w:val="es-ES" w:eastAsia="es-ES"/>
        </w:rPr>
        <w:t xml:space="preserve">No obstante, en julio de 2011, su representada en' acatamiento de las estipulaciones del Transitorio I de la Ley 8955, acudió ante el CTP y </w:t>
      </w:r>
      <w:r>
        <w:rPr>
          <w:rFonts w:ascii="Verdana" w:hAnsi="Verdana" w:cs="Verdana"/>
          <w:spacing w:val="1"/>
          <w:sz w:val="23"/>
          <w:szCs w:val="23"/>
          <w:lang w:val="es-ES" w:eastAsia="es-ES"/>
        </w:rPr>
        <w:t>acreditó, tanto los requisitos empresariales como los requisitos de las unidades de transporte a efecto, en el primer caso para que se le otorgara un permiso de SEETAXI, habiéndole sido acreditado el permiso número 42 en sedanes. De acuerdo a lo anterior h</w:t>
      </w:r>
      <w:r>
        <w:rPr>
          <w:rFonts w:ascii="Verdana" w:hAnsi="Verdana" w:cs="Verdana"/>
          <w:spacing w:val="1"/>
          <w:sz w:val="23"/>
          <w:szCs w:val="23"/>
          <w:lang w:val="es-ES" w:eastAsia="es-ES"/>
        </w:rPr>
        <w:t>abiendo sido autorizada la empresa al cumplir con los requisitos, modifica el concepto de afiliado para los vehículos que operan y procede a realizar con estos un contrato denominado, "CONTRATO DE FRANQUICIA", mismo que genera obligaciones contractuales pa</w:t>
      </w:r>
      <w:r>
        <w:rPr>
          <w:rFonts w:ascii="Verdana" w:hAnsi="Verdana" w:cs="Verdana"/>
          <w:spacing w:val="1"/>
          <w:sz w:val="23"/>
          <w:szCs w:val="23"/>
          <w:lang w:val="es-ES" w:eastAsia="es-ES"/>
        </w:rPr>
        <w:t>ra las partes, incluyendo para estos efectos, la responsabilidad civil de su representada. Al tomar la Junta Directiva un acuerdo arbitrario para aplicar de manera antijurídica el porcentaje de SEETAXI, a nivel nacional y lo reduce por base de operaciones,</w:t>
      </w:r>
      <w:r>
        <w:rPr>
          <w:rFonts w:ascii="Verdana" w:hAnsi="Verdana" w:cs="Verdana"/>
          <w:spacing w:val="1"/>
          <w:sz w:val="23"/>
          <w:szCs w:val="23"/>
          <w:lang w:val="es-ES" w:eastAsia="es-ES"/>
        </w:rPr>
        <w:t xml:space="preserve"> le carga a</w:t>
      </w:r>
    </w:p>
    <w:p w:rsidR="00000000" w:rsidRDefault="003773B7">
      <w:pPr>
        <w:widowControl/>
        <w:rPr>
          <w:sz w:val="24"/>
          <w:szCs w:val="24"/>
        </w:rPr>
        <w:sectPr w:rsidR="00000000">
          <w:pgSz w:w="12302" w:h="15725"/>
          <w:pgMar w:top="1980" w:right="1891" w:bottom="162" w:left="1619" w:header="720" w:footer="720" w:gutter="0"/>
          <w:cols w:space="720"/>
          <w:noEndnote/>
        </w:sectPr>
      </w:pPr>
    </w:p>
    <w:p w:rsidR="00000000" w:rsidRDefault="003773B7">
      <w:pPr>
        <w:widowControl/>
        <w:rPr>
          <w:sz w:val="24"/>
          <w:szCs w:val="24"/>
        </w:rPr>
        <w:sectPr w:rsidR="00000000">
          <w:type w:val="continuous"/>
          <w:pgSz w:w="12302" w:h="15725"/>
          <w:pgMar w:top="1980" w:right="1898" w:bottom="162" w:left="7164" w:header="720" w:footer="720" w:gutter="0"/>
          <w:cols w:space="720"/>
          <w:noEndnote/>
        </w:sectPr>
      </w:pPr>
    </w:p>
    <w:p w:rsidR="00000000" w:rsidRDefault="003773B7">
      <w:pPr>
        <w:kinsoku w:val="0"/>
        <w:overflowPunct w:val="0"/>
        <w:autoSpaceDE/>
        <w:autoSpaceDN/>
        <w:adjustRightInd/>
        <w:spacing w:before="26" w:line="283" w:lineRule="exact"/>
        <w:ind w:left="72"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lastRenderedPageBreak/>
        <w:t>su representada responsabilidades que no le competen ya que la decisión de eliminar muchos de ellos no es de la empresa que representa. Se violenta el Principio de Legalidad y d</w:t>
      </w:r>
      <w:r>
        <w:rPr>
          <w:rFonts w:ascii="Verdana" w:hAnsi="Verdana" w:cs="Verdana"/>
          <w:spacing w:val="-1"/>
          <w:sz w:val="23"/>
          <w:szCs w:val="23"/>
          <w:lang w:val="es-ES" w:eastAsia="es-ES"/>
        </w:rPr>
        <w:t>e acuerdo con los numerales 11, 154 y 170 de la Ley General de la Administración Pública, cualquier acto que limite o deniegue derechos adquiridos debe cumplir con el debido proceso. No puede el CTP alegar discrecionalidad para con el acuerdo, ya que la ma</w:t>
      </w:r>
      <w:r>
        <w:rPr>
          <w:rFonts w:ascii="Verdana" w:hAnsi="Verdana" w:cs="Verdana"/>
          <w:spacing w:val="-1"/>
          <w:sz w:val="23"/>
          <w:szCs w:val="23"/>
          <w:lang w:val="es-ES" w:eastAsia="es-ES"/>
        </w:rPr>
        <w:t>teria está debidamente reglada en los transitorios de la Ley 8955 la que establece con claridad las causales para la pérdida de los códigos.</w:t>
      </w:r>
    </w:p>
    <w:p w:rsidR="00000000" w:rsidRDefault="003773B7">
      <w:pPr>
        <w:kinsoku w:val="0"/>
        <w:overflowPunct w:val="0"/>
        <w:autoSpaceDE/>
        <w:autoSpaceDN/>
        <w:adjustRightInd/>
        <w:spacing w:line="281"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q).- Resulta relevante indicar que su representada procedió en febrero del presente año a renovar todos los documen</w:t>
      </w:r>
      <w:r>
        <w:rPr>
          <w:rFonts w:ascii="Verdana" w:hAnsi="Verdana" w:cs="Verdana"/>
          <w:sz w:val="23"/>
          <w:szCs w:val="23"/>
          <w:lang w:val="es-ES" w:eastAsia="es-ES"/>
        </w:rPr>
        <w:t>tos de todas y cada una de las unidades de transporte acreditas, en razón de la renovación de los códigos adscritos al permiso número 54, mismos que fueron renovados por acuerdo del CTP hasta febrero de 2016 y cuentan con el canon cancelado al 31 de diciem</w:t>
      </w:r>
      <w:r>
        <w:rPr>
          <w:rFonts w:ascii="Verdana" w:hAnsi="Verdana" w:cs="Verdana"/>
          <w:sz w:val="23"/>
          <w:szCs w:val="23"/>
          <w:lang w:val="es-ES" w:eastAsia="es-ES"/>
        </w:rPr>
        <w:t>bre de 2015 y no se tiene noticia de otro acuerdo que derogara dicho acto. Siendo el CTP el que toma el acuerdo de disminuir el número de permisos es a esta entidad la que le corresponde determinar cuáles son las placas a las que le procede renovar el códi</w:t>
      </w:r>
      <w:r>
        <w:rPr>
          <w:rFonts w:ascii="Verdana" w:hAnsi="Verdana" w:cs="Verdana"/>
          <w:sz w:val="23"/>
          <w:szCs w:val="23"/>
          <w:lang w:val="es-ES" w:eastAsia="es-ES"/>
        </w:rPr>
        <w:t>go adscrito al permiso respectivo y motivar y fundamentar adecuadamente y en el mismo acto el procedimiento utilizado para tal determinación, pues todas cumplen a la fecha con todos los requisitos exigidos en el transitorio correspondiente y su representad</w:t>
      </w:r>
      <w:r>
        <w:rPr>
          <w:rFonts w:ascii="Verdana" w:hAnsi="Verdana" w:cs="Verdana"/>
          <w:sz w:val="23"/>
          <w:szCs w:val="23"/>
          <w:lang w:val="es-ES" w:eastAsia="es-ES"/>
        </w:rPr>
        <w:t xml:space="preserve">a no tiene obligación legal de asumir responsabilidades civiles. Se dieron plazos de recepción de documentos excesivamente cortos pero además se da un quebrando flagrante de la Ley 8220, pues no se pueden pedir requisitos que obran en poder del Consejo de </w:t>
      </w:r>
      <w:r>
        <w:rPr>
          <w:rFonts w:ascii="Verdana" w:hAnsi="Verdana" w:cs="Verdana"/>
          <w:sz w:val="23"/>
          <w:szCs w:val="23"/>
          <w:lang w:val="es-ES" w:eastAsia="es-ES"/>
        </w:rPr>
        <w:t xml:space="preserve">Transporte Público. -Solicita se declare la nulidad absoluta del acto administrativo </w:t>
      </w:r>
      <w:r>
        <w:rPr>
          <w:rFonts w:ascii="Verdana" w:hAnsi="Verdana" w:cs="Verdana"/>
          <w:b/>
          <w:bCs/>
          <w:sz w:val="23"/>
          <w:szCs w:val="23"/>
          <w:lang w:val="es-ES" w:eastAsia="es-ES"/>
        </w:rPr>
        <w:t xml:space="preserve">7.1.17 de la Sesión Ordinaria 49-2015 del 20 de agosto de 2015 </w:t>
      </w:r>
      <w:r>
        <w:rPr>
          <w:rFonts w:ascii="Verdana" w:hAnsi="Verdana" w:cs="Verdana"/>
          <w:sz w:val="23"/>
          <w:szCs w:val="23"/>
          <w:lang w:val="es-ES" w:eastAsia="es-ES"/>
        </w:rPr>
        <w:t xml:space="preserve">se emita un acto de autorización de la renovación y prorroga de la totalidad de los permisos asignados a su </w:t>
      </w:r>
      <w:r>
        <w:rPr>
          <w:rFonts w:ascii="Verdana" w:hAnsi="Verdana" w:cs="Verdana"/>
          <w:sz w:val="23"/>
          <w:szCs w:val="23"/>
          <w:lang w:val="es-ES" w:eastAsia="es-ES"/>
        </w:rPr>
        <w:t>representada por haber satisfecho la totalidad de los requisitos establecidos por el marco legal vigente. Así mismo se suspenda los efectos del acto impugnado de conformidad con el artículo 148 de la Ley General de la Administración Pública.</w:t>
      </w:r>
    </w:p>
    <w:p w:rsidR="00000000" w:rsidRDefault="003773B7">
      <w:pPr>
        <w:kinsoku w:val="0"/>
        <w:overflowPunct w:val="0"/>
        <w:autoSpaceDE/>
        <w:autoSpaceDN/>
        <w:adjustRightInd/>
        <w:spacing w:before="280" w:line="286" w:lineRule="exact"/>
        <w:ind w:left="72" w:right="72"/>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 xml:space="preserve">DEL PRINCIPIO </w:t>
      </w:r>
      <w:r>
        <w:rPr>
          <w:rFonts w:ascii="Verdana" w:hAnsi="Verdana" w:cs="Verdana"/>
          <w:b/>
          <w:bCs/>
          <w:spacing w:val="2"/>
          <w:sz w:val="23"/>
          <w:szCs w:val="23"/>
          <w:lang w:val="es-ES" w:eastAsia="es-ES"/>
        </w:rPr>
        <w:t>DE LEGALIDAD</w:t>
      </w:r>
    </w:p>
    <w:p w:rsidR="00000000" w:rsidRDefault="003773B7">
      <w:pPr>
        <w:kinsoku w:val="0"/>
        <w:overflowPunct w:val="0"/>
        <w:autoSpaceDE/>
        <w:autoSpaceDN/>
        <w:adjustRightInd/>
        <w:spacing w:before="311" w:after="1195" w:line="283"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La Administración Pública está sometida al Principio de Legalidad, conforme lo establecido en el Artículo 11 de la Constitución Política y el Artículo 11 de la Ley General de la Administración Pública, Ley 6324 de 1</w:t>
      </w:r>
      <w:r>
        <w:rPr>
          <w:rFonts w:ascii="Verdana" w:hAnsi="Verdana" w:cs="Verdana"/>
          <w:sz w:val="23"/>
          <w:szCs w:val="23"/>
          <w:lang w:val="es-ES" w:eastAsia="es-ES"/>
        </w:rPr>
        <w:t>978. Este principio constituye la base fundamental que define y delimita la actuación de los órganos de la Administración y por ende de los concesionarios y permisionarios del servicio público, que realizan un servicio público cedido por el Estado.</w:t>
      </w:r>
    </w:p>
    <w:p w:rsidR="00000000" w:rsidRDefault="003773B7">
      <w:pPr>
        <w:widowControl/>
        <w:rPr>
          <w:sz w:val="24"/>
          <w:szCs w:val="24"/>
        </w:rPr>
        <w:sectPr w:rsidR="00000000">
          <w:pgSz w:w="12288" w:h="15706"/>
          <w:pgMar w:top="2140" w:right="1836" w:bottom="33" w:left="1660" w:header="720" w:footer="720" w:gutter="0"/>
          <w:cols w:space="720"/>
          <w:noEndnote/>
        </w:sectPr>
      </w:pPr>
    </w:p>
    <w:p w:rsidR="00000000" w:rsidRDefault="003773B7">
      <w:pPr>
        <w:widowControl/>
        <w:rPr>
          <w:sz w:val="24"/>
          <w:szCs w:val="24"/>
        </w:rPr>
        <w:sectPr w:rsidR="00000000">
          <w:type w:val="continuous"/>
          <w:pgSz w:w="12288" w:h="15706"/>
          <w:pgMar w:top="2140" w:right="1862" w:bottom="33" w:left="7186" w:header="720" w:footer="720" w:gutter="0"/>
          <w:cols w:space="720"/>
          <w:noEndnote/>
        </w:sectPr>
      </w:pPr>
    </w:p>
    <w:p w:rsidR="00000000" w:rsidRDefault="003773B7">
      <w:pPr>
        <w:kinsoku w:val="0"/>
        <w:overflowPunct w:val="0"/>
        <w:autoSpaceDE/>
        <w:autoSpaceDN/>
        <w:adjustRightInd/>
        <w:spacing w:line="282"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La Sala Constitucional de la Corte Suprema de Justicia, en su sentencia No. 2001-02493, de las dieciséis horas, con veinticinco minutos, del veintisiete de marzo</w:t>
      </w:r>
      <w:r>
        <w:rPr>
          <w:rFonts w:ascii="Verdana" w:hAnsi="Verdana" w:cs="Verdana"/>
          <w:sz w:val="23"/>
          <w:szCs w:val="23"/>
          <w:lang w:val="es-ES" w:eastAsia="es-ES"/>
        </w:rPr>
        <w:t xml:space="preserve"> del dos mil uno, respecto del Principio de Legalidad, manifestó:</w:t>
      </w:r>
    </w:p>
    <w:p w:rsidR="00000000" w:rsidRDefault="003773B7">
      <w:pPr>
        <w:kinsoku w:val="0"/>
        <w:overflowPunct w:val="0"/>
        <w:autoSpaceDE/>
        <w:autoSpaceDN/>
        <w:adjustRightInd/>
        <w:spacing w:before="288" w:line="283"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"II.- Sobre el principio de legalidad: El principio de legalidad que se consagra en el artículo 11 de nuestra Constitución Política, significa que </w:t>
      </w:r>
      <w:r>
        <w:rPr>
          <w:rFonts w:ascii="Verdana" w:hAnsi="Verdana" w:cs="Verdana"/>
          <w:sz w:val="23"/>
          <w:szCs w:val="23"/>
          <w:u w:val="single"/>
          <w:lang w:val="es-ES" w:eastAsia="es-ES"/>
        </w:rPr>
        <w:t>los actos y comportamientos de la Administr</w:t>
      </w:r>
      <w:r>
        <w:rPr>
          <w:rFonts w:ascii="Verdana" w:hAnsi="Verdana" w:cs="Verdana"/>
          <w:sz w:val="23"/>
          <w:szCs w:val="23"/>
          <w:u w:val="single"/>
          <w:lang w:val="es-ES" w:eastAsia="es-ES"/>
        </w:rPr>
        <w:t>ación deben de estar regulados por norma escrita,</w:t>
      </w:r>
      <w:r>
        <w:rPr>
          <w:rFonts w:ascii="Verdana" w:hAnsi="Verdana" w:cs="Verdana"/>
          <w:sz w:val="23"/>
          <w:szCs w:val="23"/>
          <w:lang w:val="es-ES" w:eastAsia="es-ES"/>
        </w:rPr>
        <w:t xml:space="preserve"> lo que significa desde luego, el sometimiento a la Constitución y a la ley, preferentemente, y en general a todas las normas del ordenamiento jurídico, o sea lo que se conoce como el principio de juridicida</w:t>
      </w:r>
      <w:r>
        <w:rPr>
          <w:rFonts w:ascii="Verdana" w:hAnsi="Verdana" w:cs="Verdana"/>
          <w:sz w:val="23"/>
          <w:szCs w:val="23"/>
          <w:lang w:val="es-ES" w:eastAsia="es-ES"/>
        </w:rPr>
        <w:t xml:space="preserve">d de la Administración, </w:t>
      </w:r>
      <w:r>
        <w:rPr>
          <w:rFonts w:ascii="Verdana" w:hAnsi="Verdana" w:cs="Verdana"/>
          <w:sz w:val="23"/>
          <w:szCs w:val="23"/>
          <w:u w:val="single"/>
          <w:lang w:val="es-ES" w:eastAsia="es-ES"/>
        </w:rPr>
        <w:t xml:space="preserve">el cual significa que las instituciones públicas solamente pueden actuar en la medida en la que se  encuentren apoderadas para hacerlo por el mismo ordenamiento y normalmente a texto expreso, en consecuencia solo le es permitido lo </w:t>
      </w:r>
      <w:r>
        <w:rPr>
          <w:rFonts w:ascii="Verdana" w:hAnsi="Verdana" w:cs="Verdana"/>
          <w:sz w:val="23"/>
          <w:szCs w:val="23"/>
          <w:u w:val="single"/>
          <w:lang w:val="es-ES" w:eastAsia="es-ES"/>
        </w:rPr>
        <w:t xml:space="preserve">que esté constitucionalmente y legalmente autorizado en forma expresa y </w:t>
      </w:r>
      <w:r>
        <w:rPr>
          <w:rFonts w:ascii="Verdana" w:hAnsi="Verdana" w:cs="Verdana"/>
          <w:i/>
          <w:iCs/>
          <w:sz w:val="23"/>
          <w:szCs w:val="23"/>
          <w:u w:val="single"/>
          <w:lang w:val="es-ES" w:eastAsia="es-ES"/>
        </w:rPr>
        <w:t>todo lo que no les esté autorizado les está vedado. "</w:t>
      </w:r>
      <w:r>
        <w:rPr>
          <w:rFonts w:ascii="Verdana" w:hAnsi="Verdana" w:cs="Verdana"/>
          <w:sz w:val="23"/>
          <w:szCs w:val="23"/>
          <w:lang w:val="es-ES" w:eastAsia="es-ES"/>
        </w:rPr>
        <w:t xml:space="preserve"> (Lo resaltado no es del original)</w:t>
      </w:r>
    </w:p>
    <w:p w:rsidR="00000000" w:rsidRDefault="003773B7">
      <w:pPr>
        <w:kinsoku w:val="0"/>
        <w:overflowPunct w:val="0"/>
        <w:autoSpaceDE/>
        <w:autoSpaceDN/>
        <w:adjustRightInd/>
        <w:spacing w:before="274" w:line="283"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El Principio de Legalidad constituye pues el marco de acción o actuación al cual se encuentra su</w:t>
      </w:r>
      <w:r>
        <w:rPr>
          <w:rFonts w:ascii="Verdana" w:hAnsi="Verdana" w:cs="Verdana"/>
          <w:sz w:val="23"/>
          <w:szCs w:val="23"/>
          <w:lang w:val="es-ES" w:eastAsia="es-ES"/>
        </w:rPr>
        <w:t>jeto todo funcionario público y de no ajustarse a éste sus actos son nulos.</w:t>
      </w:r>
    </w:p>
    <w:p w:rsidR="00000000" w:rsidRDefault="003773B7">
      <w:pPr>
        <w:kinsoku w:val="0"/>
        <w:overflowPunct w:val="0"/>
        <w:autoSpaceDE/>
        <w:autoSpaceDN/>
        <w:adjustRightInd/>
        <w:spacing w:before="255" w:line="288" w:lineRule="exact"/>
        <w:ind w:left="72" w:right="72"/>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LA MOTIVACIÓN DE LOS ACTOS ADMINISTRATIVOS</w:t>
      </w:r>
    </w:p>
    <w:p w:rsidR="00000000" w:rsidRDefault="003773B7">
      <w:pPr>
        <w:kinsoku w:val="0"/>
        <w:overflowPunct w:val="0"/>
        <w:autoSpaceDE/>
        <w:autoSpaceDN/>
        <w:adjustRightInd/>
        <w:spacing w:before="276" w:line="283"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La motivación de los actos administrativos, de conformidad con los artículos 133 y 136 de la Ley General de Administración Pú</w:t>
      </w:r>
      <w:r>
        <w:rPr>
          <w:rFonts w:ascii="Verdana" w:hAnsi="Verdana" w:cs="Verdana"/>
          <w:sz w:val="23"/>
          <w:szCs w:val="23"/>
          <w:lang w:val="es-ES" w:eastAsia="es-ES"/>
        </w:rPr>
        <w:t>blica, constituye un elemento necesario para que dicho acto administrativo sea válido. Los motivos deben ser expuestos de una manera concreta, precisa y clara, a fin de que el acto sea susceptible de una fácil y correcta interpretación y control. La motiva</w:t>
      </w:r>
      <w:r>
        <w:rPr>
          <w:rFonts w:ascii="Verdana" w:hAnsi="Verdana" w:cs="Verdana"/>
          <w:sz w:val="23"/>
          <w:szCs w:val="23"/>
          <w:lang w:val="es-ES" w:eastAsia="es-ES"/>
        </w:rPr>
        <w:t>ción no solo es necesaria para la tarea de control, sino también para su eventual impugnación. La motivación constituye la legalidad del acto administrativo, pues justifica el cumplimiento de los elementos normativos y de valores de apreciación sobre el mé</w:t>
      </w:r>
      <w:r>
        <w:rPr>
          <w:rFonts w:ascii="Verdana" w:hAnsi="Verdana" w:cs="Verdana"/>
          <w:sz w:val="23"/>
          <w:szCs w:val="23"/>
          <w:lang w:val="es-ES" w:eastAsia="es-ES"/>
        </w:rPr>
        <w:t>rito y la racionabilidad, del mismo.</w:t>
      </w:r>
    </w:p>
    <w:p w:rsidR="00000000" w:rsidRDefault="003773B7">
      <w:pPr>
        <w:kinsoku w:val="0"/>
        <w:overflowPunct w:val="0"/>
        <w:autoSpaceDE/>
        <w:autoSpaceDN/>
        <w:adjustRightInd/>
        <w:spacing w:before="318" w:after="633" w:line="283" w:lineRule="exact"/>
        <w:ind w:left="72"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 xml:space="preserve">La Motivación, además debe ser coherente, tanto con el Principio de Legalidad, como con los hechos a los que se circunscribe, esto es de suma importancia pues como se dijo la Ley exige la motivación cuando: </w:t>
      </w:r>
      <w:r>
        <w:rPr>
          <w:rFonts w:ascii="Verdana" w:hAnsi="Verdana" w:cs="Verdana"/>
          <w:i/>
          <w:iCs/>
          <w:spacing w:val="-1"/>
          <w:sz w:val="23"/>
          <w:szCs w:val="23"/>
          <w:lang w:val="es-ES" w:eastAsia="es-ES"/>
        </w:rPr>
        <w:t>"a) Los acto</w:t>
      </w:r>
      <w:r>
        <w:rPr>
          <w:rFonts w:ascii="Verdana" w:hAnsi="Verdana" w:cs="Verdana"/>
          <w:i/>
          <w:iCs/>
          <w:spacing w:val="-1"/>
          <w:sz w:val="23"/>
          <w:szCs w:val="23"/>
          <w:lang w:val="es-ES" w:eastAsia="es-ES"/>
        </w:rPr>
        <w:t xml:space="preserve">s que impongan obligaciones o que limiten, supriman o denieguen derechos subjetivos;", </w:t>
      </w:r>
      <w:r>
        <w:rPr>
          <w:rFonts w:ascii="Verdana" w:hAnsi="Verdana" w:cs="Verdana"/>
          <w:spacing w:val="-1"/>
          <w:sz w:val="23"/>
          <w:szCs w:val="23"/>
          <w:lang w:val="es-ES" w:eastAsia="es-ES"/>
        </w:rPr>
        <w:t>esto es así ya que la tutela que nuestro ordenamiento jurídico hace de los derechos subjetivos de los administrados es de gran relevancia, de ahí que si el acto, por una</w:t>
      </w:r>
      <w:r>
        <w:rPr>
          <w:rFonts w:ascii="Verdana" w:hAnsi="Verdana" w:cs="Verdana"/>
          <w:spacing w:val="-1"/>
          <w:sz w:val="23"/>
          <w:szCs w:val="23"/>
          <w:lang w:val="es-ES" w:eastAsia="es-ES"/>
        </w:rPr>
        <w:t xml:space="preserve"> u otra razón ha de denegar derecho alguno debe ser justificado hartamente pero</w:t>
      </w:r>
    </w:p>
    <w:p w:rsidR="00000000" w:rsidRDefault="003773B7">
      <w:pPr>
        <w:widowControl/>
        <w:rPr>
          <w:sz w:val="24"/>
          <w:szCs w:val="24"/>
        </w:rPr>
        <w:sectPr w:rsidR="00000000">
          <w:pgSz w:w="12288" w:h="15706"/>
          <w:pgMar w:top="2020" w:right="1875" w:bottom="133" w:left="1621" w:header="720" w:footer="720" w:gutter="0"/>
          <w:cols w:space="720"/>
          <w:noEndnote/>
        </w:sectPr>
      </w:pPr>
    </w:p>
    <w:p w:rsidR="00000000" w:rsidRDefault="003773B7">
      <w:pPr>
        <w:widowControl/>
        <w:rPr>
          <w:sz w:val="24"/>
          <w:szCs w:val="24"/>
        </w:rPr>
        <w:sectPr w:rsidR="00000000">
          <w:type w:val="continuous"/>
          <w:pgSz w:w="12288" w:h="15706"/>
          <w:pgMar w:top="2020" w:right="1872" w:bottom="133" w:left="7176" w:header="720" w:footer="720" w:gutter="0"/>
          <w:cols w:space="720"/>
          <w:noEndnote/>
        </w:sectPr>
      </w:pPr>
    </w:p>
    <w:p w:rsidR="00000000" w:rsidRDefault="003773B7">
      <w:pPr>
        <w:kinsoku w:val="0"/>
        <w:overflowPunct w:val="0"/>
        <w:autoSpaceDE/>
        <w:autoSpaceDN/>
        <w:adjustRightInd/>
        <w:spacing w:line="282"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esa justificación debe ser coherente con el cuadro fáctico que el operador del derecho tiene frente a sí y el</w:t>
      </w:r>
      <w:r>
        <w:rPr>
          <w:rFonts w:ascii="Verdana" w:hAnsi="Verdana" w:cs="Verdana"/>
          <w:sz w:val="22"/>
          <w:szCs w:val="22"/>
          <w:lang w:val="es-ES" w:eastAsia="es-ES"/>
        </w:rPr>
        <w:t xml:space="preserve"> marco legal que regula la materia. (El resaltado es nuestro)</w:t>
      </w:r>
    </w:p>
    <w:p w:rsidR="00000000" w:rsidRDefault="003773B7">
      <w:pPr>
        <w:kinsoku w:val="0"/>
        <w:overflowPunct w:val="0"/>
        <w:autoSpaceDE/>
        <w:autoSpaceDN/>
        <w:adjustRightInd/>
        <w:spacing w:before="273" w:line="262" w:lineRule="exact"/>
        <w:ind w:left="648"/>
        <w:textAlignment w:val="baseline"/>
        <w:rPr>
          <w:rFonts w:ascii="Verdana" w:hAnsi="Verdana" w:cs="Verdana"/>
          <w:sz w:val="24"/>
          <w:szCs w:val="24"/>
          <w:lang w:eastAsia="en-US"/>
        </w:rPr>
      </w:pPr>
      <w:r>
        <w:rPr>
          <w:rFonts w:ascii="Verdana" w:hAnsi="Verdana" w:cs="Verdana"/>
          <w:i/>
          <w:iCs/>
          <w:spacing w:val="-5"/>
          <w:sz w:val="22"/>
          <w:szCs w:val="22"/>
          <w:lang w:val="es-ES" w:eastAsia="es-ES"/>
        </w:rPr>
        <w:t>"Artículo 136.</w:t>
      </w:r>
      <w:r>
        <w:rPr>
          <w:rFonts w:ascii="Verdana" w:hAnsi="Verdana" w:cs="Verdana"/>
          <w:i/>
          <w:iCs/>
          <w:spacing w:val="-5"/>
          <w:sz w:val="22"/>
          <w:szCs w:val="22"/>
          <w:lang w:val="es-ES" w:eastAsia="es-ES"/>
        </w:rPr>
        <w:noBreakHyphen/>
      </w:r>
    </w:p>
    <w:p w:rsidR="00000000" w:rsidRDefault="003773B7">
      <w:pPr>
        <w:kinsoku w:val="0"/>
        <w:overflowPunct w:val="0"/>
        <w:autoSpaceDE/>
        <w:autoSpaceDN/>
        <w:adjustRightInd/>
        <w:spacing w:before="270" w:line="256" w:lineRule="exact"/>
        <w:ind w:left="648" w:right="576"/>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1. Serán motivados con mención, sucinta al menos, de sus fundamentos:</w:t>
      </w:r>
    </w:p>
    <w:p w:rsidR="00000000" w:rsidRDefault="003773B7">
      <w:pPr>
        <w:numPr>
          <w:ilvl w:val="0"/>
          <w:numId w:val="19"/>
        </w:numPr>
        <w:kinsoku w:val="0"/>
        <w:overflowPunct w:val="0"/>
        <w:autoSpaceDE/>
        <w:autoSpaceDN/>
        <w:adjustRightInd/>
        <w:spacing w:before="275" w:line="253" w:lineRule="exact"/>
        <w:ind w:right="576"/>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Los actos que impongan obligaciones o que limiten, supriman o denieguen derechos subjetivos;</w:t>
      </w:r>
    </w:p>
    <w:p w:rsidR="00000000" w:rsidRDefault="003773B7">
      <w:pPr>
        <w:numPr>
          <w:ilvl w:val="0"/>
          <w:numId w:val="19"/>
        </w:numPr>
        <w:kinsoku w:val="0"/>
        <w:overflowPunct w:val="0"/>
        <w:autoSpaceDE/>
        <w:autoSpaceDN/>
        <w:adjustRightInd/>
        <w:spacing w:line="258" w:lineRule="exact"/>
        <w:jc w:val="both"/>
        <w:textAlignment w:val="baseline"/>
        <w:rPr>
          <w:rFonts w:ascii="Verdana" w:hAnsi="Verdana" w:cs="Verdana"/>
          <w:i/>
          <w:iCs/>
          <w:spacing w:val="-3"/>
          <w:sz w:val="22"/>
          <w:szCs w:val="22"/>
          <w:lang w:val="es-ES" w:eastAsia="es-ES"/>
        </w:rPr>
      </w:pPr>
      <w:r>
        <w:rPr>
          <w:rFonts w:ascii="Verdana" w:hAnsi="Verdana" w:cs="Verdana"/>
          <w:i/>
          <w:iCs/>
          <w:spacing w:val="-3"/>
          <w:sz w:val="22"/>
          <w:szCs w:val="22"/>
          <w:lang w:val="es-ES" w:eastAsia="es-ES"/>
        </w:rPr>
        <w:t>Los que resuelvan recursos;</w:t>
      </w:r>
    </w:p>
    <w:p w:rsidR="00000000" w:rsidRDefault="003773B7">
      <w:pPr>
        <w:numPr>
          <w:ilvl w:val="0"/>
          <w:numId w:val="20"/>
        </w:numPr>
        <w:kinsoku w:val="0"/>
        <w:overflowPunct w:val="0"/>
        <w:autoSpaceDE/>
        <w:autoSpaceDN/>
        <w:adjustRightInd/>
        <w:spacing w:before="10" w:line="257" w:lineRule="exact"/>
        <w:ind w:right="576"/>
        <w:jc w:val="both"/>
        <w:textAlignment w:val="baseline"/>
        <w:rPr>
          <w:rFonts w:ascii="Verdana" w:hAnsi="Verdana" w:cs="Verdana"/>
          <w:i/>
          <w:iCs/>
          <w:sz w:val="22"/>
          <w:szCs w:val="22"/>
          <w:u w:val="single"/>
          <w:lang w:val="es-ES" w:eastAsia="es-ES"/>
        </w:rPr>
      </w:pPr>
      <w:r>
        <w:rPr>
          <w:rFonts w:ascii="Verdana" w:hAnsi="Verdana" w:cs="Verdana"/>
          <w:i/>
          <w:iCs/>
          <w:sz w:val="22"/>
          <w:szCs w:val="22"/>
          <w:u w:val="single"/>
          <w:lang w:val="es-ES" w:eastAsia="es-ES"/>
        </w:rPr>
        <w:t xml:space="preserve">Los que se separen del criterio seguido en actuaciones precedentes o del dictamen de órganos consultivos; </w:t>
      </w:r>
    </w:p>
    <w:p w:rsidR="00000000" w:rsidRDefault="003773B7">
      <w:pPr>
        <w:numPr>
          <w:ilvl w:val="0"/>
          <w:numId w:val="19"/>
        </w:numPr>
        <w:kinsoku w:val="0"/>
        <w:overflowPunct w:val="0"/>
        <w:autoSpaceDE/>
        <w:autoSpaceDN/>
        <w:adjustRightInd/>
        <w:spacing w:line="263" w:lineRule="exact"/>
        <w:jc w:val="both"/>
        <w:textAlignment w:val="baseline"/>
        <w:rPr>
          <w:rFonts w:ascii="Verdana" w:hAnsi="Verdana" w:cs="Verdana"/>
          <w:i/>
          <w:iCs/>
          <w:spacing w:val="-2"/>
          <w:sz w:val="22"/>
          <w:szCs w:val="22"/>
          <w:lang w:val="es-ES" w:eastAsia="es-ES"/>
        </w:rPr>
      </w:pPr>
      <w:r>
        <w:rPr>
          <w:rFonts w:ascii="Verdana" w:hAnsi="Verdana" w:cs="Verdana"/>
          <w:i/>
          <w:iCs/>
          <w:spacing w:val="-2"/>
          <w:sz w:val="22"/>
          <w:szCs w:val="22"/>
          <w:lang w:val="es-ES" w:eastAsia="es-ES"/>
        </w:rPr>
        <w:t>Los de suspensión de actos que hayan sido objeto del recurso;</w:t>
      </w:r>
    </w:p>
    <w:p w:rsidR="00000000" w:rsidRDefault="003773B7">
      <w:pPr>
        <w:numPr>
          <w:ilvl w:val="0"/>
          <w:numId w:val="19"/>
        </w:numPr>
        <w:kinsoku w:val="0"/>
        <w:overflowPunct w:val="0"/>
        <w:autoSpaceDE/>
        <w:autoSpaceDN/>
        <w:adjustRightInd/>
        <w:spacing w:line="259" w:lineRule="exact"/>
        <w:jc w:val="both"/>
        <w:textAlignment w:val="baseline"/>
        <w:rPr>
          <w:rFonts w:ascii="Verdana" w:hAnsi="Verdana" w:cs="Verdana"/>
          <w:i/>
          <w:iCs/>
          <w:spacing w:val="-2"/>
          <w:sz w:val="22"/>
          <w:szCs w:val="22"/>
          <w:lang w:val="es-ES" w:eastAsia="es-ES"/>
        </w:rPr>
      </w:pPr>
      <w:r>
        <w:rPr>
          <w:rFonts w:ascii="Verdana" w:hAnsi="Verdana" w:cs="Verdana"/>
          <w:i/>
          <w:iCs/>
          <w:spacing w:val="-2"/>
          <w:sz w:val="22"/>
          <w:szCs w:val="22"/>
          <w:lang w:val="es-ES" w:eastAsia="es-ES"/>
        </w:rPr>
        <w:t>Los reglamentos y actos discrecionales de alcance g</w:t>
      </w:r>
      <w:r>
        <w:rPr>
          <w:rFonts w:ascii="Verdana" w:hAnsi="Verdana" w:cs="Verdana"/>
          <w:i/>
          <w:iCs/>
          <w:spacing w:val="-2"/>
          <w:sz w:val="22"/>
          <w:szCs w:val="22"/>
          <w:lang w:val="es-ES" w:eastAsia="es-ES"/>
        </w:rPr>
        <w:t>eneral; y</w:t>
      </w:r>
    </w:p>
    <w:p w:rsidR="00000000" w:rsidRDefault="003773B7">
      <w:pPr>
        <w:numPr>
          <w:ilvl w:val="0"/>
          <w:numId w:val="19"/>
        </w:numPr>
        <w:kinsoku w:val="0"/>
        <w:overflowPunct w:val="0"/>
        <w:autoSpaceDE/>
        <w:autoSpaceDN/>
        <w:adjustRightInd/>
        <w:spacing w:line="265" w:lineRule="exact"/>
        <w:jc w:val="both"/>
        <w:textAlignment w:val="baseline"/>
        <w:rPr>
          <w:rFonts w:ascii="Verdana" w:hAnsi="Verdana" w:cs="Verdana"/>
          <w:i/>
          <w:iCs/>
          <w:spacing w:val="-4"/>
          <w:sz w:val="22"/>
          <w:szCs w:val="22"/>
          <w:lang w:val="es-ES" w:eastAsia="es-ES"/>
        </w:rPr>
      </w:pPr>
      <w:r>
        <w:rPr>
          <w:rFonts w:ascii="Verdana" w:hAnsi="Verdana" w:cs="Verdana"/>
          <w:i/>
          <w:iCs/>
          <w:spacing w:val="-4"/>
          <w:sz w:val="22"/>
          <w:szCs w:val="22"/>
          <w:lang w:val="es-ES" w:eastAsia="es-ES"/>
        </w:rPr>
        <w:t>Los que deban serlo en virtud de ley.</w:t>
      </w:r>
    </w:p>
    <w:p w:rsidR="00000000" w:rsidRDefault="003773B7">
      <w:pPr>
        <w:kinsoku w:val="0"/>
        <w:overflowPunct w:val="0"/>
        <w:autoSpaceDE/>
        <w:autoSpaceDN/>
        <w:adjustRightInd/>
        <w:spacing w:before="260" w:line="259" w:lineRule="exact"/>
        <w:ind w:left="648" w:right="576"/>
        <w:jc w:val="both"/>
        <w:textAlignment w:val="baseline"/>
        <w:rPr>
          <w:rFonts w:ascii="Verdana" w:hAnsi="Verdana" w:cs="Verdana"/>
          <w:spacing w:val="-4"/>
          <w:sz w:val="22"/>
          <w:szCs w:val="22"/>
          <w:lang w:val="es-ES" w:eastAsia="es-ES"/>
        </w:rPr>
      </w:pPr>
      <w:r>
        <w:rPr>
          <w:rFonts w:ascii="Verdana" w:hAnsi="Verdana" w:cs="Verdana"/>
          <w:i/>
          <w:iCs/>
          <w:spacing w:val="-4"/>
          <w:sz w:val="22"/>
          <w:szCs w:val="22"/>
          <w:lang w:val="es-ES" w:eastAsia="es-ES"/>
        </w:rPr>
        <w:t xml:space="preserve">2. </w:t>
      </w:r>
      <w:r>
        <w:rPr>
          <w:rFonts w:ascii="Verdana" w:hAnsi="Verdana" w:cs="Verdana"/>
          <w:spacing w:val="-4"/>
          <w:sz w:val="22"/>
          <w:szCs w:val="22"/>
          <w:lang w:val="es-ES" w:eastAsia="es-ES"/>
        </w:rPr>
        <w:t>La motivación podrá consistir en la referencia explícita o inequívoca a los motivos de la petición del administrado, o bien a propuestas, dictámenes o resoluciones previas que hayan determinado realmente l</w:t>
      </w:r>
      <w:r>
        <w:rPr>
          <w:rFonts w:ascii="Verdana" w:hAnsi="Verdana" w:cs="Verdana"/>
          <w:spacing w:val="-4"/>
          <w:sz w:val="22"/>
          <w:szCs w:val="22"/>
          <w:lang w:val="es-ES" w:eastAsia="es-ES"/>
        </w:rPr>
        <w:t>a adopción del acto, a condición de que se acompañe su copia." (El resaltado no es del original)</w:t>
      </w:r>
    </w:p>
    <w:p w:rsidR="00000000" w:rsidRDefault="003773B7">
      <w:pPr>
        <w:kinsoku w:val="0"/>
        <w:overflowPunct w:val="0"/>
        <w:autoSpaceDE/>
        <w:autoSpaceDN/>
        <w:adjustRightInd/>
        <w:spacing w:before="263" w:line="278" w:lineRule="exact"/>
        <w:ind w:left="72"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El Tribunal Contencioso Administrativo Sección II en su sentencia 00542 de las diez horas cincuenta minutos del veintitrés de noviembre del 2007 indicó:</w:t>
      </w:r>
    </w:p>
    <w:p w:rsidR="00000000" w:rsidRDefault="003773B7">
      <w:pPr>
        <w:kinsoku w:val="0"/>
        <w:overflowPunct w:val="0"/>
        <w:autoSpaceDE/>
        <w:autoSpaceDN/>
        <w:adjustRightInd/>
        <w:spacing w:before="372" w:after="523" w:line="211" w:lineRule="exact"/>
        <w:ind w:left="360" w:right="432"/>
        <w:jc w:val="both"/>
        <w:textAlignment w:val="baseline"/>
        <w:rPr>
          <w:rFonts w:ascii="Verdana" w:hAnsi="Verdana" w:cs="Verdana"/>
          <w:i/>
          <w:iCs/>
          <w:spacing w:val="1"/>
          <w:sz w:val="17"/>
          <w:szCs w:val="17"/>
          <w:lang w:val="es-ES" w:eastAsia="es-ES"/>
        </w:rPr>
      </w:pPr>
      <w:r>
        <w:rPr>
          <w:rFonts w:ascii="Verdana" w:hAnsi="Verdana" w:cs="Verdana"/>
          <w:i/>
          <w:iCs/>
          <w:spacing w:val="1"/>
          <w:sz w:val="17"/>
          <w:szCs w:val="17"/>
          <w:lang w:val="es-ES" w:eastAsia="es-ES"/>
        </w:rPr>
        <w:t>"IV.- DE LA MOTIVACIÓN COMO ELEMENTO ESENCIAL DE LA ACTUACIÓN FORMAL DE LA ADMINISTRACIÓN PÚBLICA.- El primer motivo de impugnación es la falta de fundamentación e incongruencia de la resolución administrativa impugnada . En efecto, cabe advertir que la ex</w:t>
      </w:r>
      <w:r>
        <w:rPr>
          <w:rFonts w:ascii="Verdana" w:hAnsi="Verdana" w:cs="Verdana"/>
          <w:i/>
          <w:iCs/>
          <w:spacing w:val="1"/>
          <w:sz w:val="17"/>
          <w:szCs w:val="17"/>
          <w:lang w:val="es-ES" w:eastAsia="es-ES"/>
        </w:rPr>
        <w:t xml:space="preserve">istencia y validez de todo acto administrativo depende de la concurrencia de varios elementos esenciales, impuestos por el ordenamiento jurídico, que para una mayor comprensión, pueden clasificarse en </w:t>
      </w:r>
      <w:r>
        <w:rPr>
          <w:rFonts w:ascii="Verdana" w:hAnsi="Verdana" w:cs="Verdana"/>
          <w:i/>
          <w:iCs/>
          <w:spacing w:val="1"/>
          <w:sz w:val="17"/>
          <w:szCs w:val="17"/>
          <w:u w:val="single"/>
          <w:lang w:val="es-ES" w:eastAsia="es-ES"/>
        </w:rPr>
        <w:t xml:space="preserve">materiales </w:t>
      </w:r>
      <w:r>
        <w:rPr>
          <w:rFonts w:ascii="Verdana" w:hAnsi="Verdana" w:cs="Verdana"/>
          <w:i/>
          <w:iCs/>
          <w:spacing w:val="1"/>
          <w:sz w:val="17"/>
          <w:szCs w:val="17"/>
          <w:lang w:val="es-ES" w:eastAsia="es-ES"/>
        </w:rPr>
        <w:t xml:space="preserve">, relativos a los elementos subjetivos ( competencia, legitimación e investidura ), objetivos ( fin, contenido y motivo -artículos 131, 132 y 133 de la Ley General de la Administración Pública y 49 de la Constitución Política) y </w:t>
      </w:r>
      <w:r>
        <w:rPr>
          <w:rFonts w:ascii="Verdana" w:hAnsi="Verdana" w:cs="Verdana"/>
          <w:i/>
          <w:iCs/>
          <w:spacing w:val="1"/>
          <w:sz w:val="17"/>
          <w:szCs w:val="17"/>
          <w:u w:val="single"/>
          <w:lang w:val="es-ES" w:eastAsia="es-ES"/>
        </w:rPr>
        <w:t xml:space="preserve">formales </w:t>
      </w:r>
      <w:r>
        <w:rPr>
          <w:rFonts w:ascii="Verdana" w:hAnsi="Verdana" w:cs="Verdana"/>
          <w:i/>
          <w:iCs/>
          <w:spacing w:val="1"/>
          <w:sz w:val="17"/>
          <w:szCs w:val="17"/>
          <w:lang w:val="es-ES" w:eastAsia="es-ES"/>
        </w:rPr>
        <w:t xml:space="preserve">, comprensivos de </w:t>
      </w:r>
      <w:r>
        <w:rPr>
          <w:rFonts w:ascii="Verdana" w:hAnsi="Verdana" w:cs="Verdana"/>
          <w:i/>
          <w:iCs/>
          <w:spacing w:val="1"/>
          <w:sz w:val="17"/>
          <w:szCs w:val="17"/>
          <w:lang w:val="es-ES" w:eastAsia="es-ES"/>
        </w:rPr>
        <w:t>los forma en que se adopta el acto, sea, el medio de expresión o manifestación (instrumentación), la motivación o fundamentación (artículo 136 de la citada Ley General) y el procedimiento seguido para su adopción (artículos 214 y 308 de la Ley General de l</w:t>
      </w:r>
      <w:r>
        <w:rPr>
          <w:rFonts w:ascii="Verdana" w:hAnsi="Verdana" w:cs="Verdana"/>
          <w:i/>
          <w:iCs/>
          <w:spacing w:val="1"/>
          <w:sz w:val="17"/>
          <w:szCs w:val="17"/>
          <w:lang w:val="es-ES" w:eastAsia="es-ES"/>
        </w:rPr>
        <w:t>a Administración Pública y 39 y 41 de la Constitución). La motivación consiste "... en una declaración de cuáles son las circunstancias de hecho y de derecho que han llevado a la respectiva administración pública al dictado o emanación del acto administrat</w:t>
      </w:r>
      <w:r>
        <w:rPr>
          <w:rFonts w:ascii="Verdana" w:hAnsi="Verdana" w:cs="Verdana"/>
          <w:i/>
          <w:iCs/>
          <w:spacing w:val="1"/>
          <w:sz w:val="17"/>
          <w:szCs w:val="17"/>
          <w:lang w:val="es-ES" w:eastAsia="es-ES"/>
        </w:rPr>
        <w:t>ivo. La motivación es la expresión formal del motivo y, normalmente, en cualquier resolución administrativa, está contenida en los denominados 'considerandos' -parte considerativa-. La motivación, al consistir en una enunciación de los hechos y del fundame</w:t>
      </w:r>
      <w:r>
        <w:rPr>
          <w:rFonts w:ascii="Verdana" w:hAnsi="Verdana" w:cs="Verdana"/>
          <w:i/>
          <w:iCs/>
          <w:spacing w:val="1"/>
          <w:sz w:val="17"/>
          <w:szCs w:val="17"/>
          <w:lang w:val="es-ES" w:eastAsia="es-ES"/>
        </w:rPr>
        <w:t>nto jurídico que la administración pública tuvo en cuenta para emitir su decisión o voluntad, constituye un medio de prueba de la intencionalidad de esta y una pauta indispensable para interpretar y aplicar el respectivo acto administrativo. " (JINESTA LOB</w:t>
      </w:r>
      <w:r>
        <w:rPr>
          <w:rFonts w:ascii="Verdana" w:hAnsi="Verdana" w:cs="Verdana"/>
          <w:i/>
          <w:iCs/>
          <w:spacing w:val="1"/>
          <w:sz w:val="17"/>
          <w:szCs w:val="17"/>
          <w:lang w:val="es-ES" w:eastAsia="es-ES"/>
        </w:rPr>
        <w:t xml:space="preserve">O, Ernesto. </w:t>
      </w:r>
      <w:r>
        <w:rPr>
          <w:rFonts w:ascii="Verdana" w:hAnsi="Verdana" w:cs="Verdana"/>
          <w:i/>
          <w:iCs/>
          <w:spacing w:val="1"/>
          <w:sz w:val="17"/>
          <w:szCs w:val="17"/>
          <w:u w:val="single"/>
          <w:lang w:val="es-ES" w:eastAsia="es-ES"/>
        </w:rPr>
        <w:t xml:space="preserve">Tratado de Derecho Administrativo </w:t>
      </w:r>
      <w:r>
        <w:rPr>
          <w:rFonts w:ascii="Verdana" w:hAnsi="Verdana" w:cs="Verdana"/>
          <w:i/>
          <w:iCs/>
          <w:spacing w:val="1"/>
          <w:sz w:val="17"/>
          <w:szCs w:val="17"/>
          <w:lang w:val="es-ES" w:eastAsia="es-ES"/>
        </w:rPr>
        <w:t xml:space="preserve"> . Tomo I. (Parte General). Biblioteca Jurídica Dike. Primera edición. Medellín , Colombia . 2002. p. 388.) De manera que la motivación debe determinar la aplicación de un concepto a las circunstancias de hecho</w:t>
      </w:r>
      <w:r>
        <w:rPr>
          <w:rFonts w:ascii="Verdana" w:hAnsi="Verdana" w:cs="Verdana"/>
          <w:i/>
          <w:iCs/>
          <w:spacing w:val="1"/>
          <w:sz w:val="17"/>
          <w:szCs w:val="17"/>
          <w:lang w:val="es-ES" w:eastAsia="es-ES"/>
        </w:rPr>
        <w:t xml:space="preserve"> singulares de que se trate (según desarrollo de la jurisprudencia</w:t>
      </w:r>
    </w:p>
    <w:p w:rsidR="00000000" w:rsidRDefault="003773B7">
      <w:pPr>
        <w:widowControl/>
        <w:rPr>
          <w:sz w:val="24"/>
          <w:szCs w:val="24"/>
        </w:rPr>
        <w:sectPr w:rsidR="00000000">
          <w:pgSz w:w="12288" w:h="15725"/>
          <w:pgMar w:top="2140" w:right="1822" w:bottom="52" w:left="1674" w:header="720" w:footer="720" w:gutter="0"/>
          <w:cols w:space="720"/>
          <w:noEndnote/>
        </w:sectPr>
      </w:pPr>
    </w:p>
    <w:p w:rsidR="00000000" w:rsidRDefault="003773B7">
      <w:pPr>
        <w:widowControl/>
        <w:rPr>
          <w:sz w:val="24"/>
          <w:szCs w:val="24"/>
        </w:rPr>
        <w:sectPr w:rsidR="00000000">
          <w:type w:val="continuous"/>
          <w:pgSz w:w="12288" w:h="15725"/>
          <w:pgMar w:top="2140" w:right="1857" w:bottom="52" w:left="7191" w:header="720" w:footer="720" w:gutter="0"/>
          <w:cols w:space="720"/>
          <w:noEndnote/>
        </w:sectPr>
      </w:pPr>
    </w:p>
    <w:p w:rsidR="00000000" w:rsidRDefault="003773B7" w:rsidP="003853B7">
      <w:pPr>
        <w:kinsoku w:val="0"/>
        <w:overflowPunct w:val="0"/>
        <w:autoSpaceDE/>
        <w:autoSpaceDN/>
        <w:adjustRightInd/>
        <w:spacing w:before="28" w:line="211" w:lineRule="exact"/>
        <w:ind w:left="432" w:right="432"/>
        <w:jc w:val="both"/>
        <w:textAlignment w:val="baseline"/>
        <w:rPr>
          <w:rFonts w:ascii="Verdana" w:hAnsi="Verdana" w:cs="Verdana"/>
          <w:i/>
          <w:iCs/>
          <w:spacing w:val="-4"/>
          <w:sz w:val="17"/>
          <w:szCs w:val="17"/>
          <w:lang w:val="es-ES" w:eastAsia="es-ES"/>
        </w:rPr>
      </w:pPr>
      <w:r>
        <w:rPr>
          <w:rFonts w:ascii="Verdana" w:hAnsi="Verdana" w:cs="Verdana"/>
          <w:i/>
          <w:iCs/>
          <w:spacing w:val="-4"/>
          <w:sz w:val="17"/>
          <w:szCs w:val="17"/>
          <w:lang w:val="es-ES" w:eastAsia="es-ES"/>
        </w:rPr>
        <w:lastRenderedPageBreak/>
        <w:t xml:space="preserve">española, propiamente en la sentencia del 18 de mayo de 1991, RA 4120, aceptando considerando de la apelada, que cita las </w:t>
      </w:r>
      <w:r>
        <w:rPr>
          <w:rFonts w:ascii="Verdana" w:hAnsi="Verdana" w:cs="Verdana"/>
          <w:i/>
          <w:iCs/>
          <w:spacing w:val="-4"/>
          <w:sz w:val="17"/>
          <w:szCs w:val="17"/>
          <w:lang w:val="es-ES" w:eastAsia="es-ES"/>
        </w:rPr>
        <w:t xml:space="preserve">SSTS de 23 de setiembre de 1969, RA 6078, y 7 de octubre de 1970, RA 4251, citado por el autor Marcos M. Fernando Pablo, en su obra </w:t>
      </w:r>
      <w:r>
        <w:rPr>
          <w:rFonts w:ascii="Verdana" w:hAnsi="Verdana" w:cs="Verdana"/>
          <w:i/>
          <w:iCs/>
          <w:spacing w:val="-4"/>
          <w:sz w:val="17"/>
          <w:szCs w:val="17"/>
          <w:u w:val="single"/>
          <w:lang w:val="es-ES" w:eastAsia="es-ES"/>
        </w:rPr>
        <w:t xml:space="preserve">La motivación del acto administrativo </w:t>
      </w:r>
      <w:r>
        <w:rPr>
          <w:rFonts w:ascii="Verdana" w:hAnsi="Verdana" w:cs="Verdana"/>
          <w:i/>
          <w:iCs/>
          <w:spacing w:val="-4"/>
          <w:sz w:val="17"/>
          <w:szCs w:val="17"/>
          <w:lang w:val="es-ES" w:eastAsia="es-ES"/>
        </w:rPr>
        <w:t xml:space="preserve"> . (Editorial Tecnos, S. A. Madrid. 1993, página 190); es decir, se trata de una deció</w:t>
      </w:r>
      <w:r>
        <w:rPr>
          <w:rFonts w:ascii="Verdana" w:hAnsi="Verdana" w:cs="Verdana"/>
          <w:i/>
          <w:iCs/>
          <w:spacing w:val="-4"/>
          <w:sz w:val="17"/>
          <w:szCs w:val="17"/>
          <w:lang w:val="es-ES" w:eastAsia="es-ES"/>
        </w:rPr>
        <w:t>n concreta, que liga los hechos con el sustento normativo; de manera que cuando hay una breve alusión a normas generales y hechos inespecíficos, se puede concluir que no hay aporte suficiente de justicación, en la medida en que de ellos no es posible deduc</w:t>
      </w:r>
      <w:r>
        <w:rPr>
          <w:rFonts w:ascii="Verdana" w:hAnsi="Verdana" w:cs="Verdana"/>
          <w:i/>
          <w:iCs/>
          <w:spacing w:val="-4"/>
          <w:sz w:val="17"/>
          <w:szCs w:val="17"/>
          <w:lang w:val="es-ES" w:eastAsia="es-ES"/>
        </w:rPr>
        <w:t>ir los elementos valorados por la autoridad gubernativa para tomar la decisión ..."</w:t>
      </w:r>
    </w:p>
    <w:p w:rsidR="00000000" w:rsidRDefault="003773B7">
      <w:pPr>
        <w:kinsoku w:val="0"/>
        <w:overflowPunct w:val="0"/>
        <w:autoSpaceDE/>
        <w:autoSpaceDN/>
        <w:adjustRightInd/>
        <w:spacing w:before="499" w:line="286" w:lineRule="exact"/>
        <w:ind w:left="72" w:right="432"/>
        <w:jc w:val="both"/>
        <w:textAlignment w:val="baseline"/>
        <w:rPr>
          <w:rFonts w:ascii="Garamond" w:hAnsi="Garamond" w:cs="Garamond"/>
          <w:b/>
          <w:bCs/>
          <w:sz w:val="23"/>
          <w:szCs w:val="23"/>
          <w:lang w:val="es-ES" w:eastAsia="es-ES"/>
        </w:rPr>
      </w:pPr>
      <w:r>
        <w:rPr>
          <w:rFonts w:ascii="Garamond" w:hAnsi="Garamond" w:cs="Garamond"/>
          <w:b/>
          <w:bCs/>
          <w:sz w:val="23"/>
          <w:szCs w:val="23"/>
          <w:lang w:val="es-ES" w:eastAsia="es-ES"/>
        </w:rPr>
        <w:t>EL SERVICIO ESPECIAL ESTABLE DE TAXI (SEETAXI) COMO UN SERVICIO PÚBLICO PARTICULAR, ESPECÍFICO Y REGULADO.</w:t>
      </w:r>
    </w:p>
    <w:p w:rsidR="00000000" w:rsidRDefault="003773B7">
      <w:pPr>
        <w:kinsoku w:val="0"/>
        <w:overflowPunct w:val="0"/>
        <w:autoSpaceDE/>
        <w:autoSpaceDN/>
        <w:adjustRightInd/>
        <w:spacing w:before="400" w:line="282"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Con la promulgación de la Ley N° 8955 "Reforma la Ley N° 3284 "Có</w:t>
      </w:r>
      <w:r>
        <w:rPr>
          <w:rFonts w:ascii="Verdana" w:hAnsi="Verdana" w:cs="Verdana"/>
          <w:sz w:val="23"/>
          <w:szCs w:val="23"/>
          <w:lang w:val="es-ES" w:eastAsia="es-ES"/>
        </w:rPr>
        <w:t>digo de Comercio" del 30 de abril de 1964; y la Ley N° 7969 "Ley Reguladora del Servicio Público de Transporte Remunerado de Personas en Vehículos en la modalidad de Taxi " del 22 de diciembre de 1999", el legislador optó por crear la figura del servicio e</w:t>
      </w:r>
      <w:r>
        <w:rPr>
          <w:rFonts w:ascii="Verdana" w:hAnsi="Verdana" w:cs="Verdana"/>
          <w:sz w:val="23"/>
          <w:szCs w:val="23"/>
          <w:lang w:val="es-ES" w:eastAsia="es-ES"/>
        </w:rPr>
        <w:t>special estable de taxi (SEETAXI), dentro de la Ley N° 7969 "Ley Reguladora Servicio Público de Transporte Remunerado de Personas en Vehículos en la Modalidad de Taxi.</w:t>
      </w:r>
    </w:p>
    <w:p w:rsidR="00000000" w:rsidRDefault="003773B7">
      <w:pPr>
        <w:kinsoku w:val="0"/>
        <w:overflowPunct w:val="0"/>
        <w:autoSpaceDE/>
        <w:autoSpaceDN/>
        <w:adjustRightInd/>
        <w:spacing w:before="298" w:line="281" w:lineRule="exact"/>
        <w:ind w:left="72" w:right="72"/>
        <w:jc w:val="both"/>
        <w:textAlignment w:val="baseline"/>
        <w:rPr>
          <w:rFonts w:ascii="Verdana" w:hAnsi="Verdana" w:cs="Verdana"/>
          <w:i/>
          <w:iCs/>
          <w:sz w:val="23"/>
          <w:szCs w:val="23"/>
          <w:lang w:val="es-ES" w:eastAsia="es-ES"/>
        </w:rPr>
      </w:pPr>
      <w:r>
        <w:rPr>
          <w:rFonts w:ascii="Verdana" w:hAnsi="Verdana" w:cs="Verdana"/>
          <w:sz w:val="23"/>
          <w:szCs w:val="23"/>
          <w:lang w:val="es-ES" w:eastAsia="es-ES"/>
        </w:rPr>
        <w:t>Se tiene entonces que el "servicio especial estable de taxi" es un servicio pú</w:t>
      </w:r>
      <w:r>
        <w:rPr>
          <w:rFonts w:ascii="Verdana" w:hAnsi="Verdana" w:cs="Verdana"/>
          <w:sz w:val="23"/>
          <w:szCs w:val="23"/>
          <w:lang w:val="es-ES" w:eastAsia="es-ES"/>
        </w:rPr>
        <w:t xml:space="preserve">blico para el transporte remunerado de personas, dirigido a un </w:t>
      </w:r>
      <w:r>
        <w:rPr>
          <w:rFonts w:ascii="Verdana" w:hAnsi="Verdana" w:cs="Verdana"/>
          <w:i/>
          <w:iCs/>
          <w:sz w:val="23"/>
          <w:szCs w:val="23"/>
          <w:lang w:val="es-ES" w:eastAsia="es-ES"/>
        </w:rPr>
        <w:t xml:space="preserve">grupo cerrado de usuarios </w:t>
      </w:r>
      <w:r>
        <w:rPr>
          <w:rFonts w:ascii="Verdana" w:hAnsi="Verdana" w:cs="Verdana"/>
          <w:sz w:val="23"/>
          <w:szCs w:val="23"/>
          <w:lang w:val="es-ES" w:eastAsia="es-ES"/>
        </w:rPr>
        <w:t xml:space="preserve">y que </w:t>
      </w:r>
      <w:r>
        <w:rPr>
          <w:rFonts w:ascii="Verdana" w:hAnsi="Verdana" w:cs="Verdana"/>
          <w:i/>
          <w:iCs/>
          <w:sz w:val="23"/>
          <w:szCs w:val="23"/>
          <w:lang w:val="es-ES" w:eastAsia="es-ES"/>
        </w:rPr>
        <w:t xml:space="preserve">satisface </w:t>
      </w:r>
      <w:r>
        <w:rPr>
          <w:rFonts w:ascii="Verdana" w:hAnsi="Verdana" w:cs="Verdana"/>
          <w:sz w:val="23"/>
          <w:szCs w:val="23"/>
          <w:lang w:val="es-ES" w:eastAsia="es-ES"/>
        </w:rPr>
        <w:t xml:space="preserve">una </w:t>
      </w:r>
      <w:r>
        <w:rPr>
          <w:rFonts w:ascii="Verdana" w:hAnsi="Verdana" w:cs="Verdana"/>
          <w:i/>
          <w:iCs/>
          <w:sz w:val="23"/>
          <w:szCs w:val="23"/>
          <w:lang w:val="es-ES" w:eastAsia="es-ES"/>
        </w:rPr>
        <w:t>demanda limitada, residual, exclusiva y estable.</w:t>
      </w:r>
    </w:p>
    <w:p w:rsidR="00000000" w:rsidRDefault="003773B7">
      <w:pPr>
        <w:kinsoku w:val="0"/>
        <w:overflowPunct w:val="0"/>
        <w:autoSpaceDE/>
        <w:autoSpaceDN/>
        <w:adjustRightInd/>
        <w:spacing w:before="277" w:line="282"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Ahora bien, para la operación del servicio especial estable de taxi en la modalidad sedán, el legi</w:t>
      </w:r>
      <w:r>
        <w:rPr>
          <w:rFonts w:ascii="Verdana" w:hAnsi="Verdana" w:cs="Verdana"/>
          <w:sz w:val="23"/>
          <w:szCs w:val="23"/>
          <w:lang w:val="es-ES" w:eastAsia="es-ES"/>
        </w:rPr>
        <w:t>slador estableció en el Transitorio I de la Ley N° 8955, en lo que interesa lo siguiente:</w:t>
      </w:r>
    </w:p>
    <w:p w:rsidR="00000000" w:rsidRDefault="003773B7">
      <w:pPr>
        <w:kinsoku w:val="0"/>
        <w:overflowPunct w:val="0"/>
        <w:autoSpaceDE/>
        <w:autoSpaceDN/>
        <w:adjustRightInd/>
        <w:spacing w:before="250" w:line="214" w:lineRule="exact"/>
        <w:ind w:left="504"/>
        <w:jc w:val="both"/>
        <w:textAlignment w:val="baseline"/>
        <w:rPr>
          <w:rFonts w:ascii="Verdana" w:hAnsi="Verdana" w:cs="Verdana"/>
          <w:sz w:val="24"/>
          <w:szCs w:val="24"/>
          <w:lang w:eastAsia="en-US"/>
        </w:rPr>
      </w:pPr>
      <w:r>
        <w:rPr>
          <w:rFonts w:ascii="Verdana" w:hAnsi="Verdana" w:cs="Verdana"/>
          <w:sz w:val="17"/>
          <w:szCs w:val="17"/>
          <w:lang w:val="es-ES" w:eastAsia="es-ES"/>
        </w:rPr>
        <w:t>"TRANSITORIO I.</w:t>
      </w:r>
      <w:r>
        <w:rPr>
          <w:rFonts w:ascii="Verdana" w:hAnsi="Verdana" w:cs="Verdana"/>
          <w:sz w:val="17"/>
          <w:szCs w:val="17"/>
          <w:lang w:val="es-ES" w:eastAsia="es-ES"/>
        </w:rPr>
        <w:noBreakHyphen/>
      </w:r>
    </w:p>
    <w:p w:rsidR="00000000" w:rsidRDefault="003773B7">
      <w:pPr>
        <w:kinsoku w:val="0"/>
        <w:overflowPunct w:val="0"/>
        <w:autoSpaceDE/>
        <w:autoSpaceDN/>
        <w:adjustRightInd/>
        <w:spacing w:before="2" w:line="213" w:lineRule="exact"/>
        <w:ind w:left="504" w:right="432"/>
        <w:jc w:val="both"/>
        <w:textAlignment w:val="baseline"/>
        <w:rPr>
          <w:rFonts w:ascii="Verdana" w:hAnsi="Verdana" w:cs="Verdana"/>
          <w:sz w:val="17"/>
          <w:szCs w:val="17"/>
          <w:lang w:val="es-ES" w:eastAsia="es-ES"/>
        </w:rPr>
      </w:pPr>
      <w:r>
        <w:rPr>
          <w:rFonts w:ascii="Verdana" w:hAnsi="Verdana" w:cs="Verdana"/>
          <w:sz w:val="17"/>
          <w:szCs w:val="17"/>
          <w:lang w:val="es-ES" w:eastAsia="es-ES"/>
        </w:rPr>
        <w:t>Las personas físicas o jurídicas que a la fecha de publicación de esta ley se encuentren dedicadas a la</w:t>
      </w:r>
      <w:r>
        <w:rPr>
          <w:rFonts w:ascii="Verdana" w:hAnsi="Verdana" w:cs="Verdana"/>
          <w:sz w:val="17"/>
          <w:szCs w:val="17"/>
          <w:lang w:val="es-ES" w:eastAsia="es-ES"/>
        </w:rPr>
        <w:t xml:space="preserve"> actividad del porteo de personas modalidad automóvil y que hayan operado según lo establecido en el artículo 323 del Código de Comercio, sin itinerario fijo, y cuyos servicios se contraten por viaje, tiempo o en ambas formas, y se encuentren ejerciendo de</w:t>
      </w:r>
      <w:r>
        <w:rPr>
          <w:rFonts w:ascii="Verdana" w:hAnsi="Verdana" w:cs="Verdana"/>
          <w:sz w:val="17"/>
          <w:szCs w:val="17"/>
          <w:lang w:val="es-ES" w:eastAsia="es-ES"/>
        </w:rPr>
        <w:t xml:space="preserve"> manera activa el porteo de personas, de conformidad con los requisitos indicados en el presente transitorio al momento de la publicación de esta ley, deberán acreditar su condición ante el Consejo de Transporte Público; para ello, deberán presentar los re</w:t>
      </w:r>
      <w:r>
        <w:rPr>
          <w:rFonts w:ascii="Verdana" w:hAnsi="Verdana" w:cs="Verdana"/>
          <w:sz w:val="17"/>
          <w:szCs w:val="17"/>
          <w:lang w:val="es-ES" w:eastAsia="es-ES"/>
        </w:rPr>
        <w:t>quisitos que se indican a continuación:</w:t>
      </w:r>
    </w:p>
    <w:p w:rsidR="00000000" w:rsidRDefault="003773B7">
      <w:pPr>
        <w:numPr>
          <w:ilvl w:val="0"/>
          <w:numId w:val="21"/>
        </w:numPr>
        <w:kinsoku w:val="0"/>
        <w:overflowPunct w:val="0"/>
        <w:autoSpaceDE/>
        <w:autoSpaceDN/>
        <w:adjustRightInd/>
        <w:spacing w:before="203" w:line="217" w:lineRule="exact"/>
        <w:ind w:right="432"/>
        <w:jc w:val="both"/>
        <w:textAlignment w:val="baseline"/>
        <w:rPr>
          <w:rFonts w:ascii="Verdana" w:hAnsi="Verdana" w:cs="Verdana"/>
          <w:spacing w:val="3"/>
          <w:sz w:val="17"/>
          <w:szCs w:val="17"/>
          <w:lang w:val="es-ES" w:eastAsia="es-ES"/>
        </w:rPr>
      </w:pPr>
      <w:r>
        <w:rPr>
          <w:rFonts w:ascii="Verdana" w:hAnsi="Verdana" w:cs="Verdana"/>
          <w:spacing w:val="3"/>
          <w:sz w:val="17"/>
          <w:szCs w:val="17"/>
          <w:lang w:val="es-ES" w:eastAsia="es-ES"/>
        </w:rPr>
        <w:t>Solicitud expresa, debidamente autenticada por un abogado o abogada, de que se les permita acogerse a lo aquí dispuesto, con señalamiento de lugar para recibir notificaciones.</w:t>
      </w:r>
    </w:p>
    <w:p w:rsidR="00000000" w:rsidRDefault="003773B7">
      <w:pPr>
        <w:numPr>
          <w:ilvl w:val="0"/>
          <w:numId w:val="22"/>
        </w:numPr>
        <w:kinsoku w:val="0"/>
        <w:overflowPunct w:val="0"/>
        <w:autoSpaceDE/>
        <w:autoSpaceDN/>
        <w:adjustRightInd/>
        <w:spacing w:before="218" w:line="219" w:lineRule="exact"/>
        <w:jc w:val="both"/>
        <w:textAlignment w:val="baseline"/>
        <w:rPr>
          <w:rFonts w:ascii="Verdana" w:hAnsi="Verdana" w:cs="Verdana"/>
          <w:spacing w:val="2"/>
          <w:sz w:val="17"/>
          <w:szCs w:val="17"/>
          <w:lang w:val="es-ES" w:eastAsia="es-ES"/>
        </w:rPr>
      </w:pPr>
      <w:r>
        <w:rPr>
          <w:rFonts w:ascii="Verdana" w:hAnsi="Verdana" w:cs="Verdana"/>
          <w:spacing w:val="2"/>
          <w:sz w:val="17"/>
          <w:szCs w:val="17"/>
          <w:lang w:val="es-ES" w:eastAsia="es-ES"/>
        </w:rPr>
        <w:t>Certificación de personería jurí</w:t>
      </w:r>
      <w:r>
        <w:rPr>
          <w:rFonts w:ascii="Verdana" w:hAnsi="Verdana" w:cs="Verdana"/>
          <w:spacing w:val="2"/>
          <w:sz w:val="17"/>
          <w:szCs w:val="17"/>
          <w:lang w:val="es-ES" w:eastAsia="es-ES"/>
        </w:rPr>
        <w:t>dica, en el caso de las personas jurídicas.</w:t>
      </w:r>
    </w:p>
    <w:p w:rsidR="00000000" w:rsidRDefault="003773B7">
      <w:pPr>
        <w:numPr>
          <w:ilvl w:val="0"/>
          <w:numId w:val="22"/>
        </w:numPr>
        <w:kinsoku w:val="0"/>
        <w:overflowPunct w:val="0"/>
        <w:autoSpaceDE/>
        <w:autoSpaceDN/>
        <w:adjustRightInd/>
        <w:spacing w:before="201" w:after="1247" w:line="219" w:lineRule="exact"/>
        <w:ind w:right="432"/>
        <w:jc w:val="both"/>
        <w:textAlignment w:val="baseline"/>
        <w:rPr>
          <w:rFonts w:ascii="Verdana" w:hAnsi="Verdana" w:cs="Verdana"/>
          <w:sz w:val="17"/>
          <w:szCs w:val="17"/>
          <w:lang w:val="es-ES" w:eastAsia="es-ES"/>
        </w:rPr>
      </w:pPr>
      <w:r>
        <w:rPr>
          <w:rFonts w:ascii="Verdana" w:hAnsi="Verdana" w:cs="Verdana"/>
          <w:sz w:val="17"/>
          <w:szCs w:val="17"/>
          <w:lang w:val="es-ES" w:eastAsia="es-ES"/>
        </w:rPr>
        <w:t>Certificación emitida por el Ministerio de Hacienda de que están inscritas en la actividad de porteo de personas.</w:t>
      </w:r>
    </w:p>
    <w:p w:rsidR="00000000" w:rsidRDefault="003773B7">
      <w:pPr>
        <w:widowControl/>
        <w:rPr>
          <w:sz w:val="24"/>
          <w:szCs w:val="24"/>
        </w:rPr>
        <w:sectPr w:rsidR="00000000">
          <w:pgSz w:w="12288" w:h="15725"/>
          <w:pgMar w:top="1980" w:right="1889" w:bottom="162" w:left="1607" w:header="720" w:footer="720" w:gutter="0"/>
          <w:cols w:space="720"/>
          <w:noEndnote/>
        </w:sectPr>
      </w:pPr>
    </w:p>
    <w:p w:rsidR="00000000" w:rsidRDefault="003773B7">
      <w:pPr>
        <w:widowControl/>
        <w:rPr>
          <w:sz w:val="24"/>
          <w:szCs w:val="24"/>
        </w:rPr>
        <w:sectPr w:rsidR="00000000">
          <w:type w:val="continuous"/>
          <w:pgSz w:w="12288" w:h="15725"/>
          <w:pgMar w:top="1980" w:right="1872" w:bottom="162" w:left="7176" w:header="720" w:footer="720" w:gutter="0"/>
          <w:cols w:space="720"/>
          <w:noEndnote/>
        </w:sectPr>
      </w:pPr>
    </w:p>
    <w:p w:rsidR="00000000" w:rsidRDefault="003773B7">
      <w:pPr>
        <w:numPr>
          <w:ilvl w:val="0"/>
          <w:numId w:val="23"/>
        </w:numPr>
        <w:kinsoku w:val="0"/>
        <w:overflowPunct w:val="0"/>
        <w:autoSpaceDE/>
        <w:autoSpaceDN/>
        <w:adjustRightInd/>
        <w:spacing w:before="10" w:line="211"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lastRenderedPageBreak/>
        <w:t>Certificación del departa</w:t>
      </w:r>
      <w:r>
        <w:rPr>
          <w:rFonts w:ascii="Verdana" w:hAnsi="Verdana" w:cs="Verdana"/>
          <w:sz w:val="17"/>
          <w:szCs w:val="17"/>
          <w:lang w:val="es-ES" w:eastAsia="es-ES"/>
        </w:rPr>
        <w:t>mento de patentes de la municipalidad donde se encuentren operando, que demuestre su debida inscripción en la actividad de porteo de personas, de conformidad con el ordenamiento jurídico.</w:t>
      </w:r>
    </w:p>
    <w:p w:rsidR="00000000" w:rsidRDefault="003773B7">
      <w:pPr>
        <w:numPr>
          <w:ilvl w:val="0"/>
          <w:numId w:val="23"/>
        </w:numPr>
        <w:kinsoku w:val="0"/>
        <w:overflowPunct w:val="0"/>
        <w:autoSpaceDE/>
        <w:autoSpaceDN/>
        <w:adjustRightInd/>
        <w:spacing w:before="209" w:line="223" w:lineRule="exact"/>
        <w:jc w:val="both"/>
        <w:textAlignment w:val="baseline"/>
        <w:rPr>
          <w:rFonts w:ascii="Verdana" w:hAnsi="Verdana" w:cs="Verdana"/>
          <w:spacing w:val="-1"/>
          <w:sz w:val="17"/>
          <w:szCs w:val="17"/>
          <w:lang w:val="es-ES" w:eastAsia="es-ES"/>
        </w:rPr>
      </w:pPr>
      <w:r>
        <w:rPr>
          <w:rFonts w:ascii="Verdana" w:hAnsi="Verdana" w:cs="Verdana"/>
          <w:spacing w:val="-1"/>
          <w:sz w:val="17"/>
          <w:szCs w:val="17"/>
          <w:lang w:val="es-ES" w:eastAsia="es-ES"/>
        </w:rPr>
        <w:t>Certificación de que están inscritas ante la CCSS, en la actividad d</w:t>
      </w:r>
      <w:r>
        <w:rPr>
          <w:rFonts w:ascii="Verdana" w:hAnsi="Verdana" w:cs="Verdana"/>
          <w:spacing w:val="-1"/>
          <w:sz w:val="17"/>
          <w:szCs w:val="17"/>
          <w:lang w:val="es-ES" w:eastAsia="es-ES"/>
        </w:rPr>
        <w:t>e porteo de personas.</w:t>
      </w:r>
    </w:p>
    <w:p w:rsidR="00000000" w:rsidRDefault="003773B7">
      <w:pPr>
        <w:numPr>
          <w:ilvl w:val="0"/>
          <w:numId w:val="23"/>
        </w:numPr>
        <w:kinsoku w:val="0"/>
        <w:overflowPunct w:val="0"/>
        <w:autoSpaceDE/>
        <w:autoSpaceDN/>
        <w:adjustRightInd/>
        <w:spacing w:before="204" w:line="212"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Copia certificada de la última declaración de renta en la actividad de porteo de personas, presentada ante la Dirección General de Tributación.</w:t>
      </w:r>
    </w:p>
    <w:p w:rsidR="00000000" w:rsidRDefault="003773B7">
      <w:pPr>
        <w:numPr>
          <w:ilvl w:val="0"/>
          <w:numId w:val="23"/>
        </w:numPr>
        <w:kinsoku w:val="0"/>
        <w:overflowPunct w:val="0"/>
        <w:autoSpaceDE/>
        <w:autoSpaceDN/>
        <w:adjustRightInd/>
        <w:spacing w:before="219" w:line="210"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Copia certificada del contrato o de los contratos suscritos con las personas, las instituc</w:t>
      </w:r>
      <w:r>
        <w:rPr>
          <w:rFonts w:ascii="Verdana" w:hAnsi="Verdana" w:cs="Verdana"/>
          <w:sz w:val="17"/>
          <w:szCs w:val="17"/>
          <w:lang w:val="es-ES" w:eastAsia="es-ES"/>
        </w:rPr>
        <w:t>iones o las empresas que hacen uso de sus servicios.</w:t>
      </w:r>
    </w:p>
    <w:p w:rsidR="00000000" w:rsidRDefault="003773B7">
      <w:pPr>
        <w:numPr>
          <w:ilvl w:val="0"/>
          <w:numId w:val="23"/>
        </w:numPr>
        <w:kinsoku w:val="0"/>
        <w:overflowPunct w:val="0"/>
        <w:autoSpaceDE/>
        <w:autoSpaceDN/>
        <w:adjustRightInd/>
        <w:spacing w:before="224" w:line="213"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Declaración jurada protocolizada rendida ante notario público, en la que se indique que se han dedicado en forma habitual a la actividad relacionada, desde qué fecha y las características del servicio qu</w:t>
      </w:r>
      <w:r>
        <w:rPr>
          <w:rFonts w:ascii="Verdana" w:hAnsi="Verdana" w:cs="Verdana"/>
          <w:sz w:val="17"/>
          <w:szCs w:val="17"/>
          <w:lang w:val="es-ES" w:eastAsia="es-ES"/>
        </w:rPr>
        <w:t>e han estado prestando. Deberán acreditar, además, el número y las características de los automotores que han venido empleando.</w:t>
      </w:r>
    </w:p>
    <w:p w:rsidR="00000000" w:rsidRDefault="003773B7">
      <w:pPr>
        <w:numPr>
          <w:ilvl w:val="0"/>
          <w:numId w:val="23"/>
        </w:numPr>
        <w:kinsoku w:val="0"/>
        <w:overflowPunct w:val="0"/>
        <w:autoSpaceDE/>
        <w:autoSpaceDN/>
        <w:adjustRightInd/>
        <w:spacing w:before="214" w:line="206"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Constancia de estar al día en el pago de infracciones de la Ley N.o 7331, Ley de Tránsito por Vías Públicas Terrestres.</w:t>
      </w:r>
    </w:p>
    <w:p w:rsidR="00000000" w:rsidRDefault="003773B7">
      <w:pPr>
        <w:numPr>
          <w:ilvl w:val="0"/>
          <w:numId w:val="23"/>
        </w:numPr>
        <w:kinsoku w:val="0"/>
        <w:overflowPunct w:val="0"/>
        <w:autoSpaceDE/>
        <w:autoSpaceDN/>
        <w:adjustRightInd/>
        <w:spacing w:before="216" w:line="213"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Indicaci</w:t>
      </w:r>
      <w:r>
        <w:rPr>
          <w:rFonts w:ascii="Verdana" w:hAnsi="Verdana" w:cs="Verdana"/>
          <w:sz w:val="17"/>
          <w:szCs w:val="17"/>
          <w:lang w:val="es-ES" w:eastAsia="es-ES"/>
        </w:rPr>
        <w:t>ón del domicilio fiscal y de su localización física, a efectos de que la administración pueda verificar la información suministrada, la cual debe estar disponible para el usuario y pueda ser consultada en caso de denuncias.</w:t>
      </w:r>
    </w:p>
    <w:p w:rsidR="00000000" w:rsidRDefault="003773B7">
      <w:pPr>
        <w:numPr>
          <w:ilvl w:val="0"/>
          <w:numId w:val="23"/>
        </w:numPr>
        <w:kinsoku w:val="0"/>
        <w:overflowPunct w:val="0"/>
        <w:autoSpaceDE/>
        <w:autoSpaceDN/>
        <w:adjustRightInd/>
        <w:spacing w:before="236" w:line="195" w:lineRule="exact"/>
        <w:jc w:val="both"/>
        <w:textAlignment w:val="baseline"/>
        <w:rPr>
          <w:rFonts w:ascii="Verdana" w:hAnsi="Verdana" w:cs="Verdana"/>
          <w:spacing w:val="2"/>
          <w:sz w:val="17"/>
          <w:szCs w:val="17"/>
          <w:lang w:val="es-ES" w:eastAsia="es-ES"/>
        </w:rPr>
      </w:pPr>
      <w:r>
        <w:rPr>
          <w:rFonts w:ascii="Verdana" w:hAnsi="Verdana" w:cs="Verdana"/>
          <w:spacing w:val="2"/>
          <w:sz w:val="17"/>
          <w:szCs w:val="17"/>
          <w:lang w:val="es-ES" w:eastAsia="es-ES"/>
        </w:rPr>
        <w:t>Constancia de estar al día en el</w:t>
      </w:r>
      <w:r>
        <w:rPr>
          <w:rFonts w:ascii="Verdana" w:hAnsi="Verdana" w:cs="Verdana"/>
          <w:spacing w:val="2"/>
          <w:sz w:val="17"/>
          <w:szCs w:val="17"/>
          <w:lang w:val="es-ES" w:eastAsia="es-ES"/>
        </w:rPr>
        <w:t xml:space="preserve"> pago de la póliza de porteo de personas, Clase Tarifa 21</w:t>
      </w:r>
    </w:p>
    <w:p w:rsidR="00000000" w:rsidRDefault="003773B7">
      <w:pPr>
        <w:kinsoku w:val="0"/>
        <w:overflowPunct w:val="0"/>
        <w:autoSpaceDE/>
        <w:autoSpaceDN/>
        <w:adjustRightInd/>
        <w:spacing w:before="236" w:line="211"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Mediante dichas probanzas y cualquier otra adicional que la persona petente estime conveniente y necesario aportar, deberá quedar comprobado, de manera fehaciente y a satisfacción del Consejo de Tra</w:t>
      </w:r>
      <w:r>
        <w:rPr>
          <w:rFonts w:ascii="Verdana" w:hAnsi="Verdana" w:cs="Verdana"/>
          <w:sz w:val="17"/>
          <w:szCs w:val="17"/>
          <w:lang w:val="es-ES" w:eastAsia="es-ES"/>
        </w:rPr>
        <w:t>nsporte Público, que el servicio respectivo era susceptible de ser prestado al amparo del artículo 323 del Código de Comercio, y que desde su inicio no compartió la naturaleza jurídica o los elementos puntuales que caracterizan la actividad del servicio pú</w:t>
      </w:r>
      <w:r>
        <w:rPr>
          <w:rFonts w:ascii="Verdana" w:hAnsi="Verdana" w:cs="Verdana"/>
          <w:sz w:val="17"/>
          <w:szCs w:val="17"/>
          <w:lang w:val="es-ES" w:eastAsia="es-ES"/>
        </w:rPr>
        <w:t>blico de taxi.</w:t>
      </w:r>
    </w:p>
    <w:p w:rsidR="00000000" w:rsidRDefault="003773B7">
      <w:pPr>
        <w:kinsoku w:val="0"/>
        <w:overflowPunct w:val="0"/>
        <w:autoSpaceDE/>
        <w:autoSpaceDN/>
        <w:adjustRightInd/>
        <w:spacing w:before="225" w:line="213"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La totalidad de estos requisitos deberán ser presentados ante el Consejo de Transporte Público dentro del plazo perentorio de un mes, contado a partir de la publicación de esta ley; en caso contrario, dichas personas no podrán seguir prestan</w:t>
      </w:r>
      <w:r>
        <w:rPr>
          <w:rFonts w:ascii="Verdana" w:hAnsi="Verdana" w:cs="Verdana"/>
          <w:sz w:val="17"/>
          <w:szCs w:val="17"/>
          <w:lang w:val="es-ES" w:eastAsia="es-ES"/>
        </w:rPr>
        <w:t>do el servicio.</w:t>
      </w:r>
    </w:p>
    <w:p w:rsidR="00000000" w:rsidRDefault="003773B7">
      <w:pPr>
        <w:kinsoku w:val="0"/>
        <w:overflowPunct w:val="0"/>
        <w:autoSpaceDE/>
        <w:autoSpaceDN/>
        <w:adjustRightInd/>
        <w:spacing w:before="216" w:line="210" w:lineRule="exact"/>
        <w:jc w:val="both"/>
        <w:textAlignment w:val="baseline"/>
        <w:rPr>
          <w:rFonts w:ascii="Verdana" w:hAnsi="Verdana" w:cs="Verdana"/>
          <w:spacing w:val="3"/>
          <w:sz w:val="17"/>
          <w:szCs w:val="17"/>
          <w:lang w:val="es-ES" w:eastAsia="es-ES"/>
        </w:rPr>
      </w:pPr>
      <w:r>
        <w:rPr>
          <w:rFonts w:ascii="Verdana" w:hAnsi="Verdana" w:cs="Verdana"/>
          <w:spacing w:val="3"/>
          <w:sz w:val="17"/>
          <w:szCs w:val="17"/>
          <w:lang w:val="es-ES" w:eastAsia="es-ES"/>
        </w:rPr>
        <w:t>A las personas cuyas peticiones resulten procedentes, el Consejo de Transporte Público les extenderá un permiso especial estable de taxi por un plazo de tres años, prorrogable por plazos iguales a solicitud de la persona interesada, a la qu</w:t>
      </w:r>
      <w:r>
        <w:rPr>
          <w:rFonts w:ascii="Verdana" w:hAnsi="Verdana" w:cs="Verdana"/>
          <w:spacing w:val="3"/>
          <w:sz w:val="17"/>
          <w:szCs w:val="17"/>
          <w:lang w:val="es-ES" w:eastAsia="es-ES"/>
        </w:rPr>
        <w:t>e se le aplicarán las estipulaciones establecidas en el presente transitorio y en la Ley N.° 7969, Ley Reguladora del Servicio Público de Transporte Remunerado de Personas en Vehículos en la Modalidad de Taxi, en lo que resulte aplicable. El Consejo de Tra</w:t>
      </w:r>
      <w:r>
        <w:rPr>
          <w:rFonts w:ascii="Verdana" w:hAnsi="Verdana" w:cs="Verdana"/>
          <w:spacing w:val="3"/>
          <w:sz w:val="17"/>
          <w:szCs w:val="17"/>
          <w:lang w:val="es-ES" w:eastAsia="es-ES"/>
        </w:rPr>
        <w:t>nsporte Público contará con un plazo de dos meses para resolver las solicitudes referidas en el presente transitorio. No será aplicable a estas solicitudes el silencio positivo.</w:t>
      </w:r>
    </w:p>
    <w:p w:rsidR="00000000" w:rsidRDefault="003773B7">
      <w:pPr>
        <w:kinsoku w:val="0"/>
        <w:overflowPunct w:val="0"/>
        <w:autoSpaceDE/>
        <w:autoSpaceDN/>
        <w:adjustRightInd/>
        <w:spacing w:before="209" w:line="210" w:lineRule="exact"/>
        <w:jc w:val="both"/>
        <w:textAlignment w:val="baseline"/>
        <w:rPr>
          <w:rFonts w:ascii="Verdana" w:hAnsi="Verdana" w:cs="Verdana"/>
          <w:spacing w:val="1"/>
          <w:sz w:val="17"/>
          <w:szCs w:val="17"/>
          <w:lang w:val="es-ES" w:eastAsia="es-ES"/>
        </w:rPr>
      </w:pPr>
      <w:r>
        <w:rPr>
          <w:rFonts w:ascii="Verdana" w:hAnsi="Verdana" w:cs="Verdana"/>
          <w:spacing w:val="1"/>
          <w:sz w:val="17"/>
          <w:szCs w:val="17"/>
          <w:lang w:val="es-ES" w:eastAsia="es-ES"/>
        </w:rPr>
        <w:t>De tratarse de personas jurídicas, la empresa permisionaria deberá acreditar c</w:t>
      </w:r>
      <w:r>
        <w:rPr>
          <w:rFonts w:ascii="Verdana" w:hAnsi="Verdana" w:cs="Verdana"/>
          <w:spacing w:val="1"/>
          <w:sz w:val="17"/>
          <w:szCs w:val="17"/>
          <w:lang w:val="es-ES" w:eastAsia="es-ES"/>
        </w:rPr>
        <w:t>ada uno de los vehículos de las personas afiliadas a esta, sean estos propios, arrendados o mediante leasing financiero; a la persona apoderada o a la persona propietaria registra! le corresponderá tramitar la solicitud del código respectivo. A cada uno de</w:t>
      </w:r>
      <w:r>
        <w:rPr>
          <w:rFonts w:ascii="Verdana" w:hAnsi="Verdana" w:cs="Verdana"/>
          <w:spacing w:val="1"/>
          <w:sz w:val="17"/>
          <w:szCs w:val="17"/>
          <w:lang w:val="es-ES" w:eastAsia="es-ES"/>
        </w:rPr>
        <w:t xml:space="preserve"> los vehículos acreditados se le otorgará un código, el cual se registrará bajo el número de permiso otorgado.</w:t>
      </w:r>
    </w:p>
    <w:p w:rsidR="00000000" w:rsidRDefault="003773B7">
      <w:pPr>
        <w:kinsoku w:val="0"/>
        <w:overflowPunct w:val="0"/>
        <w:autoSpaceDE/>
        <w:autoSpaceDN/>
        <w:adjustRightInd/>
        <w:spacing w:before="249" w:after="607" w:line="207" w:lineRule="exact"/>
        <w:jc w:val="both"/>
        <w:textAlignment w:val="baseline"/>
        <w:rPr>
          <w:rFonts w:ascii="Verdana" w:hAnsi="Verdana" w:cs="Verdana"/>
          <w:spacing w:val="3"/>
          <w:sz w:val="17"/>
          <w:szCs w:val="17"/>
          <w:lang w:val="es-ES" w:eastAsia="es-ES"/>
        </w:rPr>
      </w:pPr>
      <w:r>
        <w:rPr>
          <w:rFonts w:ascii="Verdana" w:hAnsi="Verdana" w:cs="Verdana"/>
          <w:spacing w:val="3"/>
          <w:sz w:val="17"/>
          <w:szCs w:val="17"/>
          <w:lang w:val="es-ES" w:eastAsia="es-ES"/>
        </w:rPr>
        <w:t>El titular del vehículo podrá ser desafiliado de la empresa que lo acreditó y el Consejo de Transporte Público procederá a la reposición del códi</w:t>
      </w:r>
      <w:r>
        <w:rPr>
          <w:rFonts w:ascii="Verdana" w:hAnsi="Verdana" w:cs="Verdana"/>
          <w:spacing w:val="3"/>
          <w:sz w:val="17"/>
          <w:szCs w:val="17"/>
          <w:lang w:val="es-ES" w:eastAsia="es-ES"/>
        </w:rPr>
        <w:t>go a la persona jurídica que lo acredite, siempre que la nueva solicitud referida al nuevo vehículo cumpla todos los requisitos para la reposición del código, lo cual deberá gestionar ante el Consejo de Transporte Público.</w:t>
      </w:r>
    </w:p>
    <w:p w:rsidR="00000000" w:rsidRDefault="003773B7">
      <w:pPr>
        <w:widowControl/>
        <w:rPr>
          <w:sz w:val="24"/>
          <w:szCs w:val="24"/>
        </w:rPr>
        <w:sectPr w:rsidR="00000000">
          <w:pgSz w:w="12293" w:h="15754"/>
          <w:pgMar w:top="2160" w:right="2251" w:bottom="37" w:left="2122" w:header="720" w:footer="720" w:gutter="0"/>
          <w:cols w:space="720"/>
          <w:noEndnote/>
        </w:sectPr>
      </w:pPr>
    </w:p>
    <w:p w:rsidR="00000000" w:rsidRDefault="003773B7">
      <w:pPr>
        <w:widowControl/>
        <w:rPr>
          <w:sz w:val="24"/>
          <w:szCs w:val="24"/>
        </w:rPr>
        <w:sectPr w:rsidR="00000000">
          <w:type w:val="continuous"/>
          <w:pgSz w:w="12293" w:h="15754"/>
          <w:pgMar w:top="2160" w:right="1865" w:bottom="37" w:left="7188" w:header="720" w:footer="720" w:gutter="0"/>
          <w:cols w:space="720"/>
          <w:noEndnote/>
        </w:sectPr>
      </w:pPr>
    </w:p>
    <w:p w:rsidR="00000000" w:rsidRDefault="003773B7">
      <w:pPr>
        <w:kinsoku w:val="0"/>
        <w:overflowPunct w:val="0"/>
        <w:autoSpaceDE/>
        <w:autoSpaceDN/>
        <w:adjustRightInd/>
        <w:spacing w:before="3" w:line="212" w:lineRule="exact"/>
        <w:ind w:left="72"/>
        <w:jc w:val="both"/>
        <w:textAlignment w:val="baseline"/>
        <w:rPr>
          <w:rFonts w:ascii="Verdana" w:hAnsi="Verdana" w:cs="Verdana"/>
          <w:sz w:val="17"/>
          <w:szCs w:val="17"/>
          <w:lang w:val="es-ES" w:eastAsia="es-ES"/>
        </w:rPr>
      </w:pPr>
      <w:r>
        <w:rPr>
          <w:rFonts w:ascii="Verdana" w:hAnsi="Verdana" w:cs="Verdana"/>
          <w:sz w:val="17"/>
          <w:szCs w:val="17"/>
          <w:lang w:val="es-ES" w:eastAsia="es-ES"/>
        </w:rPr>
        <w:lastRenderedPageBreak/>
        <w:t>Habiendo cumplido en tiempo con la presentación de estos requisitos, se le otorgará el documento que lo acredita como permisionario especial estable de taxi autorizado por parte del Consejo de Transporte Público; podrá</w:t>
      </w:r>
      <w:r>
        <w:rPr>
          <w:rFonts w:ascii="Verdana" w:hAnsi="Verdana" w:cs="Verdana"/>
          <w:sz w:val="17"/>
          <w:szCs w:val="17"/>
          <w:lang w:val="es-ES" w:eastAsia="es-ES"/>
        </w:rPr>
        <w:t xml:space="preserve"> operar hasta por el plazo de tres años, prorrogable por períodos iguales, previo cumplimiento de los requisitos establecidos en el prese</w:t>
      </w:r>
      <w:r w:rsidR="003853B7">
        <w:rPr>
          <w:rFonts w:ascii="Verdana" w:hAnsi="Verdana" w:cs="Verdana"/>
          <w:sz w:val="17"/>
          <w:szCs w:val="17"/>
          <w:lang w:val="es-ES" w:eastAsia="es-ES"/>
        </w:rPr>
        <w:t>nte transitorio, y en la Ley N.°</w:t>
      </w:r>
      <w:r>
        <w:rPr>
          <w:rFonts w:ascii="Verdana" w:hAnsi="Verdana" w:cs="Verdana"/>
          <w:sz w:val="17"/>
          <w:szCs w:val="17"/>
          <w:lang w:val="es-ES" w:eastAsia="es-ES"/>
        </w:rPr>
        <w:t xml:space="preserve"> 7969, Ley Reguladora del Servicio Público de Transporte Remunerado de Personas en Vehí</w:t>
      </w:r>
      <w:r>
        <w:rPr>
          <w:rFonts w:ascii="Verdana" w:hAnsi="Verdana" w:cs="Verdana"/>
          <w:sz w:val="17"/>
          <w:szCs w:val="17"/>
          <w:lang w:val="es-ES" w:eastAsia="es-ES"/>
        </w:rPr>
        <w:t>culos en la Modalidad de Taxi, esta última en lo que resulte aplicable, respetando la naturaleza jurídica y operativa del servicio al que se refiere el presente transitorio. De todo lo anterior, el Consejo de Transporte Público y la Policía de Tránsito eje</w:t>
      </w:r>
      <w:r>
        <w:rPr>
          <w:rFonts w:ascii="Verdana" w:hAnsi="Verdana" w:cs="Verdana"/>
          <w:sz w:val="17"/>
          <w:szCs w:val="17"/>
          <w:lang w:val="es-ES" w:eastAsia="es-ES"/>
        </w:rPr>
        <w:t>rcerán las labores de fiscalización y control, a efectos de verificar las condiciones operativas de la prestación del servicio.</w:t>
      </w:r>
    </w:p>
    <w:p w:rsidR="00000000" w:rsidRDefault="003773B7">
      <w:pPr>
        <w:kinsoku w:val="0"/>
        <w:overflowPunct w:val="0"/>
        <w:autoSpaceDE/>
        <w:autoSpaceDN/>
        <w:adjustRightInd/>
        <w:spacing w:before="212" w:line="213" w:lineRule="exact"/>
        <w:ind w:left="72"/>
        <w:jc w:val="both"/>
        <w:textAlignment w:val="baseline"/>
        <w:rPr>
          <w:rFonts w:ascii="Verdana" w:hAnsi="Verdana" w:cs="Verdana"/>
          <w:sz w:val="17"/>
          <w:szCs w:val="17"/>
          <w:u w:val="single"/>
          <w:lang w:val="es-ES" w:eastAsia="es-ES"/>
        </w:rPr>
      </w:pPr>
      <w:r>
        <w:rPr>
          <w:rFonts w:ascii="Verdana" w:hAnsi="Verdana" w:cs="Verdana"/>
          <w:sz w:val="17"/>
          <w:szCs w:val="17"/>
          <w:u w:val="single"/>
          <w:lang w:val="es-ES" w:eastAsia="es-ES"/>
        </w:rPr>
        <w:t xml:space="preserve">Durante los tres primeros años de vigencia de esta ley, se autoriza a quienes resulten  acreditados, en razón de los requisitos </w:t>
      </w:r>
      <w:r>
        <w:rPr>
          <w:rFonts w:ascii="Verdana" w:hAnsi="Verdana" w:cs="Verdana"/>
          <w:sz w:val="17"/>
          <w:szCs w:val="17"/>
          <w:u w:val="single"/>
          <w:lang w:val="es-ES" w:eastAsia="es-ES"/>
        </w:rPr>
        <w:t>aquí establecidos, para que presten el servicio especial estable de taxi con el mismo automóvil que han venido utilizando en la actividad  de porteo de personas. Vencido el plazo no podrán operar con un vehículo que supere los quince años de antigüedad.</w:t>
      </w:r>
    </w:p>
    <w:p w:rsidR="00000000" w:rsidRDefault="003773B7">
      <w:pPr>
        <w:kinsoku w:val="0"/>
        <w:overflowPunct w:val="0"/>
        <w:autoSpaceDE/>
        <w:autoSpaceDN/>
        <w:adjustRightInd/>
        <w:spacing w:before="218" w:line="212" w:lineRule="exact"/>
        <w:ind w:left="72"/>
        <w:jc w:val="both"/>
        <w:textAlignment w:val="baseline"/>
        <w:rPr>
          <w:rFonts w:ascii="Verdana" w:hAnsi="Verdana" w:cs="Verdana"/>
          <w:sz w:val="17"/>
          <w:szCs w:val="17"/>
          <w:lang w:val="es-ES" w:eastAsia="es-ES"/>
        </w:rPr>
      </w:pPr>
      <w:r>
        <w:rPr>
          <w:rFonts w:ascii="Verdana" w:hAnsi="Verdana" w:cs="Verdana"/>
          <w:sz w:val="17"/>
          <w:szCs w:val="17"/>
          <w:lang w:val="es-ES" w:eastAsia="es-ES"/>
        </w:rPr>
        <w:t>El incumplimiento de cualquiera de las siguientes obligaciones será sancionado de conformidad con lo establecido en la Ley N.o 7331, Ley de Tránsito por Vías Públicas Terrestres, y sus reformas, sin perjuicio de que el Consejo de Transporte Público pueda c</w:t>
      </w:r>
      <w:r>
        <w:rPr>
          <w:rFonts w:ascii="Verdana" w:hAnsi="Verdana" w:cs="Verdana"/>
          <w:sz w:val="17"/>
          <w:szCs w:val="17"/>
          <w:lang w:val="es-ES" w:eastAsia="es-ES"/>
        </w:rPr>
        <w:t>ancelar el permiso o el código otorgado en los siguientes casos:</w:t>
      </w:r>
    </w:p>
    <w:p w:rsidR="00000000" w:rsidRDefault="003773B7">
      <w:pPr>
        <w:kinsoku w:val="0"/>
        <w:overflowPunct w:val="0"/>
        <w:autoSpaceDE/>
        <w:autoSpaceDN/>
        <w:adjustRightInd/>
        <w:spacing w:before="208" w:line="212" w:lineRule="exact"/>
        <w:ind w:left="72"/>
        <w:textAlignment w:val="baseline"/>
        <w:rPr>
          <w:rFonts w:ascii="Verdana" w:hAnsi="Verdana" w:cs="Verdana"/>
          <w:sz w:val="17"/>
          <w:szCs w:val="17"/>
          <w:lang w:val="es-ES" w:eastAsia="es-ES"/>
        </w:rPr>
      </w:pPr>
      <w:r>
        <w:rPr>
          <w:rFonts w:ascii="Verdana" w:hAnsi="Verdana" w:cs="Verdana"/>
          <w:b/>
          <w:bCs/>
          <w:sz w:val="17"/>
          <w:szCs w:val="17"/>
          <w:lang w:val="es-ES" w:eastAsia="es-ES"/>
        </w:rPr>
        <w:t xml:space="preserve">1.- </w:t>
      </w:r>
      <w:r>
        <w:rPr>
          <w:rFonts w:ascii="Verdana" w:hAnsi="Verdana" w:cs="Verdana"/>
          <w:sz w:val="17"/>
          <w:szCs w:val="17"/>
          <w:lang w:val="es-ES" w:eastAsia="es-ES"/>
        </w:rPr>
        <w:t>Se cancelará el permiso:</w:t>
      </w:r>
    </w:p>
    <w:p w:rsidR="00000000" w:rsidRDefault="003773B7">
      <w:pPr>
        <w:numPr>
          <w:ilvl w:val="0"/>
          <w:numId w:val="24"/>
        </w:numPr>
        <w:kinsoku w:val="0"/>
        <w:overflowPunct w:val="0"/>
        <w:autoSpaceDE/>
        <w:autoSpaceDN/>
        <w:adjustRightInd/>
        <w:spacing w:line="212"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Cuando se compruebe la falsedad o inexactitud en la documentación presentada ante el Consejo de Transporte Público.</w:t>
      </w:r>
    </w:p>
    <w:p w:rsidR="00000000" w:rsidRDefault="003773B7">
      <w:pPr>
        <w:numPr>
          <w:ilvl w:val="0"/>
          <w:numId w:val="24"/>
        </w:numPr>
        <w:kinsoku w:val="0"/>
        <w:overflowPunct w:val="0"/>
        <w:autoSpaceDE/>
        <w:autoSpaceDN/>
        <w:adjustRightInd/>
        <w:spacing w:before="215" w:line="212"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En caso de traspaso o cesión del permiso a</w:t>
      </w:r>
      <w:r>
        <w:rPr>
          <w:rFonts w:ascii="Verdana" w:hAnsi="Verdana" w:cs="Verdana"/>
          <w:sz w:val="17"/>
          <w:szCs w:val="17"/>
          <w:lang w:val="es-ES" w:eastAsia="es-ES"/>
        </w:rPr>
        <w:t xml:space="preserve"> favor de un tercero, sin autorización previa del Consejo.</w:t>
      </w:r>
    </w:p>
    <w:p w:rsidR="00000000" w:rsidRDefault="003773B7">
      <w:pPr>
        <w:numPr>
          <w:ilvl w:val="0"/>
          <w:numId w:val="24"/>
        </w:numPr>
        <w:kinsoku w:val="0"/>
        <w:overflowPunct w:val="0"/>
        <w:autoSpaceDE/>
        <w:autoSpaceDN/>
        <w:adjustRightInd/>
        <w:spacing w:before="213" w:line="212"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 xml:space="preserve">Cuando por acto o resolución firme se cancele o revoque la patente autorizada del área geográfica correspondiente a la persona permisionaria, en vía administrativa o judicial. Asimismo, será razón </w:t>
      </w:r>
      <w:r>
        <w:rPr>
          <w:rFonts w:ascii="Verdana" w:hAnsi="Verdana" w:cs="Verdana"/>
          <w:sz w:val="17"/>
          <w:szCs w:val="17"/>
          <w:lang w:val="es-ES" w:eastAsia="es-ES"/>
        </w:rPr>
        <w:t>para cancelar el permiso cuando la persona permisionaria renuncie a la patente otorgada.</w:t>
      </w:r>
    </w:p>
    <w:p w:rsidR="00000000" w:rsidRDefault="003773B7">
      <w:pPr>
        <w:numPr>
          <w:ilvl w:val="0"/>
          <w:numId w:val="24"/>
        </w:numPr>
        <w:kinsoku w:val="0"/>
        <w:overflowPunct w:val="0"/>
        <w:autoSpaceDE/>
        <w:autoSpaceDN/>
        <w:adjustRightInd/>
        <w:spacing w:before="200" w:line="212"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Cuando la persona permisionaria no cuente con las pólizas al día, tal y como lo establece el artículo 29 de la presente ley.</w:t>
      </w:r>
    </w:p>
    <w:p w:rsidR="00000000" w:rsidRDefault="003773B7">
      <w:pPr>
        <w:kinsoku w:val="0"/>
        <w:overflowPunct w:val="0"/>
        <w:autoSpaceDE/>
        <w:autoSpaceDN/>
        <w:adjustRightInd/>
        <w:spacing w:before="207" w:line="212" w:lineRule="exact"/>
        <w:ind w:left="72"/>
        <w:jc w:val="both"/>
        <w:textAlignment w:val="baseline"/>
        <w:rPr>
          <w:rFonts w:ascii="Verdana" w:hAnsi="Verdana" w:cs="Verdana"/>
          <w:sz w:val="17"/>
          <w:szCs w:val="17"/>
          <w:lang w:val="es-ES" w:eastAsia="es-ES"/>
        </w:rPr>
      </w:pPr>
      <w:r>
        <w:rPr>
          <w:rFonts w:ascii="Verdana" w:hAnsi="Verdana" w:cs="Verdana"/>
          <w:b/>
          <w:bCs/>
          <w:sz w:val="17"/>
          <w:szCs w:val="17"/>
          <w:lang w:val="es-ES" w:eastAsia="es-ES"/>
        </w:rPr>
        <w:t xml:space="preserve">2.- </w:t>
      </w:r>
      <w:r>
        <w:rPr>
          <w:rFonts w:ascii="Verdana" w:hAnsi="Verdana" w:cs="Verdana"/>
          <w:sz w:val="17"/>
          <w:szCs w:val="17"/>
          <w:lang w:val="es-ES" w:eastAsia="es-ES"/>
        </w:rPr>
        <w:t>El incumplimiento de cualquiera de las siguientes obligaciones será sancionado en la siguiente forma:</w:t>
      </w:r>
    </w:p>
    <w:p w:rsidR="00000000" w:rsidRDefault="003773B7">
      <w:pPr>
        <w:numPr>
          <w:ilvl w:val="0"/>
          <w:numId w:val="25"/>
        </w:numPr>
        <w:kinsoku w:val="0"/>
        <w:overflowPunct w:val="0"/>
        <w:autoSpaceDE/>
        <w:autoSpaceDN/>
        <w:adjustRightInd/>
        <w:spacing w:before="212" w:line="212"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Por prestación ilegal del servicio fuera del área que autorizó el permiso, salvo en los casos en que el origen del servicio sea el área autorizada y e</w:t>
      </w:r>
      <w:r>
        <w:rPr>
          <w:rFonts w:ascii="Verdana" w:hAnsi="Verdana" w:cs="Verdana"/>
          <w:sz w:val="17"/>
          <w:szCs w:val="17"/>
          <w:lang w:val="es-ES" w:eastAsia="es-ES"/>
        </w:rPr>
        <w:t>l destino fuera de ella.</w:t>
      </w:r>
    </w:p>
    <w:p w:rsidR="00000000" w:rsidRDefault="003773B7">
      <w:pPr>
        <w:numPr>
          <w:ilvl w:val="0"/>
          <w:numId w:val="25"/>
        </w:numPr>
        <w:kinsoku w:val="0"/>
        <w:overflowPunct w:val="0"/>
        <w:autoSpaceDE/>
        <w:autoSpaceDN/>
        <w:adjustRightInd/>
        <w:spacing w:before="218" w:line="212"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Cuando el vehículo con que se preste el servicio especial estable de taxi tenga las características propias de los vehículos modalidad taxi que se autorizan en razón de una concesión, violando lo establecido al respecto en el artíc</w:t>
      </w:r>
      <w:r>
        <w:rPr>
          <w:rFonts w:ascii="Verdana" w:hAnsi="Verdana" w:cs="Verdana"/>
          <w:sz w:val="17"/>
          <w:szCs w:val="17"/>
          <w:lang w:val="es-ES" w:eastAsia="es-ES"/>
        </w:rPr>
        <w:t>ulo 29 de la presente ley.</w:t>
      </w:r>
    </w:p>
    <w:p w:rsidR="00000000" w:rsidRDefault="003773B7">
      <w:pPr>
        <w:numPr>
          <w:ilvl w:val="0"/>
          <w:numId w:val="25"/>
        </w:numPr>
        <w:kinsoku w:val="0"/>
        <w:overflowPunct w:val="0"/>
        <w:autoSpaceDE/>
        <w:autoSpaceDN/>
        <w:adjustRightInd/>
        <w:spacing w:before="207" w:line="218"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Cuando el vehículo o los vehículos autorizados para el servicio especial estable de taxi se estacionen para realizar abordaje o desabordaje de personas en las paradas dedicadas a las demás modalidades de transporte público.</w:t>
      </w:r>
    </w:p>
    <w:p w:rsidR="00000000" w:rsidRDefault="003773B7">
      <w:pPr>
        <w:numPr>
          <w:ilvl w:val="0"/>
          <w:numId w:val="25"/>
        </w:numPr>
        <w:kinsoku w:val="0"/>
        <w:overflowPunct w:val="0"/>
        <w:autoSpaceDE/>
        <w:autoSpaceDN/>
        <w:adjustRightInd/>
        <w:spacing w:before="222" w:line="212"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Cuand</w:t>
      </w:r>
      <w:r>
        <w:rPr>
          <w:rFonts w:ascii="Verdana" w:hAnsi="Verdana" w:cs="Verdana"/>
          <w:sz w:val="17"/>
          <w:szCs w:val="17"/>
          <w:lang w:val="es-ES" w:eastAsia="es-ES"/>
        </w:rPr>
        <w:t>o las personas permisionarias del servicio especial estable de taxi se estacionen en un lugar de la vía pública para ofrecer sus servicios al público en general.</w:t>
      </w:r>
    </w:p>
    <w:p w:rsidR="00000000" w:rsidRDefault="003773B7">
      <w:pPr>
        <w:numPr>
          <w:ilvl w:val="0"/>
          <w:numId w:val="25"/>
        </w:numPr>
        <w:kinsoku w:val="0"/>
        <w:overflowPunct w:val="0"/>
        <w:autoSpaceDE/>
        <w:autoSpaceDN/>
        <w:adjustRightInd/>
        <w:spacing w:before="202" w:after="959" w:line="221"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 xml:space="preserve">Cuando las personas permisionarias del servicio especial estable de taxi circulen, en demanda </w:t>
      </w:r>
      <w:r>
        <w:rPr>
          <w:rFonts w:ascii="Verdana" w:hAnsi="Verdana" w:cs="Verdana"/>
          <w:sz w:val="17"/>
          <w:szCs w:val="17"/>
          <w:lang w:val="es-ES" w:eastAsia="es-ES"/>
        </w:rPr>
        <w:t>de pasajeros, por las vías públicas.</w:t>
      </w:r>
    </w:p>
    <w:p w:rsidR="00000000" w:rsidRDefault="003773B7">
      <w:pPr>
        <w:widowControl/>
        <w:rPr>
          <w:sz w:val="24"/>
          <w:szCs w:val="24"/>
        </w:rPr>
        <w:sectPr w:rsidR="00000000">
          <w:pgSz w:w="12293" w:h="15754"/>
          <w:pgMar w:top="2240" w:right="2335" w:bottom="157" w:left="2038" w:header="720" w:footer="720" w:gutter="0"/>
          <w:cols w:space="720"/>
          <w:noEndnote/>
        </w:sectPr>
      </w:pPr>
    </w:p>
    <w:p w:rsidR="00000000" w:rsidRDefault="003773B7">
      <w:pPr>
        <w:widowControl/>
        <w:rPr>
          <w:sz w:val="24"/>
          <w:szCs w:val="24"/>
        </w:rPr>
        <w:sectPr w:rsidR="00000000">
          <w:type w:val="continuous"/>
          <w:pgSz w:w="12293" w:h="15754"/>
          <w:pgMar w:top="2240" w:right="1881" w:bottom="157" w:left="7172" w:header="720" w:footer="720" w:gutter="0"/>
          <w:cols w:space="720"/>
          <w:noEndnote/>
        </w:sectPr>
      </w:pPr>
    </w:p>
    <w:p w:rsidR="00000000" w:rsidRDefault="003773B7">
      <w:pPr>
        <w:numPr>
          <w:ilvl w:val="0"/>
          <w:numId w:val="26"/>
        </w:numPr>
        <w:kinsoku w:val="0"/>
        <w:overflowPunct w:val="0"/>
        <w:autoSpaceDE/>
        <w:autoSpaceDN/>
        <w:adjustRightInd/>
        <w:spacing w:before="56" w:line="214" w:lineRule="exact"/>
        <w:ind w:right="432"/>
        <w:jc w:val="both"/>
        <w:textAlignment w:val="baseline"/>
        <w:rPr>
          <w:rFonts w:ascii="Verdana" w:hAnsi="Verdana" w:cs="Verdana"/>
          <w:sz w:val="18"/>
          <w:szCs w:val="18"/>
          <w:lang w:val="es-ES" w:eastAsia="es-ES"/>
        </w:rPr>
      </w:pPr>
      <w:r>
        <w:rPr>
          <w:rFonts w:ascii="Verdana" w:hAnsi="Verdana" w:cs="Verdana"/>
          <w:sz w:val="18"/>
          <w:szCs w:val="18"/>
          <w:lang w:val="es-ES" w:eastAsia="es-ES"/>
        </w:rPr>
        <w:lastRenderedPageBreak/>
        <w:t>Cuando las personas permisionarias del servicio especial estable de taxi se detengan, en demanda de pasajeros, frente a edificaciones pú</w:t>
      </w:r>
      <w:r>
        <w:rPr>
          <w:rFonts w:ascii="Verdana" w:hAnsi="Verdana" w:cs="Verdana"/>
          <w:sz w:val="18"/>
          <w:szCs w:val="18"/>
          <w:lang w:val="es-ES" w:eastAsia="es-ES"/>
        </w:rPr>
        <w:t>blicas, parques, centros educativos, centros comerciales, muelles, puertos, aeropuertos, iglesias, hospitales y lugares similares, salvo que lo hagan por el tiempo estrictamente necesario para permitir el abordaje y desabordaje de sus propias personas usua</w:t>
      </w:r>
      <w:r>
        <w:rPr>
          <w:rFonts w:ascii="Verdana" w:hAnsi="Verdana" w:cs="Verdana"/>
          <w:sz w:val="18"/>
          <w:szCs w:val="18"/>
          <w:lang w:val="es-ES" w:eastAsia="es-ES"/>
        </w:rPr>
        <w:t>rias.</w:t>
      </w:r>
    </w:p>
    <w:p w:rsidR="00000000" w:rsidRDefault="003773B7">
      <w:pPr>
        <w:numPr>
          <w:ilvl w:val="0"/>
          <w:numId w:val="26"/>
        </w:numPr>
        <w:kinsoku w:val="0"/>
        <w:overflowPunct w:val="0"/>
        <w:autoSpaceDE/>
        <w:autoSpaceDN/>
        <w:adjustRightInd/>
        <w:spacing w:before="206" w:line="214" w:lineRule="exact"/>
        <w:ind w:right="432"/>
        <w:jc w:val="both"/>
        <w:textAlignment w:val="baseline"/>
        <w:rPr>
          <w:rFonts w:ascii="Verdana" w:hAnsi="Verdana" w:cs="Verdana"/>
          <w:sz w:val="18"/>
          <w:szCs w:val="18"/>
          <w:lang w:val="es-ES" w:eastAsia="es-ES"/>
        </w:rPr>
      </w:pPr>
      <w:r>
        <w:rPr>
          <w:rFonts w:ascii="Verdana" w:hAnsi="Verdana" w:cs="Verdana"/>
          <w:sz w:val="18"/>
          <w:szCs w:val="18"/>
          <w:lang w:val="es-ES" w:eastAsia="es-ES"/>
        </w:rPr>
        <w:t>Cuando el vehículo autorizado para la prestación del servicio especial estable de taxi circule por las vías públicas, en demanda de pasajeros.</w:t>
      </w:r>
    </w:p>
    <w:p w:rsidR="00000000" w:rsidRDefault="003773B7">
      <w:pPr>
        <w:kinsoku w:val="0"/>
        <w:overflowPunct w:val="0"/>
        <w:autoSpaceDE/>
        <w:autoSpaceDN/>
        <w:adjustRightInd/>
        <w:spacing w:before="212" w:line="214" w:lineRule="exact"/>
        <w:ind w:left="360" w:right="432"/>
        <w:jc w:val="both"/>
        <w:textAlignment w:val="baseline"/>
        <w:rPr>
          <w:rFonts w:ascii="Verdana" w:hAnsi="Verdana" w:cs="Verdana"/>
          <w:i/>
          <w:iCs/>
          <w:sz w:val="18"/>
          <w:szCs w:val="18"/>
          <w:lang w:val="es-ES" w:eastAsia="es-ES"/>
        </w:rPr>
      </w:pPr>
      <w:r>
        <w:rPr>
          <w:rFonts w:ascii="Verdana" w:hAnsi="Verdana" w:cs="Verdana"/>
          <w:sz w:val="18"/>
          <w:szCs w:val="18"/>
          <w:lang w:val="es-ES" w:eastAsia="es-ES"/>
        </w:rPr>
        <w:t>De incumplirse alguna de las obligaciones anteriores, se procederá con la suspensión del código por tres me</w:t>
      </w:r>
      <w:r>
        <w:rPr>
          <w:rFonts w:ascii="Verdana" w:hAnsi="Verdana" w:cs="Verdana"/>
          <w:sz w:val="18"/>
          <w:szCs w:val="18"/>
          <w:lang w:val="es-ES" w:eastAsia="es-ES"/>
        </w:rPr>
        <w:t>ses, la primera vez; la suspensión del código por seis meses, la segunda vez, y la cancelación definitiva del código, la tercera vez, sin perjuicio de las sanciones que al respecto establezca la Ley N.° 7331, Ley de Tránsito por Vías Públicas Terrestres, y</w:t>
      </w:r>
      <w:r>
        <w:rPr>
          <w:rFonts w:ascii="Verdana" w:hAnsi="Verdana" w:cs="Verdana"/>
          <w:sz w:val="18"/>
          <w:szCs w:val="18"/>
          <w:lang w:val="es-ES" w:eastAsia="es-ES"/>
        </w:rPr>
        <w:t xml:space="preserve"> sus reformas. (...)" </w:t>
      </w:r>
      <w:r>
        <w:rPr>
          <w:rFonts w:ascii="Verdana" w:hAnsi="Verdana" w:cs="Verdana"/>
          <w:i/>
          <w:iCs/>
          <w:sz w:val="18"/>
          <w:szCs w:val="18"/>
          <w:lang w:val="es-ES" w:eastAsia="es-ES"/>
        </w:rPr>
        <w:t>(El subrayado no es del original)</w:t>
      </w:r>
    </w:p>
    <w:p w:rsidR="00000000" w:rsidRDefault="003773B7">
      <w:pPr>
        <w:kinsoku w:val="0"/>
        <w:overflowPunct w:val="0"/>
        <w:autoSpaceDE/>
        <w:autoSpaceDN/>
        <w:adjustRightInd/>
        <w:spacing w:before="272" w:line="266" w:lineRule="exact"/>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SOBRE EL CASO CONCRETO</w:t>
      </w:r>
    </w:p>
    <w:p w:rsidR="00000000" w:rsidRDefault="003773B7">
      <w:pPr>
        <w:kinsoku w:val="0"/>
        <w:overflowPunct w:val="0"/>
        <w:autoSpaceDE/>
        <w:autoSpaceDN/>
        <w:adjustRightInd/>
        <w:spacing w:before="304" w:line="283" w:lineRule="exact"/>
        <w:jc w:val="both"/>
        <w:textAlignment w:val="baseline"/>
        <w:rPr>
          <w:rFonts w:ascii="Verdana" w:hAnsi="Verdana" w:cs="Verdana"/>
          <w:i/>
          <w:iCs/>
          <w:sz w:val="23"/>
          <w:szCs w:val="23"/>
          <w:lang w:val="es-ES" w:eastAsia="es-ES"/>
        </w:rPr>
      </w:pPr>
      <w:r>
        <w:rPr>
          <w:rFonts w:ascii="Verdana" w:hAnsi="Verdana" w:cs="Verdana"/>
          <w:sz w:val="23"/>
          <w:szCs w:val="23"/>
          <w:lang w:val="es-ES" w:eastAsia="es-ES"/>
        </w:rPr>
        <w:t>En la especie lo que se objeta es el acto específico de no renovación de los permisos de SEETAXI que la Junta Directiva del Consejo de Transporte Público determina en cuanto a l</w:t>
      </w:r>
      <w:r>
        <w:rPr>
          <w:rFonts w:ascii="Verdana" w:hAnsi="Verdana" w:cs="Verdana"/>
          <w:sz w:val="23"/>
          <w:szCs w:val="23"/>
          <w:lang w:val="es-ES" w:eastAsia="es-ES"/>
        </w:rPr>
        <w:t xml:space="preserve">a firma recurrente, por no haber cumplido </w:t>
      </w:r>
      <w:r>
        <w:rPr>
          <w:rFonts w:ascii="Verdana" w:hAnsi="Verdana" w:cs="Verdana"/>
          <w:i/>
          <w:iCs/>
          <w:sz w:val="23"/>
          <w:szCs w:val="23"/>
          <w:lang w:val="es-ES" w:eastAsia="es-ES"/>
        </w:rPr>
        <w:t xml:space="preserve">-pese a habérsele prevenido lo conducente- </w:t>
      </w:r>
      <w:r>
        <w:rPr>
          <w:rFonts w:ascii="Verdana" w:hAnsi="Verdana" w:cs="Verdana"/>
          <w:sz w:val="23"/>
          <w:szCs w:val="23"/>
          <w:lang w:val="es-ES" w:eastAsia="es-ES"/>
        </w:rPr>
        <w:t xml:space="preserve">con todos los requisitos de mérito </w:t>
      </w:r>
      <w:r>
        <w:rPr>
          <w:rFonts w:ascii="Verdana" w:hAnsi="Verdana" w:cs="Verdana"/>
          <w:i/>
          <w:iCs/>
          <w:sz w:val="23"/>
          <w:szCs w:val="23"/>
          <w:lang w:val="es-ES" w:eastAsia="es-ES"/>
        </w:rPr>
        <w:t xml:space="preserve">(transitorio 1 y artículo 29 de la ley no. </w:t>
      </w:r>
      <w:r>
        <w:rPr>
          <w:rFonts w:ascii="Verdana" w:hAnsi="Verdana" w:cs="Verdana"/>
          <w:sz w:val="23"/>
          <w:szCs w:val="23"/>
          <w:lang w:val="es-ES" w:eastAsia="es-ES"/>
        </w:rPr>
        <w:t>7969); por no ajustarse a lo dispuesto en los artículos 7.8.2 y 7.8.3 de la Sesió</w:t>
      </w:r>
      <w:r>
        <w:rPr>
          <w:rFonts w:ascii="Verdana" w:hAnsi="Verdana" w:cs="Verdana"/>
          <w:sz w:val="23"/>
          <w:szCs w:val="23"/>
          <w:lang w:val="es-ES" w:eastAsia="es-ES"/>
        </w:rPr>
        <w:t>n Ordinaria No. 37</w:t>
      </w:r>
      <w:r>
        <w:rPr>
          <w:rFonts w:ascii="Verdana" w:hAnsi="Verdana" w:cs="Verdana"/>
          <w:sz w:val="23"/>
          <w:szCs w:val="23"/>
          <w:lang w:val="es-ES" w:eastAsia="es-ES"/>
        </w:rPr>
        <w:softHyphen/>
        <w:t>2015 de la Junta Directiva del Consejo de Transporte Público; así como por no haber cumplido con la prevención realizada en cuanto a la especificación y presentación de documentos correlativos necesarios, en cuanto a los vehículos que se</w:t>
      </w:r>
      <w:r>
        <w:rPr>
          <w:rFonts w:ascii="Verdana" w:hAnsi="Verdana" w:cs="Verdana"/>
          <w:sz w:val="23"/>
          <w:szCs w:val="23"/>
          <w:lang w:val="es-ES" w:eastAsia="es-ES"/>
        </w:rPr>
        <w:t xml:space="preserve"> mantendrían en operación del servicio, luego de la aplicación del transitorio II de la ley No. 8955, en correlación con el dictamen C-078-2015 de la Procuraduría General de la República </w:t>
      </w:r>
      <w:r>
        <w:rPr>
          <w:rFonts w:ascii="Verdana" w:hAnsi="Verdana" w:cs="Verdana"/>
          <w:i/>
          <w:iCs/>
          <w:sz w:val="23"/>
          <w:szCs w:val="23"/>
          <w:lang w:val="es-ES" w:eastAsia="es-ES"/>
        </w:rPr>
        <w:t>(amén de lo determinado por este mismo Tribunal en sus Resoluciones N</w:t>
      </w:r>
      <w:r>
        <w:rPr>
          <w:rFonts w:ascii="Verdana" w:hAnsi="Verdana" w:cs="Verdana"/>
          <w:i/>
          <w:iCs/>
          <w:sz w:val="23"/>
          <w:szCs w:val="23"/>
          <w:lang w:val="es-ES" w:eastAsia="es-ES"/>
        </w:rPr>
        <w:t>os. tat-2234-2014, tat-2257-2014 y tat-2578-2015).</w:t>
      </w:r>
    </w:p>
    <w:p w:rsidR="00000000" w:rsidRDefault="003773B7">
      <w:pPr>
        <w:kinsoku w:val="0"/>
        <w:overflowPunct w:val="0"/>
        <w:autoSpaceDE/>
        <w:autoSpaceDN/>
        <w:adjustRightInd/>
        <w:spacing w:before="261" w:line="284"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En cuanto al caso, como lo manifiesta la misma Recurrente, ella tomó por sí y bajo su cuenta y riesgo la determinación de </w:t>
      </w:r>
      <w:r>
        <w:rPr>
          <w:rFonts w:ascii="Verdana" w:hAnsi="Verdana" w:cs="Verdana"/>
          <w:b/>
          <w:bCs/>
          <w:sz w:val="23"/>
          <w:szCs w:val="23"/>
          <w:lang w:val="es-ES" w:eastAsia="es-ES"/>
        </w:rPr>
        <w:t xml:space="preserve">desatender y desobedecer </w:t>
      </w:r>
      <w:r>
        <w:rPr>
          <w:rFonts w:ascii="Verdana" w:hAnsi="Verdana" w:cs="Verdana"/>
          <w:sz w:val="23"/>
          <w:szCs w:val="23"/>
          <w:lang w:val="es-ES" w:eastAsia="es-ES"/>
        </w:rPr>
        <w:t>lo prevenido. Particularmente lo atinente a la especificac</w:t>
      </w:r>
      <w:r>
        <w:rPr>
          <w:rFonts w:ascii="Verdana" w:hAnsi="Verdana" w:cs="Verdana"/>
          <w:sz w:val="23"/>
          <w:szCs w:val="23"/>
          <w:lang w:val="es-ES" w:eastAsia="es-ES"/>
        </w:rPr>
        <w:t>ión y presentación de documentos correlativos necesarios, en cuanto a los vehículos que se mantendrían en operación del servicio, luego de la aplicación del TRANSITORIO II de la Ley No. 8955, en correlación con el Dictamen C-078-2015 de la Procuraduría Gen</w:t>
      </w:r>
      <w:r>
        <w:rPr>
          <w:rFonts w:ascii="Verdana" w:hAnsi="Verdana" w:cs="Verdana"/>
          <w:sz w:val="23"/>
          <w:szCs w:val="23"/>
          <w:lang w:val="es-ES" w:eastAsia="es-ES"/>
        </w:rPr>
        <w:t>eral de la República. Toda vez que con ello pretendió demostrar su oposición e inconformidad con lo así determinado mediante los Artículos 7.8.2 y 7.8.3 de la Sesión Ordinaria No. 37-2015 de la Junta Directiva del Consejo de Transporte Público del 1 de Jul</w:t>
      </w:r>
      <w:r>
        <w:rPr>
          <w:rFonts w:ascii="Verdana" w:hAnsi="Verdana" w:cs="Verdana"/>
          <w:sz w:val="23"/>
          <w:szCs w:val="23"/>
          <w:lang w:val="es-ES" w:eastAsia="es-ES"/>
        </w:rPr>
        <w:t>io del 2015.</w:t>
      </w:r>
    </w:p>
    <w:p w:rsidR="00000000" w:rsidRDefault="003773B7">
      <w:pPr>
        <w:kinsoku w:val="0"/>
        <w:overflowPunct w:val="0"/>
        <w:autoSpaceDE/>
        <w:autoSpaceDN/>
        <w:adjustRightInd/>
        <w:spacing w:before="313" w:line="284"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Dado ese marco fáctico y legal, lo cierto es que desde la óptica de Legalidad que atañe revisar a este Tribunal, ante la negativa propia y por autodeterminación de la firma Recurrente a efecto de </w:t>
      </w:r>
      <w:r>
        <w:rPr>
          <w:rFonts w:ascii="Verdana" w:hAnsi="Verdana" w:cs="Verdana"/>
          <w:b/>
          <w:bCs/>
          <w:sz w:val="23"/>
          <w:szCs w:val="23"/>
          <w:lang w:val="es-ES" w:eastAsia="es-ES"/>
        </w:rPr>
        <w:t xml:space="preserve">NO ACATAR LO SOLICITADO y PREVENIDO </w:t>
      </w:r>
      <w:r>
        <w:rPr>
          <w:rFonts w:ascii="Verdana" w:hAnsi="Verdana" w:cs="Verdana"/>
          <w:sz w:val="23"/>
          <w:szCs w:val="23"/>
          <w:lang w:val="es-ES" w:eastAsia="es-ES"/>
        </w:rPr>
        <w:t>por el Consejo de Transporte Público, lo</w:t>
      </w:r>
    </w:p>
    <w:p w:rsidR="00000000" w:rsidRDefault="003773B7">
      <w:pPr>
        <w:widowControl/>
        <w:rPr>
          <w:sz w:val="24"/>
          <w:szCs w:val="24"/>
        </w:rPr>
        <w:sectPr w:rsidR="00000000">
          <w:pgSz w:w="12302" w:h="15725"/>
          <w:pgMar w:top="2080" w:right="1880" w:bottom="52" w:left="1762" w:header="720" w:footer="720" w:gutter="0"/>
          <w:cols w:space="720"/>
          <w:noEndnote/>
        </w:sectPr>
      </w:pPr>
    </w:p>
    <w:p w:rsidR="00000000" w:rsidRDefault="003773B7">
      <w:pPr>
        <w:kinsoku w:val="0"/>
        <w:overflowPunct w:val="0"/>
        <w:autoSpaceDE/>
        <w:autoSpaceDN/>
        <w:adjustRightInd/>
        <w:spacing w:before="68" w:line="279"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único que puede disponer este Tribunal es el RECHAZO de sus Acciones Recursivas. Toda vez que con su actuar omiso o renuente, la recurrente vino no solo a determinar un d</w:t>
      </w:r>
      <w:r>
        <w:rPr>
          <w:rFonts w:ascii="Verdana" w:hAnsi="Verdana" w:cs="Verdana"/>
          <w:sz w:val="23"/>
          <w:szCs w:val="23"/>
          <w:lang w:val="es-ES" w:eastAsia="es-ES"/>
        </w:rPr>
        <w:t xml:space="preserve">esinterés en cuanto a su trámite de prórroga de los permisos de SEETAXI; además de incumplir con lo determinado por el numeral 264 de la Ley General de la Administración Pública; sino que </w:t>
      </w:r>
      <w:r>
        <w:rPr>
          <w:rFonts w:ascii="Verdana" w:hAnsi="Verdana" w:cs="Verdana"/>
          <w:i/>
          <w:iCs/>
          <w:sz w:val="23"/>
          <w:szCs w:val="23"/>
          <w:lang w:val="es-ES" w:eastAsia="es-ES"/>
        </w:rPr>
        <w:t xml:space="preserve">-también </w:t>
      </w:r>
      <w:r>
        <w:rPr>
          <w:rFonts w:ascii="Verdana" w:hAnsi="Verdana" w:cs="Verdana"/>
          <w:sz w:val="23"/>
          <w:szCs w:val="23"/>
          <w:lang w:val="es-ES" w:eastAsia="es-ES"/>
        </w:rPr>
        <w:t>generó una imposibilidad para que la Administración otorgan</w:t>
      </w:r>
      <w:r>
        <w:rPr>
          <w:rFonts w:ascii="Verdana" w:hAnsi="Verdana" w:cs="Verdana"/>
          <w:sz w:val="23"/>
          <w:szCs w:val="23"/>
          <w:lang w:val="es-ES" w:eastAsia="es-ES"/>
        </w:rPr>
        <w:t xml:space="preserve">te definiera los permisos a prorrogar y cumpliera con alcanzar la verdad real del asunto. Siendo claro que la obligación de definición de los asociados y vehículos que se mantendrían en operación </w:t>
      </w:r>
      <w:r>
        <w:rPr>
          <w:b/>
          <w:bCs/>
          <w:sz w:val="25"/>
          <w:szCs w:val="25"/>
          <w:lang w:val="es-ES" w:eastAsia="es-ES"/>
        </w:rPr>
        <w:t xml:space="preserve">NO ES UNA OBLIGACIÓN DE LA ADMINISTRACIÓN, SINO DEL </w:t>
      </w:r>
      <w:r w:rsidRPr="003414A2">
        <w:rPr>
          <w:b/>
          <w:bCs/>
          <w:sz w:val="25"/>
          <w:szCs w:val="25"/>
          <w:lang w:val="es-ES" w:eastAsia="es-ES"/>
        </w:rPr>
        <w:t>INTERESA</w:t>
      </w:r>
      <w:r w:rsidRPr="003414A2">
        <w:rPr>
          <w:b/>
          <w:bCs/>
          <w:sz w:val="25"/>
          <w:szCs w:val="25"/>
          <w:lang w:val="es-ES" w:eastAsia="es-ES"/>
        </w:rPr>
        <w:t xml:space="preserve">DO </w:t>
      </w:r>
      <w:hyperlink r:id="rId16" w:history="1">
        <w:r w:rsidRPr="003414A2">
          <w:rPr>
            <w:b/>
            <w:bCs/>
            <w:sz w:val="25"/>
            <w:szCs w:val="25"/>
            <w:lang w:val="es-ES" w:eastAsia="es-ES"/>
          </w:rPr>
          <w:t>PETENTE. ES</w:t>
        </w:r>
      </w:hyperlink>
      <w:r>
        <w:rPr>
          <w:b/>
          <w:bCs/>
          <w:sz w:val="25"/>
          <w:szCs w:val="25"/>
          <w:lang w:val="es-ES" w:eastAsia="es-ES"/>
        </w:rPr>
        <w:t xml:space="preserve"> ALGO PROPIO DE SU ESFERA INTERNA DE DETERMINACIÓN Y ACCIÓN SOCIETARIA </w:t>
      </w:r>
      <w:r>
        <w:rPr>
          <w:rFonts w:ascii="Verdana" w:hAnsi="Verdana" w:cs="Verdana"/>
          <w:b/>
          <w:bCs/>
          <w:sz w:val="23"/>
          <w:szCs w:val="23"/>
          <w:lang w:val="es-ES" w:eastAsia="es-ES"/>
        </w:rPr>
        <w:t xml:space="preserve">y </w:t>
      </w:r>
      <w:r>
        <w:rPr>
          <w:b/>
          <w:bCs/>
          <w:sz w:val="25"/>
          <w:szCs w:val="25"/>
          <w:lang w:val="es-ES" w:eastAsia="es-ES"/>
        </w:rPr>
        <w:t xml:space="preserve">COMERCIAL. </w:t>
      </w:r>
      <w:r>
        <w:rPr>
          <w:rFonts w:ascii="Verdana" w:hAnsi="Verdana" w:cs="Verdana"/>
          <w:sz w:val="23"/>
          <w:szCs w:val="23"/>
          <w:lang w:val="es-ES" w:eastAsia="es-ES"/>
        </w:rPr>
        <w:t>Sobre el particular, el Dr. Enrique Rojas Franco e</w:t>
      </w:r>
      <w:r>
        <w:rPr>
          <w:rFonts w:ascii="Verdana" w:hAnsi="Verdana" w:cs="Verdana"/>
          <w:sz w:val="23"/>
          <w:szCs w:val="23"/>
          <w:lang w:val="es-ES" w:eastAsia="es-ES"/>
        </w:rPr>
        <w:t xml:space="preserve">n su obra: </w:t>
      </w:r>
      <w:r>
        <w:rPr>
          <w:i/>
          <w:iCs/>
          <w:sz w:val="25"/>
          <w:szCs w:val="25"/>
          <w:lang w:val="es-ES" w:eastAsia="es-ES"/>
        </w:rPr>
        <w:t xml:space="preserve">"COMENTARIO A LA LEY GENERAL DE LA ADMINISTRACIÓN PÚBLICA. LIBRO II: DEL PROCEDIMIENTO ADMINISTRATIVO", </w:t>
      </w:r>
      <w:r>
        <w:rPr>
          <w:rFonts w:ascii="Verdana" w:hAnsi="Verdana" w:cs="Verdana"/>
          <w:sz w:val="23"/>
          <w:szCs w:val="23"/>
          <w:lang w:val="es-ES" w:eastAsia="es-ES"/>
        </w:rPr>
        <w:t>al aludir al numeral 264 referido nos señala:</w:t>
      </w:r>
    </w:p>
    <w:p w:rsidR="00000000" w:rsidRDefault="003773B7">
      <w:pPr>
        <w:kinsoku w:val="0"/>
        <w:overflowPunct w:val="0"/>
        <w:autoSpaceDE/>
        <w:autoSpaceDN/>
        <w:adjustRightInd/>
        <w:spacing w:before="285" w:line="237" w:lineRule="exact"/>
        <w:ind w:left="576" w:right="576"/>
        <w:jc w:val="both"/>
        <w:textAlignment w:val="baseline"/>
        <w:rPr>
          <w:rFonts w:ascii="Verdana" w:hAnsi="Verdana" w:cs="Verdana"/>
          <w:sz w:val="19"/>
          <w:szCs w:val="19"/>
          <w:lang w:val="es-ES" w:eastAsia="es-ES"/>
        </w:rPr>
      </w:pPr>
      <w:r>
        <w:rPr>
          <w:rFonts w:ascii="Verdana" w:hAnsi="Verdana" w:cs="Verdana"/>
          <w:sz w:val="19"/>
          <w:szCs w:val="19"/>
          <w:lang w:val="es-ES" w:eastAsia="es-ES"/>
        </w:rPr>
        <w:t>..."La Administració</w:t>
      </w:r>
      <w:r>
        <w:rPr>
          <w:rFonts w:ascii="Verdana" w:hAnsi="Verdana" w:cs="Verdana"/>
          <w:sz w:val="19"/>
          <w:szCs w:val="19"/>
          <w:lang w:val="es-ES" w:eastAsia="es-ES"/>
        </w:rPr>
        <w:t>n previene al administrado, en cumplir estos requisitos, bajo lo estipulado en el artículo 264, inciso primero. No obstante, si el administrado incumpliese no solo demostrará desinterés, sino que no será posible para la Administración alcanzar la verdad re</w:t>
      </w:r>
      <w:r>
        <w:rPr>
          <w:rFonts w:ascii="Verdana" w:hAnsi="Verdana" w:cs="Verdana"/>
          <w:sz w:val="19"/>
          <w:szCs w:val="19"/>
          <w:lang w:val="es-ES" w:eastAsia="es-ES"/>
        </w:rPr>
        <w:t>al de los hechos, en vista de las omisiones del mismo al no presentar la información prevenida.</w:t>
      </w:r>
    </w:p>
    <w:p w:rsidR="00000000" w:rsidRDefault="003773B7">
      <w:pPr>
        <w:kinsoku w:val="0"/>
        <w:overflowPunct w:val="0"/>
        <w:autoSpaceDE/>
        <w:autoSpaceDN/>
        <w:adjustRightInd/>
        <w:spacing w:before="224" w:line="237" w:lineRule="exact"/>
        <w:ind w:left="576"/>
        <w:textAlignment w:val="baseline"/>
        <w:rPr>
          <w:rFonts w:ascii="Verdana" w:hAnsi="Verdana" w:cs="Verdana"/>
          <w:spacing w:val="2"/>
          <w:sz w:val="19"/>
          <w:szCs w:val="19"/>
          <w:lang w:val="es-ES" w:eastAsia="es-ES"/>
        </w:rPr>
      </w:pPr>
      <w:r>
        <w:rPr>
          <w:rFonts w:ascii="Verdana" w:hAnsi="Verdana" w:cs="Verdana"/>
          <w:spacing w:val="2"/>
          <w:sz w:val="19"/>
          <w:szCs w:val="19"/>
          <w:lang w:val="es-ES" w:eastAsia="es-ES"/>
        </w:rPr>
        <w:t>Al respecto el Tribunal Contencioso Administrativo se refiere:</w:t>
      </w:r>
    </w:p>
    <w:p w:rsidR="00000000" w:rsidRDefault="003773B7">
      <w:pPr>
        <w:kinsoku w:val="0"/>
        <w:overflowPunct w:val="0"/>
        <w:autoSpaceDE/>
        <w:autoSpaceDN/>
        <w:adjustRightInd/>
        <w:spacing w:before="243" w:after="480" w:line="237" w:lineRule="exact"/>
        <w:ind w:left="576" w:right="576"/>
        <w:jc w:val="both"/>
        <w:textAlignment w:val="baseline"/>
        <w:rPr>
          <w:rFonts w:ascii="Verdana" w:hAnsi="Verdana" w:cs="Verdana"/>
          <w:sz w:val="19"/>
          <w:szCs w:val="19"/>
          <w:lang w:val="es-ES" w:eastAsia="es-ES"/>
        </w:rPr>
      </w:pPr>
      <w:r>
        <w:rPr>
          <w:rFonts w:ascii="Verdana" w:hAnsi="Verdana" w:cs="Verdana"/>
          <w:sz w:val="19"/>
          <w:szCs w:val="19"/>
          <w:lang w:val="es-ES" w:eastAsia="es-ES"/>
        </w:rPr>
        <w:t>"Toda solicitud de fijación de precios, tarifas y tasas, deberá estar técnica y jurídicamente fun</w:t>
      </w:r>
      <w:r>
        <w:rPr>
          <w:rFonts w:ascii="Verdana" w:hAnsi="Verdana" w:cs="Verdana"/>
          <w:sz w:val="19"/>
          <w:szCs w:val="19"/>
          <w:lang w:val="es-ES" w:eastAsia="es-ES"/>
        </w:rPr>
        <w:t xml:space="preserve">damentada y contener o traer adjunto, un estudio tarifario que sustenta la petición, con una propuesta tarifaría y justificación, estudios de mercado, costos o gastos de operación, reales y proyecciones, cargas tributarias, costos y beneficios ajenos a la </w:t>
      </w:r>
      <w:r>
        <w:rPr>
          <w:rFonts w:ascii="Verdana" w:hAnsi="Verdana" w:cs="Verdana"/>
          <w:sz w:val="19"/>
          <w:szCs w:val="19"/>
          <w:lang w:val="es-ES" w:eastAsia="es-ES"/>
        </w:rPr>
        <w:t>actividad, activo fijo neto, al costo y revaluado, de operación. Un análisis económico-financiero de la situación de la empresa, con las tarifas vigentes y con las solicitadas, estructura de precios o tarifas, así como las conclusiones del estudio tarifari</w:t>
      </w:r>
      <w:r>
        <w:rPr>
          <w:rFonts w:ascii="Verdana" w:hAnsi="Verdana" w:cs="Verdana"/>
          <w:sz w:val="19"/>
          <w:szCs w:val="19"/>
          <w:lang w:val="es-ES" w:eastAsia="es-ES"/>
        </w:rPr>
        <w:t>o. Estos estudios tienen como finalidad, la demostración de la necesidad y la proyección con el fin de justificar la alza en las tarifas, tomando como bajo que la rentabilidad obtenida no fue suficiente para cumplir con todos los proyectos e inversiones pa</w:t>
      </w:r>
      <w:r>
        <w:rPr>
          <w:rFonts w:ascii="Verdana" w:hAnsi="Verdana" w:cs="Verdana"/>
          <w:sz w:val="19"/>
          <w:szCs w:val="19"/>
          <w:lang w:val="es-ES" w:eastAsia="es-ES"/>
        </w:rPr>
        <w:t>ra el mejoramiento del servicio. Acompañados de estos, deben aportarse certificaciones de la Caja Costarricense de Seguro Social, el Instituto Nacional de Seguros y la Múnicipalidad en cuya circunscripción opera la persona, física o jurídica, solicitante d</w:t>
      </w:r>
      <w:r>
        <w:rPr>
          <w:rFonts w:ascii="Verdana" w:hAnsi="Verdana" w:cs="Verdana"/>
          <w:sz w:val="19"/>
          <w:szCs w:val="19"/>
          <w:lang w:val="es-ES" w:eastAsia="es-ES"/>
        </w:rPr>
        <w:t>e encontrarse al día en el pago de impuestos, tasas y cargas obrero patronales, declaración Jurada del representante legal del prestador del servicio donde conste que se ha dado cumplimiento a las leyes laborales, incluyendo Salud Ocupacional. Con la prese</w:t>
      </w:r>
      <w:r>
        <w:rPr>
          <w:rFonts w:ascii="Verdana" w:hAnsi="Verdana" w:cs="Verdana"/>
          <w:sz w:val="19"/>
          <w:szCs w:val="19"/>
          <w:lang w:val="es-ES" w:eastAsia="es-ES"/>
        </w:rPr>
        <w:t>ntación de la solicitud, el Archivo Central de la Institución conforma el expediente y se lo remite al Regulador General, quién procede a realizar el traslado correspondiente a la Dirección encargada, según el tipo de servicio que se trate, con el fin de q</w:t>
      </w:r>
      <w:r>
        <w:rPr>
          <w:rFonts w:ascii="Verdana" w:hAnsi="Verdana" w:cs="Verdana"/>
          <w:sz w:val="19"/>
          <w:szCs w:val="19"/>
          <w:lang w:val="es-ES" w:eastAsia="es-ES"/>
        </w:rPr>
        <w:t>ue se proceda analizar la petición y se le brinde el trámite pertinente. La ARESEP dispone de cinco días hábiles para admitir o rechazar las gestiones que se le presenten. En el caso de que se prevenga al gestionante que cumpla algún requisito, se</w:t>
      </w:r>
    </w:p>
    <w:p w:rsidR="00000000" w:rsidRDefault="003773B7">
      <w:pPr>
        <w:widowControl/>
        <w:rPr>
          <w:sz w:val="24"/>
          <w:szCs w:val="24"/>
        </w:rPr>
        <w:sectPr w:rsidR="00000000">
          <w:pgSz w:w="12302" w:h="15725"/>
          <w:pgMar w:top="1980" w:right="1974" w:bottom="152" w:left="1668" w:header="720" w:footer="720" w:gutter="0"/>
          <w:cols w:space="720"/>
          <w:noEndnote/>
        </w:sectPr>
      </w:pPr>
    </w:p>
    <w:p w:rsidR="00000000" w:rsidRDefault="003773B7">
      <w:pPr>
        <w:widowControl/>
        <w:rPr>
          <w:sz w:val="24"/>
          <w:szCs w:val="24"/>
        </w:rPr>
        <w:sectPr w:rsidR="00000000">
          <w:type w:val="continuous"/>
          <w:pgSz w:w="12302" w:h="15725"/>
          <w:pgMar w:top="1980" w:right="1886" w:bottom="152" w:left="7176" w:header="720" w:footer="720" w:gutter="0"/>
          <w:cols w:space="720"/>
          <w:noEndnote/>
        </w:sectPr>
      </w:pPr>
    </w:p>
    <w:p w:rsidR="00000000" w:rsidRDefault="003773B7">
      <w:pPr>
        <w:kinsoku w:val="0"/>
        <w:overflowPunct w:val="0"/>
        <w:autoSpaceDE/>
        <w:autoSpaceDN/>
        <w:adjustRightInd/>
        <w:spacing w:before="23" w:line="237" w:lineRule="exact"/>
        <w:ind w:left="504" w:right="648"/>
        <w:jc w:val="both"/>
        <w:textAlignment w:val="baseline"/>
        <w:rPr>
          <w:rFonts w:ascii="Verdana" w:hAnsi="Verdana" w:cs="Verdana"/>
          <w:b/>
          <w:bCs/>
          <w:i/>
          <w:iCs/>
          <w:spacing w:val="-5"/>
          <w:lang w:val="es-ES" w:eastAsia="es-ES"/>
        </w:rPr>
      </w:pPr>
      <w:r>
        <w:rPr>
          <w:rFonts w:ascii="Verdana" w:hAnsi="Verdana" w:cs="Verdana"/>
          <w:spacing w:val="-5"/>
          <w:lang w:val="es-ES" w:eastAsia="es-ES"/>
        </w:rPr>
        <w:lastRenderedPageBreak/>
        <w:t xml:space="preserve">aplicará lo dispuesto en el artículo 264 de la Ley General. Si la prevención es para que subsane algún defecto, se aplica lo dispuesto en el artículo 287.1 de la Ley de Rito. Omisiones que </w:t>
      </w:r>
      <w:r>
        <w:rPr>
          <w:rFonts w:ascii="Verdana" w:hAnsi="Verdana" w:cs="Verdana"/>
          <w:spacing w:val="-5"/>
          <w:lang w:val="es-ES" w:eastAsia="es-ES"/>
        </w:rPr>
        <w:t>deben ser subsanados dentro del plazo de diez días, pudiendo prorrogarse por cinco días más, si el defecto que los gestionantes deben corregir es de difícil acceso u obtención, la empresa tiene la posibilidad de pedir una prórroga al plazo otorgado. Una ve</w:t>
      </w:r>
      <w:r>
        <w:rPr>
          <w:rFonts w:ascii="Verdana" w:hAnsi="Verdana" w:cs="Verdana"/>
          <w:spacing w:val="-5"/>
          <w:lang w:val="es-ES" w:eastAsia="es-ES"/>
        </w:rPr>
        <w:t xml:space="preserve">z subsanados los defectos y admitida la petición, el departamento técnico le informa a la Dirección de Atención al Usuario, que es la encargada de velar por la realización de las Audiencias Públicas, que el estudio se encuentra completo y que se proceda a </w:t>
      </w:r>
      <w:r>
        <w:rPr>
          <w:rFonts w:ascii="Verdana" w:hAnsi="Verdana" w:cs="Verdana"/>
          <w:spacing w:val="-5"/>
          <w:lang w:val="es-ES" w:eastAsia="es-ES"/>
        </w:rPr>
        <w:t>señalar fecha para su audiencia. Es claro que no resulta posible pasar un estudio tarifario hasta tanto la información indicada se encuentra completa, pues de lo contrario procede la inadmisibilidad de la solicitud por incumplimiento de los requisitos form</w:t>
      </w:r>
      <w:r>
        <w:rPr>
          <w:rFonts w:ascii="Verdana" w:hAnsi="Verdana" w:cs="Verdana"/>
          <w:spacing w:val="-5"/>
          <w:lang w:val="es-ES" w:eastAsia="es-ES"/>
        </w:rPr>
        <w:t xml:space="preserve">ales.''... </w:t>
      </w:r>
      <w:r>
        <w:rPr>
          <w:rFonts w:ascii="Verdana" w:hAnsi="Verdana" w:cs="Verdana"/>
          <w:b/>
          <w:bCs/>
          <w:i/>
          <w:iCs/>
          <w:spacing w:val="-5"/>
          <w:lang w:val="es-ES" w:eastAsia="es-ES"/>
        </w:rPr>
        <w:t>(Tribunal Contencioso Administrativo, Voto No. 054, de 27 de abril de 2012)</w:t>
      </w:r>
    </w:p>
    <w:p w:rsidR="00000000" w:rsidRDefault="003773B7">
      <w:pPr>
        <w:kinsoku w:val="0"/>
        <w:overflowPunct w:val="0"/>
        <w:autoSpaceDE/>
        <w:autoSpaceDN/>
        <w:adjustRightInd/>
        <w:spacing w:before="288" w:line="284"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Es precisamente bajo esa tesitura que debemos resolver el recurso que nos ocupa, disponiéndose, como ya se dijo, el rechazo de la impugnación presentada, toda vez que la</w:t>
      </w:r>
      <w:r>
        <w:rPr>
          <w:rFonts w:ascii="Verdana" w:hAnsi="Verdana" w:cs="Verdana"/>
          <w:sz w:val="23"/>
          <w:szCs w:val="23"/>
          <w:lang w:val="es-ES" w:eastAsia="es-ES"/>
        </w:rPr>
        <w:t xml:space="preserve"> misma obedece al mismo proceder de la recurrente </w:t>
      </w:r>
      <w:r>
        <w:rPr>
          <w:rFonts w:ascii="Verdana" w:hAnsi="Verdana" w:cs="Verdana"/>
          <w:i/>
          <w:iCs/>
          <w:sz w:val="23"/>
          <w:szCs w:val="23"/>
          <w:lang w:val="es-ES" w:eastAsia="es-ES"/>
        </w:rPr>
        <w:t xml:space="preserve">(Culpa de la Víctima, artículo 190 de la LGAP) y a </w:t>
      </w:r>
      <w:r>
        <w:rPr>
          <w:rFonts w:ascii="Verdana" w:hAnsi="Verdana" w:cs="Verdana"/>
          <w:sz w:val="23"/>
          <w:szCs w:val="23"/>
          <w:lang w:val="es-ES" w:eastAsia="es-ES"/>
        </w:rPr>
        <w:t>su determinación expresa de no atención y desobediencia de lo requerido por el CTP.</w:t>
      </w:r>
    </w:p>
    <w:p w:rsidR="00000000" w:rsidRDefault="003773B7">
      <w:pPr>
        <w:kinsoku w:val="0"/>
        <w:overflowPunct w:val="0"/>
        <w:autoSpaceDE/>
        <w:autoSpaceDN/>
        <w:adjustRightInd/>
        <w:spacing w:before="265" w:line="284"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En cuanto a cualquier cuestionamiento de los </w:t>
      </w:r>
      <w:r>
        <w:rPr>
          <w:rFonts w:ascii="Verdana" w:hAnsi="Verdana" w:cs="Verdana"/>
          <w:b/>
          <w:bCs/>
          <w:sz w:val="23"/>
          <w:szCs w:val="23"/>
          <w:lang w:val="es-ES" w:eastAsia="es-ES"/>
        </w:rPr>
        <w:t>Artículos 7.8.2 y 7.8.3 de</w:t>
      </w:r>
      <w:r>
        <w:rPr>
          <w:rFonts w:ascii="Verdana" w:hAnsi="Verdana" w:cs="Verdana"/>
          <w:b/>
          <w:bCs/>
          <w:sz w:val="23"/>
          <w:szCs w:val="23"/>
          <w:lang w:val="es-ES" w:eastAsia="es-ES"/>
        </w:rPr>
        <w:t xml:space="preserve"> la Sesión Ordinaria No. 37-2015 </w:t>
      </w:r>
      <w:r>
        <w:rPr>
          <w:rFonts w:ascii="Verdana" w:hAnsi="Verdana" w:cs="Verdana"/>
          <w:sz w:val="23"/>
          <w:szCs w:val="23"/>
          <w:lang w:val="es-ES" w:eastAsia="es-ES"/>
        </w:rPr>
        <w:t>de la Junta Directiva del Consejo de Transporte Público del 1 de Julio del 2015; aunque la recurrente indica en su líbelo que en su momento los recurrió, en este Tribunal no se encuentra el conocimiento de Recurso alguno, n</w:t>
      </w:r>
      <w:r>
        <w:rPr>
          <w:rFonts w:ascii="Verdana" w:hAnsi="Verdana" w:cs="Verdana"/>
          <w:sz w:val="23"/>
          <w:szCs w:val="23"/>
          <w:lang w:val="es-ES" w:eastAsia="es-ES"/>
        </w:rPr>
        <w:t xml:space="preserve">i el recurrente aporta documento que demuestre que ante el CTP lo hizo, por lo que al ser los mismos </w:t>
      </w:r>
      <w:r>
        <w:rPr>
          <w:rFonts w:ascii="Verdana" w:hAnsi="Verdana" w:cs="Verdana"/>
          <w:b/>
          <w:bCs/>
          <w:sz w:val="23"/>
          <w:szCs w:val="23"/>
          <w:u w:val="single"/>
          <w:lang w:val="es-ES" w:eastAsia="es-ES"/>
        </w:rPr>
        <w:t>Actos Propios,</w:t>
      </w:r>
      <w:r>
        <w:rPr>
          <w:rFonts w:ascii="Verdana" w:hAnsi="Verdana" w:cs="Verdana"/>
          <w:sz w:val="23"/>
          <w:szCs w:val="23"/>
          <w:lang w:val="es-ES" w:eastAsia="es-ES"/>
        </w:rPr>
        <w:t xml:space="preserve"> productores de estado y de efectos jurídicos, su impugnación debió darse dentro de los términos de ley y en forma independiente al acuerdo h</w:t>
      </w:r>
      <w:r>
        <w:rPr>
          <w:rFonts w:ascii="Verdana" w:hAnsi="Verdana" w:cs="Verdana"/>
          <w:sz w:val="23"/>
          <w:szCs w:val="23"/>
          <w:lang w:val="es-ES" w:eastAsia="es-ES"/>
        </w:rPr>
        <w:t>oy objetado. Siendo improcedente y extemporáneo cualquier cuestionamiento que en contra de éstos se realice por medio del Recurso Específico que se define por este medio.</w:t>
      </w:r>
    </w:p>
    <w:p w:rsidR="00000000" w:rsidRDefault="003773B7">
      <w:pPr>
        <w:kinsoku w:val="0"/>
        <w:overflowPunct w:val="0"/>
        <w:autoSpaceDE/>
        <w:autoSpaceDN/>
        <w:adjustRightInd/>
        <w:spacing w:before="309" w:line="284" w:lineRule="exact"/>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En lo relativo a alguna Nulidad, lo cierto es que de todo lo expresado antes y del ex</w:t>
      </w:r>
      <w:r>
        <w:rPr>
          <w:rFonts w:ascii="Verdana" w:hAnsi="Verdana" w:cs="Verdana"/>
          <w:spacing w:val="-1"/>
          <w:sz w:val="23"/>
          <w:szCs w:val="23"/>
          <w:lang w:val="es-ES" w:eastAsia="es-ES"/>
        </w:rPr>
        <w:t xml:space="preserve">pediente del caso en particular, no estima este Tribunal como procedente la Acción de Nulidad concomitante al mismo. No visualizándose o considerándose la existencia de algún </w:t>
      </w:r>
      <w:r>
        <w:rPr>
          <w:rFonts w:ascii="Verdana" w:hAnsi="Verdana" w:cs="Verdana"/>
          <w:b/>
          <w:bCs/>
          <w:spacing w:val="-1"/>
          <w:sz w:val="23"/>
          <w:szCs w:val="23"/>
          <w:lang w:val="es-ES" w:eastAsia="es-ES"/>
        </w:rPr>
        <w:t xml:space="preserve">Vicio </w:t>
      </w:r>
      <w:r>
        <w:rPr>
          <w:rFonts w:ascii="Verdana" w:hAnsi="Verdana" w:cs="Verdana"/>
          <w:spacing w:val="-1"/>
          <w:sz w:val="23"/>
          <w:szCs w:val="23"/>
          <w:lang w:val="es-ES" w:eastAsia="es-ES"/>
        </w:rPr>
        <w:t xml:space="preserve">en cuanto a alguno </w:t>
      </w:r>
      <w:r>
        <w:rPr>
          <w:rFonts w:ascii="Verdana" w:hAnsi="Verdana" w:cs="Verdana"/>
          <w:spacing w:val="-1"/>
          <w:sz w:val="23"/>
          <w:szCs w:val="23"/>
          <w:lang w:val="es-ES" w:eastAsia="es-ES"/>
        </w:rPr>
        <w:t>de los elementos esenciales objetivos, subjetivos o formales que pueda determinar un vicio nugatorio en cuanto a lo actuado en el caso de marras; así como tampoco se determina alguna infracción a los derechos fundamentales de Justicia, Debido Proceso y Def</w:t>
      </w:r>
      <w:r>
        <w:rPr>
          <w:rFonts w:ascii="Verdana" w:hAnsi="Verdana" w:cs="Verdana"/>
          <w:spacing w:val="-1"/>
          <w:sz w:val="23"/>
          <w:szCs w:val="23"/>
          <w:lang w:val="es-ES" w:eastAsia="es-ES"/>
        </w:rPr>
        <w:t>ensa. Por lo que se determina que no resultan procedentes las acciones que nos han ocupado.</w:t>
      </w:r>
    </w:p>
    <w:p w:rsidR="00000000" w:rsidRDefault="003773B7">
      <w:pPr>
        <w:widowControl/>
        <w:rPr>
          <w:sz w:val="24"/>
          <w:szCs w:val="24"/>
        </w:rPr>
        <w:sectPr w:rsidR="00000000">
          <w:pgSz w:w="12293" w:h="15802"/>
          <w:pgMar w:top="2160" w:right="1877" w:bottom="51" w:left="1756" w:header="720" w:footer="720" w:gutter="0"/>
          <w:cols w:space="720"/>
          <w:noEndnote/>
        </w:sectPr>
      </w:pPr>
    </w:p>
    <w:p w:rsidR="00000000" w:rsidRDefault="003773B7">
      <w:pPr>
        <w:kinsoku w:val="0"/>
        <w:overflowPunct w:val="0"/>
        <w:autoSpaceDE/>
        <w:autoSpaceDN/>
        <w:adjustRightInd/>
        <w:spacing w:after="257" w:line="277" w:lineRule="exact"/>
        <w:jc w:val="center"/>
        <w:textAlignment w:val="baseline"/>
        <w:rPr>
          <w:rFonts w:ascii="Verdana" w:hAnsi="Verdana" w:cs="Verdana"/>
          <w:b/>
          <w:bCs/>
          <w:spacing w:val="-11"/>
          <w:sz w:val="23"/>
          <w:szCs w:val="23"/>
          <w:lang w:val="es-ES" w:eastAsia="es-ES"/>
        </w:rPr>
      </w:pPr>
      <w:r>
        <w:rPr>
          <w:rFonts w:ascii="Verdana" w:hAnsi="Verdana" w:cs="Verdana"/>
          <w:b/>
          <w:bCs/>
          <w:spacing w:val="-11"/>
          <w:sz w:val="23"/>
          <w:szCs w:val="23"/>
          <w:lang w:val="es-ES" w:eastAsia="es-ES"/>
        </w:rPr>
        <w:lastRenderedPageBreak/>
        <w:t>POR TANTO</w:t>
      </w:r>
    </w:p>
    <w:p w:rsidR="00000000" w:rsidRDefault="003773B7">
      <w:pPr>
        <w:widowControl/>
        <w:rPr>
          <w:sz w:val="24"/>
          <w:szCs w:val="24"/>
        </w:rPr>
        <w:sectPr w:rsidR="00000000">
          <w:pgSz w:w="12293" w:h="15802"/>
          <w:pgMar w:top="2360" w:right="5555" w:bottom="151" w:left="5218" w:header="720" w:footer="720" w:gutter="0"/>
          <w:cols w:space="720"/>
          <w:noEndnote/>
        </w:sectPr>
      </w:pPr>
    </w:p>
    <w:p w:rsidR="00000000" w:rsidRDefault="003773B7">
      <w:pPr>
        <w:numPr>
          <w:ilvl w:val="0"/>
          <w:numId w:val="27"/>
        </w:numPr>
        <w:kinsoku w:val="0"/>
        <w:overflowPunct w:val="0"/>
        <w:autoSpaceDE/>
        <w:autoSpaceDN/>
        <w:adjustRightInd/>
        <w:spacing w:before="12" w:line="285" w:lineRule="exact"/>
        <w:ind w:right="720"/>
        <w:jc w:val="both"/>
        <w:textAlignment w:val="baseline"/>
        <w:rPr>
          <w:rFonts w:ascii="Verdana" w:hAnsi="Verdana" w:cs="Verdana"/>
          <w:spacing w:val="-3"/>
          <w:sz w:val="23"/>
          <w:szCs w:val="23"/>
          <w:lang w:val="es-ES" w:eastAsia="es-ES"/>
        </w:rPr>
      </w:pPr>
      <w:r>
        <w:rPr>
          <w:rFonts w:ascii="Verdana" w:hAnsi="Verdana" w:cs="Verdana"/>
          <w:spacing w:val="-3"/>
          <w:sz w:val="23"/>
          <w:szCs w:val="23"/>
          <w:lang w:val="es-ES" w:eastAsia="es-ES"/>
        </w:rPr>
        <w:t xml:space="preserve">Se declara sin Lugar </w:t>
      </w:r>
      <w:r>
        <w:rPr>
          <w:rFonts w:ascii="Verdana" w:hAnsi="Verdana" w:cs="Verdana"/>
          <w:b/>
          <w:bCs/>
          <w:spacing w:val="-3"/>
          <w:sz w:val="23"/>
          <w:szCs w:val="23"/>
          <w:lang w:val="es-ES" w:eastAsia="es-ES"/>
        </w:rPr>
        <w:t xml:space="preserve">el Recurso de Apelación y Nulidad concomitante, </w:t>
      </w:r>
      <w:r>
        <w:rPr>
          <w:rFonts w:ascii="Verdana" w:hAnsi="Verdana" w:cs="Verdana"/>
          <w:spacing w:val="-3"/>
          <w:sz w:val="23"/>
          <w:szCs w:val="23"/>
          <w:lang w:val="es-ES" w:eastAsia="es-ES"/>
        </w:rPr>
        <w:t>presentado po</w:t>
      </w:r>
      <w:r>
        <w:rPr>
          <w:rFonts w:ascii="Verdana" w:hAnsi="Verdana" w:cs="Verdana"/>
          <w:spacing w:val="-3"/>
          <w:sz w:val="23"/>
          <w:szCs w:val="23"/>
          <w:lang w:val="es-ES" w:eastAsia="es-ES"/>
        </w:rPr>
        <w:t xml:space="preserve">r la empresa </w:t>
      </w:r>
      <w:r>
        <w:rPr>
          <w:rFonts w:ascii="Verdana" w:hAnsi="Verdana" w:cs="Verdana"/>
          <w:b/>
          <w:bCs/>
          <w:spacing w:val="-3"/>
          <w:sz w:val="23"/>
          <w:szCs w:val="23"/>
          <w:lang w:val="es-ES" w:eastAsia="es-ES"/>
        </w:rPr>
        <w:t>T</w:t>
      </w:r>
      <w:r w:rsidR="003414A2">
        <w:rPr>
          <w:rFonts w:ascii="Verdana" w:hAnsi="Verdana" w:cs="Verdana"/>
          <w:b/>
          <w:bCs/>
          <w:spacing w:val="-3"/>
          <w:sz w:val="23"/>
          <w:szCs w:val="23"/>
          <w:lang w:val="es-ES" w:eastAsia="es-ES"/>
        </w:rPr>
        <w:t>.P.R.</w:t>
      </w:r>
      <w:r>
        <w:rPr>
          <w:rFonts w:ascii="Verdana" w:hAnsi="Verdana" w:cs="Verdana"/>
          <w:b/>
          <w:bCs/>
          <w:spacing w:val="-3"/>
          <w:sz w:val="23"/>
          <w:szCs w:val="23"/>
          <w:lang w:val="es-ES" w:eastAsia="es-ES"/>
        </w:rPr>
        <w:t xml:space="preserve">S.R.L., cédula jurídica número </w:t>
      </w:r>
      <w:r w:rsidR="003414A2">
        <w:rPr>
          <w:rFonts w:ascii="Verdana" w:hAnsi="Verdana" w:cs="Verdana"/>
          <w:b/>
          <w:bCs/>
          <w:spacing w:val="-3"/>
          <w:sz w:val="23"/>
          <w:szCs w:val="23"/>
          <w:lang w:val="es-ES" w:eastAsia="es-ES"/>
        </w:rPr>
        <w:t>…</w:t>
      </w:r>
      <w:r>
        <w:rPr>
          <w:rFonts w:ascii="Verdana" w:hAnsi="Verdana" w:cs="Verdana"/>
          <w:b/>
          <w:bCs/>
          <w:spacing w:val="-3"/>
          <w:sz w:val="23"/>
          <w:szCs w:val="23"/>
          <w:lang w:val="es-ES" w:eastAsia="es-ES"/>
        </w:rPr>
        <w:t xml:space="preserve">, </w:t>
      </w:r>
      <w:r>
        <w:rPr>
          <w:rFonts w:ascii="Verdana" w:hAnsi="Verdana" w:cs="Verdana"/>
          <w:spacing w:val="-3"/>
          <w:sz w:val="23"/>
          <w:szCs w:val="23"/>
          <w:lang w:val="es-ES" w:eastAsia="es-ES"/>
        </w:rPr>
        <w:t xml:space="preserve">por medio de su apoderado Generalísimo sin Límite de suma </w:t>
      </w:r>
      <w:r>
        <w:rPr>
          <w:rFonts w:ascii="Verdana" w:hAnsi="Verdana" w:cs="Verdana"/>
          <w:b/>
          <w:bCs/>
          <w:spacing w:val="-3"/>
          <w:sz w:val="23"/>
          <w:szCs w:val="23"/>
          <w:lang w:val="es-ES" w:eastAsia="es-ES"/>
        </w:rPr>
        <w:t>H</w:t>
      </w:r>
      <w:r w:rsidR="003414A2">
        <w:rPr>
          <w:rFonts w:ascii="Verdana" w:hAnsi="Verdana" w:cs="Verdana"/>
          <w:b/>
          <w:bCs/>
          <w:spacing w:val="-3"/>
          <w:sz w:val="23"/>
          <w:szCs w:val="23"/>
          <w:lang w:val="es-ES" w:eastAsia="es-ES"/>
        </w:rPr>
        <w:t>.G.C.L.</w:t>
      </w:r>
      <w:r>
        <w:rPr>
          <w:rFonts w:ascii="Verdana" w:hAnsi="Verdana" w:cs="Verdana"/>
          <w:b/>
          <w:bCs/>
          <w:spacing w:val="-3"/>
          <w:sz w:val="23"/>
          <w:szCs w:val="23"/>
          <w:lang w:val="es-ES" w:eastAsia="es-ES"/>
        </w:rPr>
        <w:t xml:space="preserve">, cédula de identidad </w:t>
      </w:r>
      <w:r w:rsidR="003414A2">
        <w:rPr>
          <w:rFonts w:ascii="Verdana" w:hAnsi="Verdana" w:cs="Verdana"/>
          <w:b/>
          <w:bCs/>
          <w:spacing w:val="-3"/>
          <w:sz w:val="23"/>
          <w:szCs w:val="23"/>
          <w:lang w:val="es-ES" w:eastAsia="es-ES"/>
        </w:rPr>
        <w:t>…</w:t>
      </w:r>
      <w:r>
        <w:rPr>
          <w:rFonts w:ascii="Verdana" w:hAnsi="Verdana" w:cs="Verdana"/>
          <w:b/>
          <w:bCs/>
          <w:spacing w:val="-3"/>
          <w:sz w:val="23"/>
          <w:szCs w:val="23"/>
          <w:lang w:val="es-ES" w:eastAsia="es-ES"/>
        </w:rPr>
        <w:t xml:space="preserve">, </w:t>
      </w:r>
      <w:r>
        <w:rPr>
          <w:rFonts w:ascii="Verdana" w:hAnsi="Verdana" w:cs="Verdana"/>
          <w:spacing w:val="-3"/>
          <w:sz w:val="23"/>
          <w:szCs w:val="23"/>
          <w:lang w:val="es-ES" w:eastAsia="es-ES"/>
        </w:rPr>
        <w:t xml:space="preserve">contra el </w:t>
      </w:r>
      <w:r>
        <w:rPr>
          <w:rFonts w:ascii="Verdana" w:hAnsi="Verdana" w:cs="Verdana"/>
          <w:b/>
          <w:bCs/>
          <w:spacing w:val="-3"/>
          <w:sz w:val="23"/>
          <w:szCs w:val="23"/>
          <w:lang w:val="es-ES" w:eastAsia="es-ES"/>
        </w:rPr>
        <w:t>Artículo 7.1.17 de la Sesión Ordinaria 4</w:t>
      </w:r>
      <w:r>
        <w:rPr>
          <w:rFonts w:ascii="Verdana" w:hAnsi="Verdana" w:cs="Verdana"/>
          <w:b/>
          <w:bCs/>
          <w:spacing w:val="-3"/>
          <w:sz w:val="23"/>
          <w:szCs w:val="23"/>
          <w:lang w:val="es-ES" w:eastAsia="es-ES"/>
        </w:rPr>
        <w:t xml:space="preserve">9-2015 del 20 de agosto de 2015, </w:t>
      </w:r>
      <w:r>
        <w:rPr>
          <w:rFonts w:ascii="Verdana" w:hAnsi="Verdana" w:cs="Verdana"/>
          <w:spacing w:val="-3"/>
          <w:sz w:val="23"/>
          <w:szCs w:val="23"/>
          <w:lang w:val="es-ES" w:eastAsia="es-ES"/>
        </w:rPr>
        <w:t>dictado por la JUNTA DIRECTIVA DEL CONSEJO DE TRANSPORTE PÚBLICO.</w:t>
      </w:r>
    </w:p>
    <w:p w:rsidR="00000000" w:rsidRPr="003414A2" w:rsidRDefault="003773B7" w:rsidP="003414A2">
      <w:pPr>
        <w:numPr>
          <w:ilvl w:val="0"/>
          <w:numId w:val="28"/>
        </w:numPr>
        <w:kinsoku w:val="0"/>
        <w:overflowPunct w:val="0"/>
        <w:autoSpaceDE/>
        <w:autoSpaceDN/>
        <w:adjustRightInd/>
        <w:spacing w:before="264" w:after="307" w:line="312" w:lineRule="exact"/>
        <w:ind w:right="720"/>
        <w:jc w:val="both"/>
        <w:textAlignment w:val="baseline"/>
        <w:rPr>
          <w:sz w:val="24"/>
          <w:szCs w:val="24"/>
        </w:rPr>
      </w:pPr>
      <w:r>
        <w:rPr>
          <w:rFonts w:ascii="Verdana" w:hAnsi="Verdana" w:cs="Verdana"/>
          <w:sz w:val="23"/>
          <w:szCs w:val="23"/>
          <w:lang w:val="es-ES" w:eastAsia="es-ES"/>
        </w:rPr>
        <w:t xml:space="preserve">De conformidad con el artículo 22, inciso c), de la citada Ley 7969, la presente resolución no tiene ulterior recurso por lo que, </w:t>
      </w:r>
      <w:r>
        <w:rPr>
          <w:rFonts w:ascii="Verdana" w:hAnsi="Verdana" w:cs="Verdana"/>
          <w:b/>
          <w:bCs/>
          <w:sz w:val="23"/>
          <w:szCs w:val="23"/>
          <w:lang w:val="es-ES" w:eastAsia="es-ES"/>
        </w:rPr>
        <w:t xml:space="preserve">se </w:t>
      </w:r>
      <w:r>
        <w:rPr>
          <w:rFonts w:ascii="Verdana" w:hAnsi="Verdana" w:cs="Verdana"/>
          <w:i/>
          <w:iCs/>
          <w:sz w:val="23"/>
          <w:szCs w:val="23"/>
          <w:lang w:val="es-ES" w:eastAsia="es-ES"/>
        </w:rPr>
        <w:t xml:space="preserve">tiene por agotada la vía administrativa. </w:t>
      </w:r>
      <w:r>
        <w:rPr>
          <w:rFonts w:ascii="Verdana" w:hAnsi="Verdana" w:cs="Verdana"/>
          <w:b/>
          <w:bCs/>
          <w:sz w:val="23"/>
          <w:szCs w:val="23"/>
          <w:lang w:val="es-ES" w:eastAsia="es-ES"/>
        </w:rPr>
        <w:t xml:space="preserve">NOTIFIQUESE. </w:t>
      </w:r>
      <w:r w:rsidR="003414A2">
        <w:rPr>
          <w:rFonts w:ascii="Verdana" w:hAnsi="Verdana" w:cs="Verdana"/>
          <w:b/>
          <w:bCs/>
          <w:sz w:val="23"/>
          <w:szCs w:val="23"/>
          <w:lang w:val="es-ES" w:eastAsia="es-ES"/>
        </w:rPr>
        <w:t>–</w:t>
      </w:r>
    </w:p>
    <w:p w:rsidR="003414A2" w:rsidRDefault="003414A2" w:rsidP="003414A2">
      <w:pPr>
        <w:kinsoku w:val="0"/>
        <w:overflowPunct w:val="0"/>
        <w:autoSpaceDE/>
        <w:autoSpaceDN/>
        <w:adjustRightInd/>
        <w:spacing w:after="374" w:line="320" w:lineRule="exact"/>
        <w:ind w:right="72"/>
        <w:jc w:val="center"/>
        <w:textAlignment w:val="baseline"/>
        <w:rPr>
          <w:rStyle w:val="CharacterStyle1"/>
          <w:i/>
          <w:iCs/>
          <w:spacing w:val="5"/>
          <w:sz w:val="26"/>
          <w:szCs w:val="26"/>
        </w:rPr>
      </w:pPr>
      <w:bookmarkStart w:id="1" w:name="_Hlk484510921"/>
    </w:p>
    <w:p w:rsidR="003414A2" w:rsidRPr="00CF40A0" w:rsidRDefault="003414A2" w:rsidP="003414A2">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3414A2" w:rsidRDefault="003414A2" w:rsidP="003414A2">
      <w:pPr>
        <w:pStyle w:val="Style1"/>
        <w:kinsoku w:val="0"/>
        <w:overflowPunct w:val="0"/>
        <w:autoSpaceDE/>
        <w:autoSpaceDN/>
        <w:adjustRightInd/>
        <w:spacing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3414A2" w:rsidRPr="00FC408E" w:rsidRDefault="003414A2" w:rsidP="003414A2">
      <w:pPr>
        <w:kinsoku w:val="0"/>
        <w:overflowPunct w:val="0"/>
        <w:autoSpaceDE/>
        <w:autoSpaceDN/>
        <w:adjustRightInd/>
        <w:spacing w:before="313" w:after="358" w:line="294" w:lineRule="exact"/>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bookmarkEnd w:id="1"/>
    </w:p>
    <w:p w:rsidR="003414A2" w:rsidRDefault="003414A2" w:rsidP="003414A2">
      <w:pPr>
        <w:kinsoku w:val="0"/>
        <w:overflowPunct w:val="0"/>
        <w:autoSpaceDE/>
        <w:autoSpaceDN/>
        <w:adjustRightInd/>
        <w:spacing w:before="264" w:after="307" w:line="312" w:lineRule="exact"/>
        <w:ind w:right="720"/>
        <w:jc w:val="both"/>
        <w:textAlignment w:val="baseline"/>
        <w:rPr>
          <w:rFonts w:ascii="Verdana" w:hAnsi="Verdana" w:cs="Verdana"/>
          <w:b/>
          <w:bCs/>
          <w:sz w:val="23"/>
          <w:szCs w:val="23"/>
          <w:lang w:val="es-ES" w:eastAsia="es-ES"/>
        </w:rPr>
      </w:pPr>
    </w:p>
    <w:p w:rsidR="003414A2" w:rsidRPr="003414A2" w:rsidRDefault="003414A2" w:rsidP="003414A2">
      <w:pPr>
        <w:kinsoku w:val="0"/>
        <w:overflowPunct w:val="0"/>
        <w:autoSpaceDE/>
        <w:autoSpaceDN/>
        <w:adjustRightInd/>
        <w:spacing w:before="264" w:after="307" w:line="312" w:lineRule="exact"/>
        <w:ind w:right="720"/>
        <w:jc w:val="both"/>
        <w:textAlignment w:val="baseline"/>
        <w:rPr>
          <w:sz w:val="24"/>
          <w:szCs w:val="24"/>
        </w:rPr>
      </w:pPr>
    </w:p>
    <w:p w:rsidR="003414A2" w:rsidRDefault="003414A2" w:rsidP="003414A2">
      <w:pPr>
        <w:numPr>
          <w:ilvl w:val="0"/>
          <w:numId w:val="28"/>
        </w:numPr>
        <w:kinsoku w:val="0"/>
        <w:overflowPunct w:val="0"/>
        <w:autoSpaceDE/>
        <w:autoSpaceDN/>
        <w:adjustRightInd/>
        <w:spacing w:before="264" w:after="307" w:line="312" w:lineRule="exact"/>
        <w:ind w:right="720"/>
        <w:jc w:val="both"/>
        <w:textAlignment w:val="baseline"/>
        <w:rPr>
          <w:sz w:val="24"/>
          <w:szCs w:val="24"/>
        </w:rPr>
        <w:sectPr w:rsidR="003414A2">
          <w:type w:val="continuous"/>
          <w:pgSz w:w="12293" w:h="15802"/>
          <w:pgMar w:top="2360" w:right="1263" w:bottom="151" w:left="1670" w:header="720" w:footer="720" w:gutter="0"/>
          <w:cols w:space="720"/>
          <w:noEndnote/>
        </w:sectPr>
      </w:pPr>
    </w:p>
    <w:p w:rsidR="003773B7" w:rsidRDefault="003773B7" w:rsidP="003414A2">
      <w:pPr>
        <w:tabs>
          <w:tab w:val="right" w:pos="3096"/>
        </w:tabs>
        <w:kinsoku w:val="0"/>
        <w:overflowPunct w:val="0"/>
        <w:autoSpaceDE/>
        <w:autoSpaceDN/>
        <w:adjustRightInd/>
        <w:spacing w:line="254" w:lineRule="exact"/>
        <w:textAlignment w:val="baseline"/>
        <w:rPr>
          <w:rFonts w:ascii="Verdana" w:hAnsi="Verdana" w:cs="Verdana"/>
          <w:sz w:val="23"/>
          <w:szCs w:val="23"/>
          <w:lang w:val="es-ES" w:eastAsia="es-ES"/>
        </w:rPr>
      </w:pPr>
    </w:p>
    <w:sectPr w:rsidR="003773B7">
      <w:type w:val="continuous"/>
      <w:pgSz w:w="12293" w:h="15802"/>
      <w:pgMar w:top="2360" w:right="1819" w:bottom="151" w:left="72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A729"/>
    <w:multiLevelType w:val="singleLevel"/>
    <w:tmpl w:val="65796277"/>
    <w:lvl w:ilvl="0">
      <w:start w:val="1"/>
      <w:numFmt w:val="decimal"/>
      <w:lvlText w:val="%1.-"/>
      <w:lvlJc w:val="left"/>
      <w:pPr>
        <w:tabs>
          <w:tab w:val="num" w:pos="720"/>
        </w:tabs>
        <w:ind w:left="72"/>
      </w:pPr>
      <w:rPr>
        <w:rFonts w:ascii="Verdana" w:hAnsi="Verdana" w:cs="Verdana"/>
        <w:b/>
        <w:bCs/>
        <w:snapToGrid/>
        <w:spacing w:val="2"/>
        <w:sz w:val="23"/>
        <w:szCs w:val="23"/>
      </w:rPr>
    </w:lvl>
  </w:abstractNum>
  <w:abstractNum w:abstractNumId="1" w15:restartNumberingAfterBreak="0">
    <w:nsid w:val="00A212E2"/>
    <w:multiLevelType w:val="singleLevel"/>
    <w:tmpl w:val="0BF56F55"/>
    <w:lvl w:ilvl="0">
      <w:start w:val="16"/>
      <w:numFmt w:val="lowerLetter"/>
      <w:lvlText w:val="%1)."/>
      <w:lvlJc w:val="left"/>
      <w:pPr>
        <w:tabs>
          <w:tab w:val="num" w:pos="576"/>
        </w:tabs>
        <w:ind w:left="144"/>
      </w:pPr>
      <w:rPr>
        <w:rFonts w:ascii="Verdana" w:hAnsi="Verdana" w:cs="Verdana"/>
        <w:snapToGrid/>
        <w:sz w:val="23"/>
        <w:szCs w:val="23"/>
      </w:rPr>
    </w:lvl>
  </w:abstractNum>
  <w:abstractNum w:abstractNumId="2" w15:restartNumberingAfterBreak="0">
    <w:nsid w:val="00B8A8E3"/>
    <w:multiLevelType w:val="singleLevel"/>
    <w:tmpl w:val="1CF08B1C"/>
    <w:lvl w:ilvl="0">
      <w:start w:val="2"/>
      <w:numFmt w:val="decimal"/>
      <w:lvlText w:val="%1."/>
      <w:lvlJc w:val="left"/>
      <w:pPr>
        <w:tabs>
          <w:tab w:val="num" w:pos="288"/>
        </w:tabs>
        <w:ind w:left="72"/>
      </w:pPr>
      <w:rPr>
        <w:rFonts w:ascii="Verdana" w:hAnsi="Verdana" w:cs="Verdana"/>
        <w:b/>
        <w:snapToGrid/>
        <w:spacing w:val="1"/>
        <w:sz w:val="17"/>
        <w:szCs w:val="17"/>
      </w:rPr>
    </w:lvl>
  </w:abstractNum>
  <w:abstractNum w:abstractNumId="3" w15:restartNumberingAfterBreak="0">
    <w:nsid w:val="00DA0577"/>
    <w:multiLevelType w:val="singleLevel"/>
    <w:tmpl w:val="29A85C76"/>
    <w:lvl w:ilvl="0">
      <w:start w:val="1"/>
      <w:numFmt w:val="lowerLetter"/>
      <w:lvlText w:val="%1)"/>
      <w:lvlJc w:val="left"/>
      <w:pPr>
        <w:tabs>
          <w:tab w:val="num" w:pos="360"/>
        </w:tabs>
        <w:ind w:left="72"/>
      </w:pPr>
      <w:rPr>
        <w:rFonts w:ascii="Verdana" w:hAnsi="Verdana" w:cs="Verdana"/>
        <w:b/>
        <w:snapToGrid/>
        <w:sz w:val="17"/>
        <w:szCs w:val="17"/>
      </w:rPr>
    </w:lvl>
  </w:abstractNum>
  <w:abstractNum w:abstractNumId="4" w15:restartNumberingAfterBreak="0">
    <w:nsid w:val="01060648"/>
    <w:multiLevelType w:val="singleLevel"/>
    <w:tmpl w:val="40CE8E5A"/>
    <w:lvl w:ilvl="0">
      <w:start w:val="6"/>
      <w:numFmt w:val="decimal"/>
      <w:lvlText w:val="%1."/>
      <w:lvlJc w:val="left"/>
      <w:pPr>
        <w:tabs>
          <w:tab w:val="num" w:pos="864"/>
        </w:tabs>
        <w:ind w:left="576"/>
      </w:pPr>
      <w:rPr>
        <w:rFonts w:ascii="Tahoma" w:hAnsi="Tahoma" w:cs="Tahoma"/>
        <w:b/>
        <w:snapToGrid/>
        <w:sz w:val="18"/>
        <w:szCs w:val="18"/>
      </w:rPr>
    </w:lvl>
  </w:abstractNum>
  <w:abstractNum w:abstractNumId="5" w15:restartNumberingAfterBreak="0">
    <w:nsid w:val="01BF195A"/>
    <w:multiLevelType w:val="singleLevel"/>
    <w:tmpl w:val="18E398B1"/>
    <w:lvl w:ilvl="0">
      <w:start w:val="6"/>
      <w:numFmt w:val="lowerLetter"/>
      <w:lvlText w:val="%1)."/>
      <w:lvlJc w:val="left"/>
      <w:pPr>
        <w:tabs>
          <w:tab w:val="num" w:pos="504"/>
        </w:tabs>
        <w:ind w:left="144"/>
      </w:pPr>
      <w:rPr>
        <w:rFonts w:ascii="Verdana" w:hAnsi="Verdana" w:cs="Verdana"/>
        <w:snapToGrid/>
        <w:sz w:val="23"/>
        <w:szCs w:val="23"/>
      </w:rPr>
    </w:lvl>
  </w:abstractNum>
  <w:abstractNum w:abstractNumId="6" w15:restartNumberingAfterBreak="0">
    <w:nsid w:val="02C9344E"/>
    <w:multiLevelType w:val="singleLevel"/>
    <w:tmpl w:val="0903D046"/>
    <w:lvl w:ilvl="0">
      <w:start w:val="10"/>
      <w:numFmt w:val="lowerLetter"/>
      <w:lvlText w:val="%1).-"/>
      <w:lvlJc w:val="left"/>
      <w:pPr>
        <w:tabs>
          <w:tab w:val="num" w:pos="576"/>
        </w:tabs>
        <w:ind w:left="144"/>
      </w:pPr>
      <w:rPr>
        <w:rFonts w:ascii="Verdana" w:hAnsi="Verdana" w:cs="Verdana"/>
        <w:snapToGrid/>
        <w:sz w:val="23"/>
        <w:szCs w:val="23"/>
      </w:rPr>
    </w:lvl>
  </w:abstractNum>
  <w:abstractNum w:abstractNumId="7" w15:restartNumberingAfterBreak="0">
    <w:nsid w:val="02D5DB53"/>
    <w:multiLevelType w:val="singleLevel"/>
    <w:tmpl w:val="77D309CA"/>
    <w:lvl w:ilvl="0">
      <w:start w:val="1"/>
      <w:numFmt w:val="decimal"/>
      <w:lvlText w:val="%1."/>
      <w:lvlJc w:val="left"/>
      <w:pPr>
        <w:tabs>
          <w:tab w:val="num" w:pos="864"/>
        </w:tabs>
        <w:ind w:left="576"/>
      </w:pPr>
      <w:rPr>
        <w:rFonts w:ascii="Tahoma" w:hAnsi="Tahoma" w:cs="Tahoma"/>
        <w:snapToGrid/>
        <w:spacing w:val="9"/>
        <w:sz w:val="18"/>
        <w:szCs w:val="18"/>
      </w:rPr>
    </w:lvl>
  </w:abstractNum>
  <w:abstractNum w:abstractNumId="8" w15:restartNumberingAfterBreak="0">
    <w:nsid w:val="03C60656"/>
    <w:multiLevelType w:val="singleLevel"/>
    <w:tmpl w:val="667E81E3"/>
    <w:lvl w:ilvl="0">
      <w:start w:val="4"/>
      <w:numFmt w:val="decimal"/>
      <w:lvlText w:val="%1.-"/>
      <w:lvlJc w:val="left"/>
      <w:pPr>
        <w:tabs>
          <w:tab w:val="num" w:pos="792"/>
        </w:tabs>
        <w:ind w:left="72"/>
      </w:pPr>
      <w:rPr>
        <w:rFonts w:ascii="Verdana" w:hAnsi="Verdana" w:cs="Verdana"/>
        <w:b/>
        <w:bCs/>
        <w:snapToGrid/>
        <w:spacing w:val="-6"/>
        <w:sz w:val="24"/>
        <w:szCs w:val="24"/>
      </w:rPr>
    </w:lvl>
  </w:abstractNum>
  <w:abstractNum w:abstractNumId="9" w15:restartNumberingAfterBreak="0">
    <w:nsid w:val="0464F5B8"/>
    <w:multiLevelType w:val="singleLevel"/>
    <w:tmpl w:val="73CC3E07"/>
    <w:lvl w:ilvl="0">
      <w:start w:val="1"/>
      <w:numFmt w:val="lowerLetter"/>
      <w:lvlText w:val="%1)"/>
      <w:lvlJc w:val="left"/>
      <w:pPr>
        <w:tabs>
          <w:tab w:val="num" w:pos="1296"/>
        </w:tabs>
        <w:ind w:left="648" w:firstLine="360"/>
      </w:pPr>
      <w:rPr>
        <w:rFonts w:ascii="Verdana" w:hAnsi="Verdana" w:cs="Verdana"/>
        <w:i/>
        <w:iCs/>
        <w:snapToGrid/>
        <w:sz w:val="22"/>
        <w:szCs w:val="22"/>
      </w:rPr>
    </w:lvl>
  </w:abstractNum>
  <w:abstractNum w:abstractNumId="10" w15:restartNumberingAfterBreak="0">
    <w:nsid w:val="048C9F1F"/>
    <w:multiLevelType w:val="singleLevel"/>
    <w:tmpl w:val="7F72D8CE"/>
    <w:lvl w:ilvl="0">
      <w:start w:val="3"/>
      <w:numFmt w:val="upperLetter"/>
      <w:lvlText w:val="%1)."/>
      <w:lvlJc w:val="left"/>
      <w:pPr>
        <w:tabs>
          <w:tab w:val="num" w:pos="504"/>
        </w:tabs>
        <w:ind w:left="72"/>
      </w:pPr>
      <w:rPr>
        <w:rFonts w:ascii="Verdana" w:hAnsi="Verdana" w:cs="Verdana"/>
        <w:b/>
        <w:snapToGrid/>
        <w:sz w:val="24"/>
        <w:szCs w:val="24"/>
      </w:rPr>
    </w:lvl>
  </w:abstractNum>
  <w:abstractNum w:abstractNumId="11" w15:restartNumberingAfterBreak="0">
    <w:nsid w:val="04C48B0F"/>
    <w:multiLevelType w:val="singleLevel"/>
    <w:tmpl w:val="13906C63"/>
    <w:lvl w:ilvl="0">
      <w:start w:val="1"/>
      <w:numFmt w:val="lowerLetter"/>
      <w:lvlText w:val="%1)."/>
      <w:lvlJc w:val="left"/>
      <w:pPr>
        <w:tabs>
          <w:tab w:val="num" w:pos="504"/>
        </w:tabs>
        <w:ind w:left="144"/>
      </w:pPr>
      <w:rPr>
        <w:rFonts w:ascii="Verdana" w:hAnsi="Verdana" w:cs="Verdana"/>
        <w:snapToGrid/>
        <w:sz w:val="23"/>
        <w:szCs w:val="23"/>
      </w:rPr>
    </w:lvl>
  </w:abstractNum>
  <w:abstractNum w:abstractNumId="12" w15:restartNumberingAfterBreak="0">
    <w:nsid w:val="052A2F74"/>
    <w:multiLevelType w:val="singleLevel"/>
    <w:tmpl w:val="3118F483"/>
    <w:lvl w:ilvl="0">
      <w:start w:val="4"/>
      <w:numFmt w:val="lowerLetter"/>
      <w:lvlText w:val="%1)"/>
      <w:lvlJc w:val="left"/>
      <w:pPr>
        <w:tabs>
          <w:tab w:val="num" w:pos="288"/>
        </w:tabs>
      </w:pPr>
      <w:rPr>
        <w:rFonts w:ascii="Verdana" w:hAnsi="Verdana" w:cs="Verdana"/>
        <w:snapToGrid/>
        <w:sz w:val="17"/>
        <w:szCs w:val="17"/>
      </w:rPr>
    </w:lvl>
  </w:abstractNum>
  <w:abstractNum w:abstractNumId="13" w15:restartNumberingAfterBreak="0">
    <w:nsid w:val="053DDEC8"/>
    <w:multiLevelType w:val="singleLevel"/>
    <w:tmpl w:val="70724704"/>
    <w:lvl w:ilvl="0">
      <w:start w:val="7"/>
      <w:numFmt w:val="upperLetter"/>
      <w:lvlText w:val="%1).-"/>
      <w:lvlJc w:val="left"/>
      <w:pPr>
        <w:tabs>
          <w:tab w:val="num" w:pos="792"/>
        </w:tabs>
        <w:ind w:left="72"/>
      </w:pPr>
      <w:rPr>
        <w:rFonts w:ascii="Verdana" w:hAnsi="Verdana" w:cs="Verdana"/>
        <w:b/>
        <w:snapToGrid/>
        <w:spacing w:val="6"/>
        <w:sz w:val="24"/>
        <w:szCs w:val="24"/>
      </w:rPr>
    </w:lvl>
  </w:abstractNum>
  <w:abstractNum w:abstractNumId="14" w15:restartNumberingAfterBreak="0">
    <w:nsid w:val="069B0A22"/>
    <w:multiLevelType w:val="singleLevel"/>
    <w:tmpl w:val="7A84C898"/>
    <w:lvl w:ilvl="0">
      <w:start w:val="1"/>
      <w:numFmt w:val="lowerLetter"/>
      <w:lvlText w:val="%1)"/>
      <w:lvlJc w:val="left"/>
      <w:pPr>
        <w:tabs>
          <w:tab w:val="num" w:pos="936"/>
        </w:tabs>
        <w:ind w:left="504"/>
      </w:pPr>
      <w:rPr>
        <w:rFonts w:ascii="Verdana" w:hAnsi="Verdana" w:cs="Verdana"/>
        <w:snapToGrid/>
        <w:spacing w:val="3"/>
        <w:sz w:val="17"/>
        <w:szCs w:val="17"/>
      </w:rPr>
    </w:lvl>
  </w:abstractNum>
  <w:abstractNum w:abstractNumId="15" w15:restartNumberingAfterBreak="0">
    <w:nsid w:val="06EAB1B2"/>
    <w:multiLevelType w:val="singleLevel"/>
    <w:tmpl w:val="9618AE18"/>
    <w:lvl w:ilvl="0">
      <w:start w:val="1"/>
      <w:numFmt w:val="lowerLetter"/>
      <w:lvlText w:val="%1)"/>
      <w:lvlJc w:val="left"/>
      <w:pPr>
        <w:tabs>
          <w:tab w:val="num" w:pos="360"/>
        </w:tabs>
        <w:ind w:left="72"/>
      </w:pPr>
      <w:rPr>
        <w:rFonts w:ascii="Verdana" w:hAnsi="Verdana" w:cs="Verdana"/>
        <w:b/>
        <w:snapToGrid/>
        <w:sz w:val="17"/>
        <w:szCs w:val="17"/>
      </w:rPr>
    </w:lvl>
  </w:abstractNum>
  <w:abstractNum w:abstractNumId="16" w15:restartNumberingAfterBreak="0">
    <w:nsid w:val="07167AB7"/>
    <w:multiLevelType w:val="singleLevel"/>
    <w:tmpl w:val="4E2089EA"/>
    <w:lvl w:ilvl="0">
      <w:start w:val="1"/>
      <w:numFmt w:val="upperRoman"/>
      <w:lvlText w:val="%1.-"/>
      <w:lvlJc w:val="left"/>
      <w:pPr>
        <w:tabs>
          <w:tab w:val="num" w:pos="720"/>
        </w:tabs>
      </w:pPr>
      <w:rPr>
        <w:rFonts w:ascii="Verdana" w:hAnsi="Verdana" w:cs="Verdana"/>
        <w:b/>
        <w:snapToGrid/>
        <w:spacing w:val="-3"/>
        <w:sz w:val="23"/>
        <w:szCs w:val="23"/>
      </w:rPr>
    </w:lvl>
  </w:abstractNum>
  <w:abstractNum w:abstractNumId="17" w15:restartNumberingAfterBreak="0">
    <w:nsid w:val="074C6B22"/>
    <w:multiLevelType w:val="singleLevel"/>
    <w:tmpl w:val="39FE5818"/>
    <w:lvl w:ilvl="0">
      <w:start w:val="6"/>
      <w:numFmt w:val="lowerLetter"/>
      <w:lvlText w:val="%1)"/>
      <w:lvlJc w:val="left"/>
      <w:pPr>
        <w:tabs>
          <w:tab w:val="num" w:pos="648"/>
        </w:tabs>
        <w:ind w:left="360"/>
      </w:pPr>
      <w:rPr>
        <w:rFonts w:ascii="Verdana" w:hAnsi="Verdana" w:cs="Verdana"/>
        <w:b/>
        <w:snapToGrid/>
        <w:sz w:val="18"/>
        <w:szCs w:val="18"/>
      </w:rPr>
    </w:lvl>
  </w:abstractNum>
  <w:abstractNum w:abstractNumId="18" w15:restartNumberingAfterBreak="0">
    <w:nsid w:val="07656916"/>
    <w:multiLevelType w:val="singleLevel"/>
    <w:tmpl w:val="3862F5D2"/>
    <w:lvl w:ilvl="0">
      <w:start w:val="3"/>
      <w:numFmt w:val="lowerLetter"/>
      <w:lvlText w:val="%1).-"/>
      <w:lvlJc w:val="left"/>
      <w:pPr>
        <w:tabs>
          <w:tab w:val="num" w:pos="648"/>
        </w:tabs>
        <w:ind w:left="144"/>
      </w:pPr>
      <w:rPr>
        <w:rFonts w:ascii="Verdana" w:hAnsi="Verdana" w:cs="Verdana"/>
        <w:snapToGrid/>
        <w:spacing w:val="-1"/>
        <w:sz w:val="23"/>
        <w:szCs w:val="23"/>
      </w:rPr>
    </w:lvl>
  </w:abstractNum>
  <w:num w:numId="1">
    <w:abstractNumId w:val="11"/>
  </w:num>
  <w:num w:numId="2">
    <w:abstractNumId w:val="18"/>
  </w:num>
  <w:num w:numId="3">
    <w:abstractNumId w:val="18"/>
    <w:lvlOverride w:ilvl="0">
      <w:lvl w:ilvl="0">
        <w:numFmt w:val="lowerLetter"/>
        <w:lvlText w:val="%1).-"/>
        <w:lvlJc w:val="left"/>
        <w:pPr>
          <w:tabs>
            <w:tab w:val="num" w:pos="864"/>
          </w:tabs>
          <w:ind w:left="144"/>
        </w:pPr>
        <w:rPr>
          <w:rFonts w:ascii="Verdana" w:hAnsi="Verdana" w:cs="Verdana"/>
          <w:snapToGrid/>
          <w:sz w:val="23"/>
          <w:szCs w:val="23"/>
        </w:rPr>
      </w:lvl>
    </w:lvlOverride>
  </w:num>
  <w:num w:numId="4">
    <w:abstractNumId w:val="5"/>
  </w:num>
  <w:num w:numId="5">
    <w:abstractNumId w:val="5"/>
    <w:lvlOverride w:ilvl="0">
      <w:lvl w:ilvl="0">
        <w:numFmt w:val="lowerLetter"/>
        <w:lvlText w:val="%1)."/>
        <w:lvlJc w:val="left"/>
        <w:pPr>
          <w:tabs>
            <w:tab w:val="num" w:pos="648"/>
          </w:tabs>
          <w:ind w:left="144"/>
        </w:pPr>
        <w:rPr>
          <w:rFonts w:ascii="Verdana" w:hAnsi="Verdana" w:cs="Verdana"/>
          <w:snapToGrid/>
          <w:sz w:val="23"/>
          <w:szCs w:val="23"/>
        </w:rPr>
      </w:lvl>
    </w:lvlOverride>
  </w:num>
  <w:num w:numId="6">
    <w:abstractNumId w:val="6"/>
  </w:num>
  <w:num w:numId="7">
    <w:abstractNumId w:val="6"/>
    <w:lvlOverride w:ilvl="0">
      <w:lvl w:ilvl="0">
        <w:numFmt w:val="lowerLetter"/>
        <w:lvlText w:val="%1).-"/>
        <w:lvlJc w:val="left"/>
        <w:pPr>
          <w:tabs>
            <w:tab w:val="num" w:pos="792"/>
          </w:tabs>
          <w:ind w:left="144"/>
        </w:pPr>
        <w:rPr>
          <w:rFonts w:ascii="Verdana" w:hAnsi="Verdana" w:cs="Verdana"/>
          <w:snapToGrid/>
          <w:spacing w:val="-3"/>
          <w:sz w:val="23"/>
          <w:szCs w:val="23"/>
        </w:rPr>
      </w:lvl>
    </w:lvlOverride>
  </w:num>
  <w:num w:numId="8">
    <w:abstractNumId w:val="1"/>
  </w:num>
  <w:num w:numId="9">
    <w:abstractNumId w:val="2"/>
  </w:num>
  <w:num w:numId="10">
    <w:abstractNumId w:val="4"/>
  </w:num>
  <w:num w:numId="11">
    <w:abstractNumId w:val="4"/>
    <w:lvlOverride w:ilvl="0">
      <w:lvl w:ilvl="0">
        <w:numFmt w:val="decimal"/>
        <w:lvlText w:val="%1."/>
        <w:lvlJc w:val="left"/>
        <w:pPr>
          <w:tabs>
            <w:tab w:val="num" w:pos="864"/>
          </w:tabs>
          <w:ind w:left="576"/>
        </w:pPr>
        <w:rPr>
          <w:rFonts w:ascii="Tahoma" w:hAnsi="Tahoma" w:cs="Tahoma"/>
          <w:b/>
          <w:bCs/>
          <w:snapToGrid/>
          <w:spacing w:val="6"/>
          <w:sz w:val="18"/>
          <w:szCs w:val="18"/>
        </w:rPr>
      </w:lvl>
    </w:lvlOverride>
  </w:num>
  <w:num w:numId="12">
    <w:abstractNumId w:val="7"/>
  </w:num>
  <w:num w:numId="13">
    <w:abstractNumId w:val="7"/>
    <w:lvlOverride w:ilvl="0">
      <w:lvl w:ilvl="0">
        <w:numFmt w:val="decimal"/>
        <w:lvlText w:val="%1."/>
        <w:lvlJc w:val="left"/>
        <w:pPr>
          <w:tabs>
            <w:tab w:val="num" w:pos="864"/>
          </w:tabs>
          <w:ind w:left="576"/>
        </w:pPr>
        <w:rPr>
          <w:rFonts w:ascii="Tahoma" w:hAnsi="Tahoma" w:cs="Tahoma"/>
          <w:b/>
          <w:bCs/>
          <w:snapToGrid/>
          <w:spacing w:val="9"/>
          <w:sz w:val="18"/>
          <w:szCs w:val="18"/>
        </w:rPr>
      </w:lvl>
    </w:lvlOverride>
  </w:num>
  <w:num w:numId="14">
    <w:abstractNumId w:val="0"/>
  </w:num>
  <w:num w:numId="15">
    <w:abstractNumId w:val="10"/>
  </w:num>
  <w:num w:numId="16">
    <w:abstractNumId w:val="10"/>
    <w:lvlOverride w:ilvl="0">
      <w:lvl w:ilvl="0">
        <w:numFmt w:val="upperLetter"/>
        <w:lvlText w:val="%1)."/>
        <w:lvlJc w:val="left"/>
        <w:pPr>
          <w:tabs>
            <w:tab w:val="num" w:pos="504"/>
          </w:tabs>
          <w:ind w:left="72"/>
        </w:pPr>
        <w:rPr>
          <w:rFonts w:ascii="Verdana" w:hAnsi="Verdana" w:cs="Verdana"/>
          <w:b/>
          <w:bCs/>
          <w:snapToGrid/>
          <w:sz w:val="24"/>
          <w:szCs w:val="24"/>
        </w:rPr>
      </w:lvl>
    </w:lvlOverride>
  </w:num>
  <w:num w:numId="17">
    <w:abstractNumId w:val="13"/>
  </w:num>
  <w:num w:numId="18">
    <w:abstractNumId w:val="8"/>
  </w:num>
  <w:num w:numId="19">
    <w:abstractNumId w:val="9"/>
  </w:num>
  <w:num w:numId="20">
    <w:abstractNumId w:val="9"/>
    <w:lvlOverride w:ilvl="0">
      <w:lvl w:ilvl="0">
        <w:numFmt w:val="lowerLetter"/>
        <w:lvlText w:val="%1)"/>
        <w:lvlJc w:val="left"/>
        <w:pPr>
          <w:tabs>
            <w:tab w:val="num" w:pos="1296"/>
          </w:tabs>
          <w:ind w:left="648" w:firstLine="360"/>
        </w:pPr>
        <w:rPr>
          <w:rFonts w:ascii="Verdana" w:hAnsi="Verdana" w:cs="Verdana"/>
          <w:i/>
          <w:iCs/>
          <w:snapToGrid/>
          <w:sz w:val="22"/>
          <w:szCs w:val="22"/>
          <w:u w:val="single"/>
        </w:rPr>
      </w:lvl>
    </w:lvlOverride>
  </w:num>
  <w:num w:numId="21">
    <w:abstractNumId w:val="14"/>
  </w:num>
  <w:num w:numId="22">
    <w:abstractNumId w:val="14"/>
    <w:lvlOverride w:ilvl="0">
      <w:lvl w:ilvl="0">
        <w:numFmt w:val="lowerLetter"/>
        <w:lvlText w:val="%1)"/>
        <w:lvlJc w:val="left"/>
        <w:pPr>
          <w:tabs>
            <w:tab w:val="num" w:pos="720"/>
          </w:tabs>
          <w:ind w:left="504"/>
        </w:pPr>
        <w:rPr>
          <w:rFonts w:ascii="Verdana" w:hAnsi="Verdana" w:cs="Verdana"/>
          <w:snapToGrid/>
          <w:spacing w:val="2"/>
          <w:sz w:val="17"/>
          <w:szCs w:val="17"/>
        </w:rPr>
      </w:lvl>
    </w:lvlOverride>
  </w:num>
  <w:num w:numId="23">
    <w:abstractNumId w:val="12"/>
  </w:num>
  <w:num w:numId="24">
    <w:abstractNumId w:val="3"/>
  </w:num>
  <w:num w:numId="25">
    <w:abstractNumId w:val="15"/>
  </w:num>
  <w:num w:numId="26">
    <w:abstractNumId w:val="17"/>
  </w:num>
  <w:num w:numId="27">
    <w:abstractNumId w:val="16"/>
  </w:num>
  <w:num w:numId="28">
    <w:abstractNumId w:val="16"/>
    <w:lvlOverride w:ilvl="0">
      <w:lvl w:ilvl="0">
        <w:numFmt w:val="upperRoman"/>
        <w:lvlText w:val="%1.-"/>
        <w:lvlJc w:val="left"/>
        <w:pPr>
          <w:tabs>
            <w:tab w:val="num" w:pos="504"/>
          </w:tabs>
        </w:pPr>
        <w:rPr>
          <w:rFonts w:ascii="Verdana" w:hAnsi="Verdana" w:cs="Verdana"/>
          <w:b/>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A58"/>
    <w:rsid w:val="002F2A58"/>
    <w:rsid w:val="003414A2"/>
    <w:rsid w:val="003773B7"/>
    <w:rsid w:val="003853B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AA8F7"/>
  <w14:defaultImageDpi w14:val="0"/>
  <w15:docId w15:val="{CB198469-3326-4BF8-82AB-8FA5E2E6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853B7"/>
    <w:rPr>
      <w:color w:val="0563C1" w:themeColor="hyperlink"/>
      <w:u w:val="single"/>
    </w:rPr>
  </w:style>
  <w:style w:type="character" w:styleId="Mencionar">
    <w:name w:val="Mention"/>
    <w:basedOn w:val="Fuentedeprrafopredeter"/>
    <w:uiPriority w:val="99"/>
    <w:semiHidden/>
    <w:unhideWhenUsed/>
    <w:rsid w:val="003853B7"/>
    <w:rPr>
      <w:color w:val="2B579A"/>
      <w:shd w:val="clear" w:color="auto" w:fill="E6E6E6"/>
    </w:rPr>
  </w:style>
  <w:style w:type="paragraph" w:customStyle="1" w:styleId="Style1">
    <w:name w:val="Style 1"/>
    <w:basedOn w:val="Normal"/>
    <w:uiPriority w:val="99"/>
    <w:rsid w:val="003414A2"/>
    <w:rPr>
      <w:lang w:val="es-CR"/>
    </w:rPr>
  </w:style>
  <w:style w:type="character" w:customStyle="1" w:styleId="CharacterStyle1">
    <w:name w:val="Character Style 1"/>
    <w:uiPriority w:val="99"/>
    <w:rsid w:val="003414A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ctp.go.cr" TargetMode="External"/><Relationship Id="rId13" Type="http://schemas.openxmlformats.org/officeDocument/2006/relationships/hyperlink" Target="mailto:ecambronero@ctp.go.c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cambronero@ctp.go.cr" TargetMode="External"/><Relationship Id="rId12" Type="http://schemas.openxmlformats.org/officeDocument/2006/relationships/hyperlink" Target="mailto:sfonseca@ctp.go.c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ETENTE.ES" TargetMode="External"/><Relationship Id="rId1" Type="http://schemas.openxmlformats.org/officeDocument/2006/relationships/numbering" Target="numbering.xml"/><Relationship Id="rId6" Type="http://schemas.openxmlformats.org/officeDocument/2006/relationships/hyperlink" Target="mailto:sfonseca@cto.go.cr" TargetMode="External"/><Relationship Id="rId11" Type="http://schemas.openxmlformats.org/officeDocument/2006/relationships/hyperlink" Target="mailto:mfallas@ctg.go.cr" TargetMode="External"/><Relationship Id="rId5" Type="http://schemas.openxmlformats.org/officeDocument/2006/relationships/hyperlink" Target="mailto:mfallas@ctp.go.cr" TargetMode="External"/><Relationship Id="rId15" Type="http://schemas.openxmlformats.org/officeDocument/2006/relationships/hyperlink" Target="http://ctp.go.cr" TargetMode="External"/><Relationship Id="rId10" Type="http://schemas.openxmlformats.org/officeDocument/2006/relationships/hyperlink" Target="http://ctp.go.cr" TargetMode="External"/><Relationship Id="rId4" Type="http://schemas.openxmlformats.org/officeDocument/2006/relationships/webSettings" Target="webSettings.xml"/><Relationship Id="rId9" Type="http://schemas.openxmlformats.org/officeDocument/2006/relationships/hyperlink" Target="mailto:daguero@ctp.go.cr" TargetMode="External"/><Relationship Id="rId14" Type="http://schemas.openxmlformats.org/officeDocument/2006/relationships/hyperlink" Target="mailto:daguero@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11728</Words>
  <Characters>64507</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2017-06-06T17:51:00Z</dcterms:created>
  <dcterms:modified xsi:type="dcterms:W3CDTF">2017-06-06T17:51:00Z</dcterms:modified>
</cp:coreProperties>
</file>