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2BD6">
      <w:pPr>
        <w:kinsoku w:val="0"/>
        <w:overflowPunct w:val="0"/>
        <w:autoSpaceDE/>
        <w:autoSpaceDN/>
        <w:adjustRightInd/>
        <w:spacing w:after="647" w:line="20" w:lineRule="exact"/>
        <w:textAlignment w:val="baseline"/>
        <w:rPr>
          <w:sz w:val="24"/>
          <w:szCs w:val="24"/>
        </w:rPr>
      </w:pPr>
    </w:p>
    <w:p w:rsidR="00000000" w:rsidRDefault="00002BD6">
      <w:pPr>
        <w:kinsoku w:val="0"/>
        <w:overflowPunct w:val="0"/>
        <w:autoSpaceDE/>
        <w:autoSpaceDN/>
        <w:adjustRightInd/>
        <w:spacing w:line="276" w:lineRule="exact"/>
        <w:jc w:val="center"/>
        <w:textAlignment w:val="baseline"/>
        <w:rPr>
          <w:b/>
          <w:bCs/>
          <w:spacing w:val="1"/>
          <w:sz w:val="25"/>
          <w:szCs w:val="25"/>
          <w:lang w:val="es-ES" w:eastAsia="es-ES"/>
        </w:rPr>
      </w:pPr>
      <w:r>
        <w:rPr>
          <w:b/>
          <w:bCs/>
          <w:spacing w:val="1"/>
          <w:sz w:val="25"/>
          <w:szCs w:val="25"/>
          <w:lang w:val="es-ES" w:eastAsia="es-ES"/>
        </w:rPr>
        <w:t>RESOLUCION No. TAT-3378-2018</w:t>
      </w:r>
    </w:p>
    <w:p w:rsidR="00000000" w:rsidRDefault="00002BD6">
      <w:pPr>
        <w:kinsoku w:val="0"/>
        <w:overflowPunct w:val="0"/>
        <w:autoSpaceDE/>
        <w:autoSpaceDN/>
        <w:adjustRightInd/>
        <w:spacing w:before="733" w:line="286" w:lineRule="exact"/>
        <w:textAlignment w:val="baseline"/>
        <w:rPr>
          <w:spacing w:val="2"/>
          <w:sz w:val="25"/>
          <w:szCs w:val="25"/>
          <w:lang w:val="es-ES" w:eastAsia="es-ES"/>
        </w:rPr>
      </w:pPr>
      <w:r>
        <w:rPr>
          <w:b/>
          <w:bCs/>
          <w:spacing w:val="2"/>
          <w:sz w:val="25"/>
          <w:szCs w:val="25"/>
          <w:lang w:val="es-ES" w:eastAsia="es-ES"/>
        </w:rPr>
        <w:t xml:space="preserve">TRIBUNAL ADMINISTRATIVO DE TRANSPORTE.- </w:t>
      </w:r>
      <w:r>
        <w:rPr>
          <w:spacing w:val="2"/>
          <w:sz w:val="25"/>
          <w:szCs w:val="25"/>
          <w:lang w:val="es-ES" w:eastAsia="es-ES"/>
        </w:rPr>
        <w:t>Curridabat, a las 10:15</w:t>
      </w:r>
    </w:p>
    <w:p w:rsidR="00000000" w:rsidRDefault="00002BD6">
      <w:pPr>
        <w:tabs>
          <w:tab w:val="right" w:leader="hyphen" w:pos="8568"/>
        </w:tabs>
        <w:kinsoku w:val="0"/>
        <w:overflowPunct w:val="0"/>
        <w:autoSpaceDE/>
        <w:autoSpaceDN/>
        <w:adjustRightInd/>
        <w:spacing w:before="49" w:line="286" w:lineRule="exact"/>
        <w:textAlignment w:val="baseline"/>
        <w:rPr>
          <w:sz w:val="25"/>
          <w:szCs w:val="25"/>
          <w:lang w:val="es-ES" w:eastAsia="es-ES"/>
        </w:rPr>
      </w:pPr>
      <w:r>
        <w:rPr>
          <w:sz w:val="25"/>
          <w:szCs w:val="25"/>
          <w:lang w:val="es-ES" w:eastAsia="es-ES"/>
        </w:rPr>
        <w:t>horas del día Treinta y Uno de Enero del Dos Mil Dieciocho.</w:t>
      </w:r>
      <w:r>
        <w:rPr>
          <w:sz w:val="25"/>
          <w:szCs w:val="25"/>
          <w:lang w:val="es-ES" w:eastAsia="es-ES"/>
        </w:rPr>
        <w:tab/>
      </w:r>
    </w:p>
    <w:p w:rsidR="00000000" w:rsidRDefault="00002BD6">
      <w:pPr>
        <w:kinsoku w:val="0"/>
        <w:overflowPunct w:val="0"/>
        <w:autoSpaceDE/>
        <w:autoSpaceDN/>
        <w:adjustRightInd/>
        <w:spacing w:before="481" w:line="331" w:lineRule="exact"/>
        <w:ind w:right="72"/>
        <w:jc w:val="both"/>
        <w:textAlignment w:val="baseline"/>
        <w:rPr>
          <w:sz w:val="24"/>
          <w:szCs w:val="24"/>
          <w:lang w:eastAsia="en-US"/>
        </w:rPr>
      </w:pPr>
      <w:r>
        <w:rPr>
          <w:sz w:val="25"/>
          <w:szCs w:val="25"/>
          <w:lang w:val="es-ES" w:eastAsia="es-ES"/>
        </w:rPr>
        <w:t xml:space="preserve">Se conoce de </w:t>
      </w:r>
      <w:r>
        <w:rPr>
          <w:b/>
          <w:bCs/>
          <w:sz w:val="25"/>
          <w:szCs w:val="25"/>
          <w:lang w:val="es-ES" w:eastAsia="es-ES"/>
        </w:rPr>
        <w:t xml:space="preserve">RECURSO DE APELACIÓN EN SUBSIDIO </w:t>
      </w:r>
      <w:r>
        <w:rPr>
          <w:sz w:val="25"/>
          <w:szCs w:val="25"/>
          <w:lang w:val="es-ES" w:eastAsia="es-ES"/>
        </w:rPr>
        <w:t xml:space="preserve">y de </w:t>
      </w:r>
      <w:r>
        <w:rPr>
          <w:b/>
          <w:bCs/>
          <w:sz w:val="25"/>
          <w:szCs w:val="25"/>
          <w:lang w:val="es-ES" w:eastAsia="es-ES"/>
        </w:rPr>
        <w:t xml:space="preserve">NULIDAD CONCOMITANTE, </w:t>
      </w:r>
      <w:r>
        <w:rPr>
          <w:sz w:val="25"/>
          <w:szCs w:val="25"/>
          <w:lang w:val="es-ES" w:eastAsia="es-ES"/>
        </w:rPr>
        <w:t xml:space="preserve">Interpuestos en lo conducente por el Señor </w:t>
      </w:r>
      <w:r>
        <w:rPr>
          <w:b/>
          <w:bCs/>
          <w:sz w:val="25"/>
          <w:szCs w:val="25"/>
          <w:lang w:val="es-ES" w:eastAsia="es-ES"/>
        </w:rPr>
        <w:t>V</w:t>
      </w:r>
      <w:r w:rsidR="00BD7E53">
        <w:rPr>
          <w:b/>
          <w:bCs/>
          <w:sz w:val="25"/>
          <w:szCs w:val="25"/>
          <w:lang w:val="es-ES" w:eastAsia="es-ES"/>
        </w:rPr>
        <w:t>.M.M.C.</w:t>
      </w:r>
      <w:r>
        <w:rPr>
          <w:b/>
          <w:bCs/>
          <w:sz w:val="25"/>
          <w:szCs w:val="25"/>
          <w:lang w:val="es-ES" w:eastAsia="es-ES"/>
        </w:rPr>
        <w:t xml:space="preserve">, </w:t>
      </w:r>
      <w:r>
        <w:rPr>
          <w:sz w:val="25"/>
          <w:szCs w:val="25"/>
          <w:lang w:val="es-ES" w:eastAsia="es-ES"/>
        </w:rPr>
        <w:t xml:space="preserve">de calidades conocidas, portador de la cédula de identidad número </w:t>
      </w:r>
      <w:r w:rsidR="00BD7E53">
        <w:rPr>
          <w:sz w:val="25"/>
          <w:szCs w:val="25"/>
          <w:lang w:val="es-ES" w:eastAsia="es-ES"/>
        </w:rPr>
        <w:t>…</w:t>
      </w:r>
      <w:r>
        <w:rPr>
          <w:sz w:val="25"/>
          <w:szCs w:val="25"/>
          <w:lang w:val="es-ES" w:eastAsia="es-ES"/>
        </w:rPr>
        <w:t xml:space="preserve">, contra el </w:t>
      </w:r>
      <w:r>
        <w:rPr>
          <w:b/>
          <w:bCs/>
          <w:sz w:val="25"/>
          <w:szCs w:val="25"/>
          <w:lang w:val="es-ES" w:eastAsia="es-ES"/>
        </w:rPr>
        <w:t xml:space="preserve">Artículo 7.2 de la Sesión Ordinaria 40-2016 </w:t>
      </w:r>
      <w:r>
        <w:rPr>
          <w:sz w:val="25"/>
          <w:szCs w:val="25"/>
          <w:lang w:val="es-ES" w:eastAsia="es-ES"/>
        </w:rPr>
        <w:t>de fecha 18 de Agosto del 2016, d</w:t>
      </w:r>
      <w:r>
        <w:rPr>
          <w:sz w:val="25"/>
          <w:szCs w:val="25"/>
          <w:lang w:val="es-ES" w:eastAsia="es-ES"/>
        </w:rPr>
        <w:t>e la Junta Directiva del Consejo de Transporte Público.-</w:t>
      </w:r>
      <w:r>
        <w:rPr>
          <w:b/>
          <w:bCs/>
          <w:i/>
          <w:iCs/>
          <w:sz w:val="25"/>
          <w:szCs w:val="25"/>
          <w:lang w:val="es-ES" w:eastAsia="es-ES"/>
        </w:rPr>
        <w:t>EXPEDIENTE ADMINISTRATIVO No. TAT-151-17.</w:t>
      </w:r>
      <w:r>
        <w:rPr>
          <w:b/>
          <w:bCs/>
          <w:i/>
          <w:iCs/>
          <w:sz w:val="25"/>
          <w:szCs w:val="25"/>
          <w:lang w:val="es-ES" w:eastAsia="es-ES"/>
        </w:rPr>
        <w:noBreakHyphen/>
      </w:r>
    </w:p>
    <w:p w:rsidR="00000000" w:rsidRDefault="00002BD6">
      <w:pPr>
        <w:kinsoku w:val="0"/>
        <w:overflowPunct w:val="0"/>
        <w:autoSpaceDE/>
        <w:autoSpaceDN/>
        <w:adjustRightInd/>
        <w:spacing w:before="390" w:line="287" w:lineRule="exact"/>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002BD6">
      <w:pPr>
        <w:kinsoku w:val="0"/>
        <w:overflowPunct w:val="0"/>
        <w:autoSpaceDE/>
        <w:autoSpaceDN/>
        <w:adjustRightInd/>
        <w:spacing w:before="330" w:line="331" w:lineRule="exact"/>
        <w:ind w:right="72"/>
        <w:jc w:val="both"/>
        <w:textAlignment w:val="baseline"/>
        <w:rPr>
          <w:i/>
          <w:iCs/>
          <w:sz w:val="25"/>
          <w:szCs w:val="25"/>
          <w:lang w:val="es-ES" w:eastAsia="es-ES"/>
        </w:rPr>
      </w:pPr>
      <w:r>
        <w:rPr>
          <w:b/>
          <w:bCs/>
          <w:sz w:val="25"/>
          <w:szCs w:val="25"/>
          <w:lang w:val="es-ES" w:eastAsia="es-ES"/>
        </w:rPr>
        <w:t xml:space="preserve">PRIMERO.- </w:t>
      </w:r>
      <w:r>
        <w:rPr>
          <w:sz w:val="25"/>
          <w:szCs w:val="25"/>
          <w:lang w:val="es-ES" w:eastAsia="es-ES"/>
        </w:rPr>
        <w:t xml:space="preserve">Mediante el </w:t>
      </w:r>
      <w:r>
        <w:rPr>
          <w:b/>
          <w:bCs/>
          <w:sz w:val="25"/>
          <w:szCs w:val="25"/>
          <w:lang w:val="es-ES" w:eastAsia="es-ES"/>
        </w:rPr>
        <w:t xml:space="preserve">Artículo 7.2 de su Sesión Ordinaria 40-2016 </w:t>
      </w:r>
      <w:r>
        <w:rPr>
          <w:sz w:val="25"/>
          <w:szCs w:val="25"/>
          <w:lang w:val="es-ES" w:eastAsia="es-ES"/>
        </w:rPr>
        <w:t>de fecha 18 de Agosto del 2016, la Junta Directiva del Consejo de Transporte Pú</w:t>
      </w:r>
      <w:r>
        <w:rPr>
          <w:sz w:val="25"/>
          <w:szCs w:val="25"/>
          <w:lang w:val="es-ES" w:eastAsia="es-ES"/>
        </w:rPr>
        <w:t xml:space="preserve">blico Dispone Tener por Cancelada o Fenecida, por No Realización e Inasistencia al llamado de Renovación/Formalización respectivas, entre otras, la Concesión de Taxi Placas </w:t>
      </w:r>
      <w:r>
        <w:rPr>
          <w:b/>
          <w:bCs/>
          <w:sz w:val="25"/>
          <w:szCs w:val="25"/>
          <w:lang w:val="es-ES" w:eastAsia="es-ES"/>
        </w:rPr>
        <w:t>TC-</w:t>
      </w:r>
      <w:r w:rsidR="00BD7E53">
        <w:rPr>
          <w:b/>
          <w:bCs/>
          <w:sz w:val="25"/>
          <w:szCs w:val="25"/>
          <w:lang w:val="es-ES" w:eastAsia="es-ES"/>
        </w:rPr>
        <w:t>XXX</w:t>
      </w:r>
      <w:r>
        <w:rPr>
          <w:b/>
          <w:bCs/>
          <w:sz w:val="25"/>
          <w:szCs w:val="25"/>
          <w:lang w:val="es-ES" w:eastAsia="es-ES"/>
        </w:rPr>
        <w:t xml:space="preserve">, </w:t>
      </w:r>
      <w:r>
        <w:rPr>
          <w:sz w:val="25"/>
          <w:szCs w:val="25"/>
          <w:lang w:val="es-ES" w:eastAsia="es-ES"/>
        </w:rPr>
        <w:t xml:space="preserve">a nombre de Don </w:t>
      </w:r>
      <w:r>
        <w:rPr>
          <w:b/>
          <w:bCs/>
          <w:sz w:val="25"/>
          <w:szCs w:val="25"/>
          <w:lang w:val="es-ES" w:eastAsia="es-ES"/>
        </w:rPr>
        <w:t>V</w:t>
      </w:r>
      <w:r w:rsidR="00BD7E53">
        <w:rPr>
          <w:b/>
          <w:bCs/>
          <w:sz w:val="25"/>
          <w:szCs w:val="25"/>
          <w:lang w:val="es-ES" w:eastAsia="es-ES"/>
        </w:rPr>
        <w:t>.M.M.C.</w:t>
      </w:r>
      <w:r>
        <w:rPr>
          <w:b/>
          <w:bCs/>
          <w:sz w:val="25"/>
          <w:szCs w:val="25"/>
          <w:lang w:val="es-ES" w:eastAsia="es-ES"/>
        </w:rPr>
        <w:t xml:space="preserve"> </w:t>
      </w:r>
      <w:r>
        <w:rPr>
          <w:i/>
          <w:iCs/>
          <w:sz w:val="25"/>
          <w:szCs w:val="25"/>
          <w:lang w:val="es-ES" w:eastAsia="es-ES"/>
        </w:rPr>
        <w:t>(Ver Folios 00026 y ss. del Exped</w:t>
      </w:r>
      <w:r>
        <w:rPr>
          <w:i/>
          <w:iCs/>
          <w:sz w:val="25"/>
          <w:szCs w:val="25"/>
          <w:lang w:val="es-ES" w:eastAsia="es-ES"/>
        </w:rPr>
        <w:t xml:space="preserve">iente del Caso). </w:t>
      </w:r>
      <w:r>
        <w:rPr>
          <w:sz w:val="25"/>
          <w:szCs w:val="25"/>
          <w:lang w:val="es-ES" w:eastAsia="es-ES"/>
        </w:rPr>
        <w:t xml:space="preserve">Siendo dicho Acuerdo </w:t>
      </w:r>
      <w:r>
        <w:rPr>
          <w:b/>
          <w:bCs/>
          <w:i/>
          <w:iCs/>
          <w:sz w:val="25"/>
          <w:szCs w:val="25"/>
          <w:lang w:val="es-ES" w:eastAsia="es-ES"/>
        </w:rPr>
        <w:t xml:space="preserve">Notificado al Interesado el día 22 de Agosto del 2016, </w:t>
      </w:r>
      <w:r>
        <w:rPr>
          <w:sz w:val="25"/>
          <w:szCs w:val="25"/>
          <w:lang w:val="es-ES" w:eastAsia="es-ES"/>
        </w:rPr>
        <w:t xml:space="preserve">vía Correo Electrónico </w:t>
      </w:r>
      <w:r>
        <w:rPr>
          <w:i/>
          <w:iCs/>
          <w:sz w:val="25"/>
          <w:szCs w:val="25"/>
          <w:lang w:val="es-ES" w:eastAsia="es-ES"/>
        </w:rPr>
        <w:t>(Ver Folio 00034 del Expediente del Caso).</w:t>
      </w:r>
    </w:p>
    <w:p w:rsidR="00000000" w:rsidRDefault="00002BD6">
      <w:pPr>
        <w:kinsoku w:val="0"/>
        <w:overflowPunct w:val="0"/>
        <w:autoSpaceDE/>
        <w:autoSpaceDN/>
        <w:adjustRightInd/>
        <w:spacing w:before="349" w:line="339" w:lineRule="exact"/>
        <w:ind w:right="72"/>
        <w:jc w:val="both"/>
        <w:textAlignment w:val="baseline"/>
        <w:rPr>
          <w:b/>
          <w:bCs/>
          <w:sz w:val="25"/>
          <w:szCs w:val="25"/>
          <w:lang w:val="es-ES" w:eastAsia="es-ES"/>
        </w:rPr>
      </w:pPr>
      <w:r>
        <w:rPr>
          <w:b/>
          <w:bCs/>
          <w:sz w:val="25"/>
          <w:szCs w:val="25"/>
          <w:lang w:val="es-ES" w:eastAsia="es-ES"/>
        </w:rPr>
        <w:t xml:space="preserve">SEGUNDO.- </w:t>
      </w:r>
      <w:r>
        <w:rPr>
          <w:sz w:val="25"/>
          <w:szCs w:val="25"/>
          <w:lang w:val="es-ES" w:eastAsia="es-ES"/>
        </w:rPr>
        <w:t>En consecuencia de lo antes dicho, por medio de Escrito de fecha 29 de Agosto del 2016,</w:t>
      </w:r>
      <w:r>
        <w:rPr>
          <w:sz w:val="25"/>
          <w:szCs w:val="25"/>
          <w:lang w:val="es-ES" w:eastAsia="es-ES"/>
        </w:rPr>
        <w:t xml:space="preserve"> presentado en esa misma fecha al Expediente No. 332908 de la Ventanilla Única del Consejo de Transporte Público, el Interesado presenta las Acciones de Impugnación Ordinarias de Ley en contra de lo Actuado. Aduciendo que </w:t>
      </w:r>
      <w:r>
        <w:rPr>
          <w:b/>
          <w:bCs/>
          <w:sz w:val="25"/>
          <w:szCs w:val="25"/>
          <w:lang w:val="es-ES" w:eastAsia="es-ES"/>
        </w:rPr>
        <w:t>NO SE LE DIO OPORTUNIDAD DEBIDA DE</w:t>
      </w:r>
      <w:r>
        <w:rPr>
          <w:b/>
          <w:bCs/>
          <w:sz w:val="25"/>
          <w:szCs w:val="25"/>
          <w:lang w:val="es-ES" w:eastAsia="es-ES"/>
        </w:rPr>
        <w:t xml:space="preserve"> DEFENSA Y QUE NO PUDO ACUDIR A SU CITA </w:t>
      </w:r>
      <w:r>
        <w:rPr>
          <w:b/>
          <w:bCs/>
          <w:i/>
          <w:iCs/>
          <w:sz w:val="25"/>
          <w:szCs w:val="25"/>
          <w:lang w:val="es-ES" w:eastAsia="es-ES"/>
        </w:rPr>
        <w:t xml:space="preserve">(REPROGRAMACIÓN) </w:t>
      </w:r>
      <w:r>
        <w:rPr>
          <w:b/>
          <w:bCs/>
          <w:sz w:val="25"/>
          <w:szCs w:val="25"/>
          <w:lang w:val="es-ES" w:eastAsia="es-ES"/>
        </w:rPr>
        <w:t>DE RENOVACIÓN DE CONCESIÓN PORQUE NO SE LE REALIZÓ LA COMUNICACIÓN</w:t>
      </w:r>
    </w:p>
    <w:p w:rsidR="00000000" w:rsidRDefault="00002BD6">
      <w:pPr>
        <w:widowControl/>
        <w:rPr>
          <w:sz w:val="24"/>
          <w:szCs w:val="24"/>
        </w:rPr>
        <w:sectPr w:rsidR="00000000">
          <w:pgSz w:w="12302" w:h="15802"/>
          <w:pgMar w:top="2160" w:right="1886" w:bottom="550" w:left="1776" w:header="720" w:footer="720" w:gutter="0"/>
          <w:cols w:space="720"/>
          <w:noEndnote/>
        </w:sectPr>
      </w:pPr>
    </w:p>
    <w:p w:rsidR="00000000" w:rsidRDefault="00002BD6">
      <w:pPr>
        <w:kinsoku w:val="0"/>
        <w:overflowPunct w:val="0"/>
        <w:autoSpaceDE/>
        <w:autoSpaceDN/>
        <w:adjustRightInd/>
        <w:spacing w:before="14" w:line="332" w:lineRule="exact"/>
        <w:jc w:val="both"/>
        <w:textAlignment w:val="baseline"/>
        <w:rPr>
          <w:i/>
          <w:iCs/>
          <w:sz w:val="25"/>
          <w:szCs w:val="25"/>
          <w:lang w:val="es-ES" w:eastAsia="es-ES"/>
        </w:rPr>
      </w:pPr>
      <w:r w:rsidRPr="00BD7E53">
        <w:rPr>
          <w:b/>
          <w:sz w:val="25"/>
          <w:szCs w:val="25"/>
          <w:lang w:val="es-ES" w:eastAsia="es-ES"/>
        </w:rPr>
        <w:lastRenderedPageBreak/>
        <w:t>DEBIDA DE LA CITACIÓN A ALGUNO DE LOS CORREOS POR EL SEÑALADOS A TALES EFECTOS</w:t>
      </w:r>
      <w:r>
        <w:rPr>
          <w:sz w:val="25"/>
          <w:szCs w:val="25"/>
          <w:lang w:val="es-ES" w:eastAsia="es-ES"/>
        </w:rPr>
        <w:t xml:space="preserve"> </w:t>
      </w:r>
      <w:r>
        <w:rPr>
          <w:i/>
          <w:iCs/>
          <w:sz w:val="25"/>
          <w:szCs w:val="25"/>
          <w:lang w:val="es-ES" w:eastAsia="es-ES"/>
        </w:rPr>
        <w:t>(Ver Folios 00018 a 00024).</w:t>
      </w:r>
    </w:p>
    <w:p w:rsidR="00000000" w:rsidRDefault="00002BD6">
      <w:pPr>
        <w:kinsoku w:val="0"/>
        <w:overflowPunct w:val="0"/>
        <w:autoSpaceDE/>
        <w:autoSpaceDN/>
        <w:adjustRightInd/>
        <w:spacing w:before="337" w:line="332" w:lineRule="exact"/>
        <w:jc w:val="both"/>
        <w:textAlignment w:val="baseline"/>
        <w:rPr>
          <w:i/>
          <w:iCs/>
          <w:sz w:val="25"/>
          <w:szCs w:val="25"/>
          <w:lang w:val="es-ES" w:eastAsia="es-ES"/>
        </w:rPr>
      </w:pPr>
      <w:r w:rsidRPr="00BD7E53">
        <w:rPr>
          <w:b/>
          <w:sz w:val="25"/>
          <w:szCs w:val="25"/>
          <w:lang w:val="es-ES" w:eastAsia="es-ES"/>
        </w:rPr>
        <w:t>TERCERO.-</w:t>
      </w:r>
      <w:r>
        <w:rPr>
          <w:sz w:val="25"/>
          <w:szCs w:val="25"/>
          <w:lang w:val="es-ES" w:eastAsia="es-ES"/>
        </w:rPr>
        <w:t xml:space="preserve"> Mediante su Acuerdo No. 7.7.1 de su Sesión Ordinaria No. 45-2017 del 22 de Noviembre del 2017, la </w:t>
      </w:r>
      <w:r>
        <w:rPr>
          <w:sz w:val="25"/>
          <w:szCs w:val="25"/>
          <w:lang w:val="es-ES" w:eastAsia="es-ES"/>
        </w:rPr>
        <w:t xml:space="preserve">Junta Directiva del Consejo de Transporte Público, ante las Recomendaciones del Oficio No. DAJ 2017-002789 del 17 de Noviembre del 2017 de su Dirección de Asuntos Jurídicos, Analizados los Pormenores del Caso, dispone </w:t>
      </w:r>
      <w:r w:rsidRPr="00BD7E53">
        <w:rPr>
          <w:b/>
          <w:sz w:val="25"/>
          <w:szCs w:val="25"/>
          <w:lang w:val="es-ES" w:eastAsia="es-ES"/>
        </w:rPr>
        <w:t>RECHAZAR</w:t>
      </w:r>
      <w:r>
        <w:rPr>
          <w:sz w:val="25"/>
          <w:szCs w:val="25"/>
          <w:lang w:val="es-ES" w:eastAsia="es-ES"/>
        </w:rPr>
        <w:t xml:space="preserve"> la Revocatoria/Revisión y la </w:t>
      </w:r>
      <w:r>
        <w:rPr>
          <w:sz w:val="25"/>
          <w:szCs w:val="25"/>
          <w:lang w:val="es-ES" w:eastAsia="es-ES"/>
        </w:rPr>
        <w:t xml:space="preserve">Nulidad la primarias y elevar ante este Tribunal la Apelación y la Nulidad subsidiarias </w:t>
      </w:r>
      <w:r>
        <w:rPr>
          <w:i/>
          <w:iCs/>
          <w:sz w:val="25"/>
          <w:szCs w:val="25"/>
          <w:lang w:val="es-ES" w:eastAsia="es-ES"/>
        </w:rPr>
        <w:t>(Ver Folios 0002 a 0007 del Expediente del Caso).</w:t>
      </w:r>
    </w:p>
    <w:p w:rsidR="00000000" w:rsidRDefault="00002BD6">
      <w:pPr>
        <w:kinsoku w:val="0"/>
        <w:overflowPunct w:val="0"/>
        <w:autoSpaceDE/>
        <w:autoSpaceDN/>
        <w:adjustRightInd/>
        <w:spacing w:before="358" w:line="332" w:lineRule="exact"/>
        <w:jc w:val="both"/>
        <w:textAlignment w:val="baseline"/>
        <w:rPr>
          <w:sz w:val="25"/>
          <w:szCs w:val="25"/>
          <w:lang w:val="es-ES" w:eastAsia="es-ES"/>
        </w:rPr>
      </w:pPr>
      <w:r w:rsidRPr="00BD7E53">
        <w:rPr>
          <w:b/>
          <w:sz w:val="25"/>
          <w:szCs w:val="25"/>
          <w:lang w:val="es-ES" w:eastAsia="es-ES"/>
        </w:rPr>
        <w:t>CUARTO.-</w:t>
      </w:r>
      <w:r>
        <w:rPr>
          <w:sz w:val="25"/>
          <w:szCs w:val="25"/>
          <w:lang w:val="es-ES" w:eastAsia="es-ES"/>
        </w:rPr>
        <w:t xml:space="preserve"> Completado el Marco Fáctico del Asunto y el Expediente pertinente, conforme los Términos y Prescripciones de </w:t>
      </w:r>
      <w:r>
        <w:rPr>
          <w:sz w:val="25"/>
          <w:szCs w:val="25"/>
          <w:lang w:val="es-ES" w:eastAsia="es-ES"/>
        </w:rPr>
        <w:t>Ley, procede a conocer este Tribunal.</w:t>
      </w:r>
    </w:p>
    <w:p w:rsidR="00000000" w:rsidRPr="00BD7E53" w:rsidRDefault="00002BD6">
      <w:pPr>
        <w:kinsoku w:val="0"/>
        <w:overflowPunct w:val="0"/>
        <w:autoSpaceDE/>
        <w:autoSpaceDN/>
        <w:adjustRightInd/>
        <w:spacing w:before="395" w:line="287" w:lineRule="exact"/>
        <w:textAlignment w:val="baseline"/>
        <w:rPr>
          <w:b/>
          <w:i/>
          <w:iCs/>
          <w:spacing w:val="9"/>
          <w:sz w:val="25"/>
          <w:szCs w:val="25"/>
          <w:lang w:val="es-ES" w:eastAsia="es-ES"/>
        </w:rPr>
      </w:pPr>
      <w:r w:rsidRPr="00BD7E53">
        <w:rPr>
          <w:b/>
          <w:i/>
          <w:iCs/>
          <w:spacing w:val="9"/>
          <w:sz w:val="25"/>
          <w:szCs w:val="25"/>
          <w:lang w:val="es-ES" w:eastAsia="es-ES"/>
        </w:rPr>
        <w:t>REDACTA EL JUEZ QUESADA AGUIRRE,</w:t>
      </w:r>
    </w:p>
    <w:p w:rsidR="00000000" w:rsidRPr="00BD7E53" w:rsidRDefault="00002BD6">
      <w:pPr>
        <w:kinsoku w:val="0"/>
        <w:overflowPunct w:val="0"/>
        <w:autoSpaceDE/>
        <w:autoSpaceDN/>
        <w:adjustRightInd/>
        <w:spacing w:before="318" w:line="287" w:lineRule="exact"/>
        <w:jc w:val="center"/>
        <w:textAlignment w:val="baseline"/>
        <w:rPr>
          <w:b/>
          <w:i/>
          <w:iCs/>
          <w:spacing w:val="3"/>
          <w:sz w:val="25"/>
          <w:szCs w:val="25"/>
          <w:lang w:val="es-ES" w:eastAsia="es-ES"/>
        </w:rPr>
      </w:pPr>
      <w:r w:rsidRPr="00BD7E53">
        <w:rPr>
          <w:b/>
          <w:i/>
          <w:iCs/>
          <w:spacing w:val="3"/>
          <w:sz w:val="25"/>
          <w:szCs w:val="25"/>
          <w:lang w:val="es-ES" w:eastAsia="es-ES"/>
        </w:rPr>
        <w:t>Considerando</w:t>
      </w:r>
    </w:p>
    <w:p w:rsidR="00000000" w:rsidRDefault="00002BD6">
      <w:pPr>
        <w:numPr>
          <w:ilvl w:val="0"/>
          <w:numId w:val="1"/>
        </w:numPr>
        <w:tabs>
          <w:tab w:val="right" w:pos="8568"/>
        </w:tabs>
        <w:kinsoku w:val="0"/>
        <w:overflowPunct w:val="0"/>
        <w:autoSpaceDE/>
        <w:autoSpaceDN/>
        <w:adjustRightInd/>
        <w:spacing w:before="462" w:line="332" w:lineRule="exact"/>
        <w:jc w:val="both"/>
        <w:textAlignment w:val="baseline"/>
        <w:rPr>
          <w:sz w:val="24"/>
          <w:szCs w:val="24"/>
          <w:lang w:eastAsia="en-US"/>
        </w:rPr>
      </w:pPr>
      <w:r w:rsidRPr="00BD7E53">
        <w:rPr>
          <w:b/>
          <w:sz w:val="25"/>
          <w:szCs w:val="25"/>
          <w:lang w:val="es-ES" w:eastAsia="es-ES"/>
        </w:rPr>
        <w:t>SOBRE LA COMPETENCIA:</w:t>
      </w:r>
      <w:r>
        <w:rPr>
          <w:sz w:val="25"/>
          <w:szCs w:val="25"/>
          <w:lang w:val="es-ES" w:eastAsia="es-ES"/>
        </w:rPr>
        <w:t xml:space="preserve"> El Tribunal Administrativo de Transporte</w:t>
      </w:r>
      <w:r>
        <w:rPr>
          <w:sz w:val="25"/>
          <w:szCs w:val="25"/>
          <w:lang w:val="es-ES" w:eastAsia="es-ES"/>
        </w:rPr>
        <w:br/>
        <w:t xml:space="preserve">es el Órgano Competente para conocer y resolver el presente </w:t>
      </w:r>
      <w:r w:rsidRPr="00BD7E53">
        <w:rPr>
          <w:b/>
          <w:sz w:val="21"/>
          <w:szCs w:val="21"/>
          <w:lang w:val="es-ES" w:eastAsia="es-ES"/>
        </w:rPr>
        <w:t>RECURSO DE APELACIÓN</w:t>
      </w:r>
      <w:r>
        <w:rPr>
          <w:sz w:val="21"/>
          <w:szCs w:val="21"/>
          <w:lang w:val="es-ES" w:eastAsia="es-ES"/>
        </w:rPr>
        <w:t xml:space="preserve"> </w:t>
      </w:r>
      <w:r>
        <w:rPr>
          <w:sz w:val="25"/>
          <w:szCs w:val="25"/>
          <w:lang w:val="es-ES" w:eastAsia="es-ES"/>
        </w:rPr>
        <w:t>de conformidad co</w:t>
      </w:r>
      <w:r>
        <w:rPr>
          <w:sz w:val="25"/>
          <w:szCs w:val="25"/>
          <w:lang w:val="es-ES" w:eastAsia="es-ES"/>
        </w:rPr>
        <w:t xml:space="preserve">n el Artículo 22 de la Ley Reguladora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 xml:space="preserve">así como de cualquier </w:t>
      </w:r>
      <w:r>
        <w:rPr>
          <w:i/>
          <w:iCs/>
          <w:sz w:val="25"/>
          <w:szCs w:val="25"/>
          <w:lang w:val="es-ES" w:eastAsia="es-ES"/>
        </w:rPr>
        <w:t xml:space="preserve">Acción o Incidencia de Nulidad </w:t>
      </w:r>
      <w:r>
        <w:rPr>
          <w:sz w:val="25"/>
          <w:szCs w:val="25"/>
          <w:lang w:val="es-ES" w:eastAsia="es-ES"/>
        </w:rPr>
        <w:t>co</w:t>
      </w:r>
      <w:r>
        <w:rPr>
          <w:sz w:val="25"/>
          <w:szCs w:val="25"/>
          <w:lang w:val="es-ES" w:eastAsia="es-ES"/>
        </w:rPr>
        <w:t>rrelativa, según los términos de los literales 180 y 181 de la Ley General de la Administración Pública.</w:t>
      </w:r>
      <w:r>
        <w:rPr>
          <w:sz w:val="25"/>
          <w:szCs w:val="25"/>
          <w:lang w:val="es-ES" w:eastAsia="es-ES"/>
        </w:rPr>
        <w:noBreakHyphen/>
      </w:r>
    </w:p>
    <w:p w:rsidR="00000000" w:rsidRPr="00BD7E53" w:rsidRDefault="00002BD6">
      <w:pPr>
        <w:numPr>
          <w:ilvl w:val="0"/>
          <w:numId w:val="2"/>
        </w:numPr>
        <w:kinsoku w:val="0"/>
        <w:overflowPunct w:val="0"/>
        <w:autoSpaceDE/>
        <w:autoSpaceDN/>
        <w:adjustRightInd/>
        <w:spacing w:before="374" w:line="288" w:lineRule="exact"/>
        <w:jc w:val="both"/>
        <w:textAlignment w:val="baseline"/>
        <w:rPr>
          <w:b/>
          <w:spacing w:val="8"/>
          <w:sz w:val="25"/>
          <w:szCs w:val="25"/>
          <w:lang w:val="es-ES" w:eastAsia="es-ES"/>
        </w:rPr>
      </w:pPr>
      <w:r w:rsidRPr="00BD7E53">
        <w:rPr>
          <w:b/>
          <w:spacing w:val="8"/>
          <w:sz w:val="25"/>
          <w:szCs w:val="25"/>
          <w:lang w:val="es-ES" w:eastAsia="es-ES"/>
        </w:rPr>
        <w:t>SOBRE LA ADMISIBILIDAD DEL RECURSO:</w:t>
      </w:r>
    </w:p>
    <w:p w:rsidR="00000000" w:rsidRDefault="00002BD6">
      <w:pPr>
        <w:kinsoku w:val="0"/>
        <w:overflowPunct w:val="0"/>
        <w:autoSpaceDE/>
        <w:autoSpaceDN/>
        <w:adjustRightInd/>
        <w:spacing w:before="336" w:line="339" w:lineRule="exact"/>
        <w:jc w:val="both"/>
        <w:textAlignment w:val="baseline"/>
        <w:rPr>
          <w:sz w:val="25"/>
          <w:szCs w:val="25"/>
          <w:lang w:val="es-ES" w:eastAsia="es-ES"/>
        </w:rPr>
      </w:pPr>
      <w:r w:rsidRPr="00BD7E53">
        <w:rPr>
          <w:b/>
          <w:sz w:val="25"/>
          <w:szCs w:val="25"/>
          <w:u w:val="single"/>
          <w:lang w:val="es-ES" w:eastAsia="es-ES"/>
        </w:rPr>
        <w:t>En cuanto a la Legitimación:</w:t>
      </w:r>
      <w:r w:rsidRPr="00BD7E53">
        <w:rPr>
          <w:b/>
          <w:sz w:val="25"/>
          <w:szCs w:val="25"/>
          <w:lang w:val="es-ES" w:eastAsia="es-ES"/>
        </w:rPr>
        <w:t xml:space="preserve"> </w:t>
      </w:r>
      <w:r>
        <w:rPr>
          <w:sz w:val="25"/>
          <w:szCs w:val="25"/>
          <w:lang w:val="es-ES" w:eastAsia="es-ES"/>
        </w:rPr>
        <w:t xml:space="preserve">Sin detrimento de lo que se considerará </w:t>
      </w:r>
      <w:r>
        <w:rPr>
          <w:i/>
          <w:iCs/>
          <w:sz w:val="25"/>
          <w:szCs w:val="25"/>
          <w:lang w:val="es-ES" w:eastAsia="es-ES"/>
        </w:rPr>
        <w:t xml:space="preserve">infra, </w:t>
      </w:r>
      <w:r>
        <w:rPr>
          <w:sz w:val="25"/>
          <w:szCs w:val="25"/>
          <w:lang w:val="es-ES" w:eastAsia="es-ES"/>
        </w:rPr>
        <w:t>e</w:t>
      </w:r>
      <w:r>
        <w:rPr>
          <w:sz w:val="25"/>
          <w:szCs w:val="25"/>
          <w:lang w:val="es-ES" w:eastAsia="es-ES"/>
        </w:rPr>
        <w:t xml:space="preserve">s claro que al Recurrente le ha sido Cancelada su Concesión de Taxi Placas </w:t>
      </w:r>
      <w:r w:rsidRPr="00BD7E53">
        <w:rPr>
          <w:b/>
          <w:sz w:val="25"/>
          <w:szCs w:val="25"/>
          <w:u w:val="single"/>
          <w:lang w:val="es-ES" w:eastAsia="es-ES"/>
        </w:rPr>
        <w:t>TC-</w:t>
      </w:r>
      <w:r w:rsidR="00BD7E53">
        <w:rPr>
          <w:b/>
          <w:sz w:val="25"/>
          <w:szCs w:val="25"/>
          <w:u w:val="single"/>
          <w:lang w:val="es-ES" w:eastAsia="es-ES"/>
        </w:rPr>
        <w:t>XXX</w:t>
      </w:r>
      <w:r>
        <w:rPr>
          <w:sz w:val="25"/>
          <w:szCs w:val="25"/>
          <w:lang w:val="es-ES" w:eastAsia="es-ES"/>
        </w:rPr>
        <w:t xml:space="preserve"> por un Acto del Consejo de Transporte Público, mismo que estima como Afectante de sus Derechos e Intereses. Situación ante la cual le Asiste Legitimación debida para Impugnar</w:t>
      </w:r>
      <w:r>
        <w:rPr>
          <w:sz w:val="25"/>
          <w:szCs w:val="25"/>
          <w:lang w:val="es-ES" w:eastAsia="es-ES"/>
        </w:rPr>
        <w:t>.</w:t>
      </w:r>
    </w:p>
    <w:p w:rsidR="00000000" w:rsidRDefault="00002BD6">
      <w:pPr>
        <w:kinsoku w:val="0"/>
        <w:overflowPunct w:val="0"/>
        <w:autoSpaceDE/>
        <w:autoSpaceDN/>
        <w:adjustRightInd/>
        <w:spacing w:before="338" w:line="340" w:lineRule="exact"/>
        <w:jc w:val="both"/>
        <w:textAlignment w:val="baseline"/>
        <w:rPr>
          <w:sz w:val="25"/>
          <w:szCs w:val="25"/>
          <w:lang w:val="es-ES" w:eastAsia="es-ES"/>
        </w:rPr>
      </w:pPr>
      <w:r w:rsidRPr="00BD7E53">
        <w:rPr>
          <w:b/>
          <w:sz w:val="25"/>
          <w:szCs w:val="25"/>
          <w:u w:val="single"/>
          <w:lang w:val="es-ES" w:eastAsia="es-ES"/>
        </w:rPr>
        <w:t>En cuanto al Plazo:</w:t>
      </w:r>
      <w:r>
        <w:rPr>
          <w:sz w:val="25"/>
          <w:szCs w:val="25"/>
          <w:lang w:val="es-ES" w:eastAsia="es-ES"/>
        </w:rPr>
        <w:t xml:space="preserve"> Según lo que se puede desprender del Expediente del Caso, se tiene que el Recurso de Apelación se debe tener como presentado en tiempo y forma, toda vez que el Acto Impugnado fue Notificado por Correo Electrónico en fecha 22</w:t>
      </w:r>
    </w:p>
    <w:p w:rsidR="00000000" w:rsidRDefault="00002BD6">
      <w:pPr>
        <w:widowControl/>
        <w:rPr>
          <w:sz w:val="24"/>
          <w:szCs w:val="24"/>
        </w:rPr>
        <w:sectPr w:rsidR="00000000">
          <w:pgSz w:w="12302" w:h="15802"/>
          <w:pgMar w:top="2000" w:right="2027" w:bottom="747" w:left="1635" w:header="720" w:footer="720" w:gutter="0"/>
          <w:cols w:space="720"/>
          <w:noEndnote/>
        </w:sectPr>
      </w:pPr>
    </w:p>
    <w:p w:rsidR="00000000" w:rsidRDefault="00002BD6">
      <w:pPr>
        <w:kinsoku w:val="0"/>
        <w:overflowPunct w:val="0"/>
        <w:autoSpaceDE/>
        <w:autoSpaceDN/>
        <w:adjustRightInd/>
        <w:spacing w:before="19" w:line="333" w:lineRule="exact"/>
        <w:ind w:left="72" w:right="1080"/>
        <w:jc w:val="both"/>
        <w:textAlignment w:val="baseline"/>
        <w:rPr>
          <w:sz w:val="25"/>
          <w:szCs w:val="25"/>
          <w:lang w:val="es-ES" w:eastAsia="es-ES"/>
        </w:rPr>
      </w:pPr>
      <w:r>
        <w:rPr>
          <w:sz w:val="25"/>
          <w:szCs w:val="25"/>
          <w:lang w:val="es-ES" w:eastAsia="es-ES"/>
        </w:rPr>
        <w:lastRenderedPageBreak/>
        <w:t xml:space="preserve">de Agosto del 2016 </w:t>
      </w:r>
      <w:r>
        <w:rPr>
          <w:i/>
          <w:iCs/>
          <w:sz w:val="25"/>
          <w:szCs w:val="25"/>
          <w:lang w:val="es-ES" w:eastAsia="es-ES"/>
        </w:rPr>
        <w:t xml:space="preserve">(Ver Folio 00034 del Expediente del Caso) y </w:t>
      </w:r>
      <w:r>
        <w:rPr>
          <w:sz w:val="25"/>
          <w:szCs w:val="25"/>
          <w:lang w:val="es-ES" w:eastAsia="es-ES"/>
        </w:rPr>
        <w:t xml:space="preserve">el Recurso se Interpone en fecha 29 de Agosto del 2016 </w:t>
      </w:r>
      <w:r>
        <w:rPr>
          <w:i/>
          <w:iCs/>
          <w:sz w:val="25"/>
          <w:szCs w:val="25"/>
          <w:lang w:val="es-ES" w:eastAsia="es-ES"/>
        </w:rPr>
        <w:t xml:space="preserve">(Ver Folios 00018 y ss. del Expediente del Caso), </w:t>
      </w:r>
      <w:r>
        <w:rPr>
          <w:sz w:val="25"/>
          <w:szCs w:val="25"/>
          <w:lang w:val="es-ES" w:eastAsia="es-ES"/>
        </w:rPr>
        <w:t>conforme al Artículo 22 de la Ley No. 7969.</w:t>
      </w:r>
    </w:p>
    <w:p w:rsidR="00000000" w:rsidRDefault="00002BD6">
      <w:pPr>
        <w:kinsoku w:val="0"/>
        <w:overflowPunct w:val="0"/>
        <w:autoSpaceDE/>
        <w:autoSpaceDN/>
        <w:adjustRightInd/>
        <w:spacing w:before="387" w:line="287" w:lineRule="exact"/>
        <w:ind w:left="72"/>
        <w:textAlignment w:val="baseline"/>
        <w:rPr>
          <w:b/>
          <w:bCs/>
          <w:spacing w:val="8"/>
          <w:sz w:val="25"/>
          <w:szCs w:val="25"/>
          <w:lang w:val="es-ES" w:eastAsia="es-ES"/>
        </w:rPr>
      </w:pPr>
      <w:r w:rsidRPr="00BD7E53">
        <w:rPr>
          <w:b/>
          <w:spacing w:val="8"/>
          <w:sz w:val="25"/>
          <w:szCs w:val="25"/>
          <w:lang w:val="es-ES" w:eastAsia="es-ES"/>
        </w:rPr>
        <w:t>III.-</w:t>
      </w:r>
      <w:r>
        <w:rPr>
          <w:spacing w:val="8"/>
          <w:sz w:val="25"/>
          <w:szCs w:val="25"/>
          <w:lang w:val="es-ES" w:eastAsia="es-ES"/>
        </w:rPr>
        <w:t xml:space="preserve"> </w:t>
      </w:r>
      <w:r>
        <w:rPr>
          <w:b/>
          <w:bCs/>
          <w:spacing w:val="8"/>
          <w:sz w:val="25"/>
          <w:szCs w:val="25"/>
          <w:lang w:val="es-ES" w:eastAsia="es-ES"/>
        </w:rPr>
        <w:t>HECHOS PROBADOS:</w:t>
      </w:r>
    </w:p>
    <w:p w:rsidR="00000000" w:rsidRDefault="00002BD6">
      <w:pPr>
        <w:kinsoku w:val="0"/>
        <w:overflowPunct w:val="0"/>
        <w:autoSpaceDE/>
        <w:autoSpaceDN/>
        <w:adjustRightInd/>
        <w:spacing w:before="7" w:line="331" w:lineRule="exact"/>
        <w:ind w:left="72" w:right="1080"/>
        <w:jc w:val="both"/>
        <w:textAlignment w:val="baseline"/>
        <w:rPr>
          <w:sz w:val="25"/>
          <w:szCs w:val="25"/>
          <w:lang w:val="es-ES" w:eastAsia="es-ES"/>
        </w:rPr>
      </w:pPr>
      <w:r>
        <w:rPr>
          <w:sz w:val="25"/>
          <w:szCs w:val="25"/>
          <w:lang w:val="es-ES" w:eastAsia="es-ES"/>
        </w:rPr>
        <w:t>Como tales y en mérito de lo discutido mediante en cuanto al presente Caso, se tienen como Demostrados los Hechos consignados en lo Resultandos precedentes. Y particularmente los siguientes:</w:t>
      </w:r>
    </w:p>
    <w:p w:rsidR="00000000" w:rsidRDefault="00002BD6">
      <w:pPr>
        <w:numPr>
          <w:ilvl w:val="0"/>
          <w:numId w:val="3"/>
        </w:numPr>
        <w:kinsoku w:val="0"/>
        <w:overflowPunct w:val="0"/>
        <w:autoSpaceDE/>
        <w:autoSpaceDN/>
        <w:adjustRightInd/>
        <w:spacing w:before="353" w:line="333" w:lineRule="exact"/>
        <w:ind w:right="1080"/>
        <w:jc w:val="both"/>
        <w:textAlignment w:val="baseline"/>
        <w:rPr>
          <w:i/>
          <w:iCs/>
          <w:spacing w:val="-1"/>
          <w:sz w:val="25"/>
          <w:szCs w:val="25"/>
          <w:lang w:val="es-ES" w:eastAsia="es-ES"/>
        </w:rPr>
      </w:pPr>
      <w:r>
        <w:rPr>
          <w:i/>
          <w:iCs/>
          <w:spacing w:val="-1"/>
          <w:sz w:val="25"/>
          <w:szCs w:val="25"/>
          <w:lang w:val="es-ES" w:eastAsia="es-ES"/>
        </w:rPr>
        <w:t xml:space="preserve">Que mediante el </w:t>
      </w:r>
      <w:r>
        <w:rPr>
          <w:b/>
          <w:bCs/>
          <w:i/>
          <w:iCs/>
          <w:spacing w:val="-1"/>
          <w:sz w:val="25"/>
          <w:szCs w:val="25"/>
          <w:lang w:val="es-ES" w:eastAsia="es-ES"/>
        </w:rPr>
        <w:t>Artículo 7.2 de su Sesió</w:t>
      </w:r>
      <w:r>
        <w:rPr>
          <w:b/>
          <w:bCs/>
          <w:i/>
          <w:iCs/>
          <w:spacing w:val="-1"/>
          <w:sz w:val="25"/>
          <w:szCs w:val="25"/>
          <w:lang w:val="es-ES" w:eastAsia="es-ES"/>
        </w:rPr>
        <w:t xml:space="preserve">n Ordinaria 40-2016 </w:t>
      </w:r>
      <w:r>
        <w:rPr>
          <w:i/>
          <w:iCs/>
          <w:spacing w:val="-1"/>
          <w:sz w:val="25"/>
          <w:szCs w:val="25"/>
          <w:lang w:val="es-ES" w:eastAsia="es-ES"/>
        </w:rPr>
        <w:t>de fecha 18 de Agosto del 2016, la Junta Directiva del Consejo de Transporte Público Dispone Tener por Cancelada o Fenecida, por No Realización e Inasistencia al llamado de Renovación/Formalización respectivas, la Concesión de Taxi Plac</w:t>
      </w:r>
      <w:r>
        <w:rPr>
          <w:i/>
          <w:iCs/>
          <w:spacing w:val="-1"/>
          <w:sz w:val="25"/>
          <w:szCs w:val="25"/>
          <w:lang w:val="es-ES" w:eastAsia="es-ES"/>
        </w:rPr>
        <w:t xml:space="preserve">as </w:t>
      </w:r>
      <w:r>
        <w:rPr>
          <w:b/>
          <w:bCs/>
          <w:i/>
          <w:iCs/>
          <w:spacing w:val="-1"/>
          <w:sz w:val="25"/>
          <w:szCs w:val="25"/>
          <w:lang w:val="es-ES" w:eastAsia="es-ES"/>
        </w:rPr>
        <w:t>TC-</w:t>
      </w:r>
      <w:r w:rsidR="00BD7E53">
        <w:rPr>
          <w:b/>
          <w:bCs/>
          <w:i/>
          <w:iCs/>
          <w:spacing w:val="-1"/>
          <w:sz w:val="25"/>
          <w:szCs w:val="25"/>
          <w:lang w:val="es-ES" w:eastAsia="es-ES"/>
        </w:rPr>
        <w:t>XXX</w:t>
      </w:r>
      <w:r>
        <w:rPr>
          <w:b/>
          <w:bCs/>
          <w:i/>
          <w:iCs/>
          <w:spacing w:val="-1"/>
          <w:sz w:val="25"/>
          <w:szCs w:val="25"/>
          <w:lang w:val="es-ES" w:eastAsia="es-ES"/>
        </w:rPr>
        <w:t xml:space="preserve">, </w:t>
      </w:r>
      <w:r>
        <w:rPr>
          <w:i/>
          <w:iCs/>
          <w:spacing w:val="-1"/>
          <w:sz w:val="25"/>
          <w:szCs w:val="25"/>
          <w:lang w:val="es-ES" w:eastAsia="es-ES"/>
        </w:rPr>
        <w:t xml:space="preserve">a nombre de Don </w:t>
      </w:r>
      <w:r>
        <w:rPr>
          <w:b/>
          <w:bCs/>
          <w:i/>
          <w:iCs/>
          <w:spacing w:val="-1"/>
          <w:sz w:val="25"/>
          <w:szCs w:val="25"/>
          <w:lang w:val="es-ES" w:eastAsia="es-ES"/>
        </w:rPr>
        <w:t>V</w:t>
      </w:r>
      <w:r w:rsidR="00BD7E53">
        <w:rPr>
          <w:b/>
          <w:bCs/>
          <w:i/>
          <w:iCs/>
          <w:spacing w:val="-1"/>
          <w:sz w:val="25"/>
          <w:szCs w:val="25"/>
          <w:lang w:val="es-ES" w:eastAsia="es-ES"/>
        </w:rPr>
        <w:t>.M.M.C.</w:t>
      </w:r>
      <w:r>
        <w:rPr>
          <w:b/>
          <w:bCs/>
          <w:i/>
          <w:iCs/>
          <w:spacing w:val="-1"/>
          <w:sz w:val="25"/>
          <w:szCs w:val="25"/>
          <w:lang w:val="es-ES" w:eastAsia="es-ES"/>
        </w:rPr>
        <w:t xml:space="preserve"> </w:t>
      </w:r>
      <w:r>
        <w:rPr>
          <w:i/>
          <w:iCs/>
          <w:spacing w:val="-1"/>
          <w:sz w:val="25"/>
          <w:szCs w:val="25"/>
          <w:lang w:val="es-ES" w:eastAsia="es-ES"/>
        </w:rPr>
        <w:t>(Ver Folios 00026 y ss. del Expediente del Caso). Siendo dicho Acuerdo Notificado al Interesado el día 22 de Agosto del 2016, vía Correo Electrónico (Ver Folio 00034 del Expediente del Caso).</w:t>
      </w:r>
    </w:p>
    <w:p w:rsidR="00000000" w:rsidRDefault="00002BD6">
      <w:pPr>
        <w:numPr>
          <w:ilvl w:val="0"/>
          <w:numId w:val="3"/>
        </w:numPr>
        <w:kinsoku w:val="0"/>
        <w:overflowPunct w:val="0"/>
        <w:autoSpaceDE/>
        <w:autoSpaceDN/>
        <w:adjustRightInd/>
        <w:spacing w:before="353" w:line="332" w:lineRule="exact"/>
        <w:ind w:right="1080"/>
        <w:jc w:val="both"/>
        <w:textAlignment w:val="baseline"/>
        <w:rPr>
          <w:i/>
          <w:iCs/>
          <w:sz w:val="25"/>
          <w:szCs w:val="25"/>
          <w:lang w:val="es-ES" w:eastAsia="es-ES"/>
        </w:rPr>
      </w:pPr>
      <w:r>
        <w:rPr>
          <w:i/>
          <w:iCs/>
          <w:sz w:val="25"/>
          <w:szCs w:val="25"/>
          <w:lang w:val="es-ES" w:eastAsia="es-ES"/>
        </w:rPr>
        <w:t>Que en cons</w:t>
      </w:r>
      <w:r>
        <w:rPr>
          <w:i/>
          <w:iCs/>
          <w:sz w:val="25"/>
          <w:szCs w:val="25"/>
          <w:lang w:val="es-ES" w:eastAsia="es-ES"/>
        </w:rPr>
        <w:t xml:space="preserve">ecuencia, de lo antes dicho, Mediante Escrito de fecha 29 de Agosto del 2016, presentado en esa misma fecha al Expediente No. 332908 de la Ventanilla Única del Consejo de Transporte Público, el Interesado presenta las Acciones de Impugnación Ordinarias de </w:t>
      </w:r>
      <w:r>
        <w:rPr>
          <w:i/>
          <w:iCs/>
          <w:sz w:val="25"/>
          <w:szCs w:val="25"/>
          <w:lang w:val="es-ES" w:eastAsia="es-ES"/>
        </w:rPr>
        <w:t xml:space="preserve">Ley en contra de lo Actuado. Aduciendo que </w:t>
      </w:r>
      <w:r>
        <w:rPr>
          <w:b/>
          <w:bCs/>
          <w:i/>
          <w:iCs/>
          <w:sz w:val="25"/>
          <w:szCs w:val="25"/>
          <w:lang w:val="es-ES" w:eastAsia="es-ES"/>
        </w:rPr>
        <w:t>NO SE LE DIO OPORTUNIDAD DEBIDA DE DEFENSA Y QUE NO PUDO ACUDIR A SU CITA (REPROGRAMACIÓN) DE RENOVACIÓN DE CONCESIÓN PORQUE NO SE LE REALIZÓ LA COMUNICACIÓN DEBIDA DE LA CITACIÓN A ALGUNO DE LOS CORREOS POR EL SE</w:t>
      </w:r>
      <w:r>
        <w:rPr>
          <w:b/>
          <w:bCs/>
          <w:i/>
          <w:iCs/>
          <w:sz w:val="25"/>
          <w:szCs w:val="25"/>
          <w:lang w:val="es-ES" w:eastAsia="es-ES"/>
        </w:rPr>
        <w:t xml:space="preserve">ÑALADOS A TALES EFECTOS </w:t>
      </w:r>
      <w:r>
        <w:rPr>
          <w:i/>
          <w:iCs/>
          <w:sz w:val="25"/>
          <w:szCs w:val="25"/>
          <w:lang w:val="es-ES" w:eastAsia="es-ES"/>
        </w:rPr>
        <w:t>(Ver Folios 00018 a 00024).</w:t>
      </w:r>
    </w:p>
    <w:p w:rsidR="00000000" w:rsidRDefault="00002BD6">
      <w:pPr>
        <w:numPr>
          <w:ilvl w:val="0"/>
          <w:numId w:val="3"/>
        </w:numPr>
        <w:kinsoku w:val="0"/>
        <w:overflowPunct w:val="0"/>
        <w:autoSpaceDE/>
        <w:autoSpaceDN/>
        <w:adjustRightInd/>
        <w:spacing w:before="351" w:line="333" w:lineRule="exact"/>
        <w:ind w:right="1080"/>
        <w:jc w:val="both"/>
        <w:textAlignment w:val="baseline"/>
        <w:rPr>
          <w:i/>
          <w:iCs/>
          <w:sz w:val="25"/>
          <w:szCs w:val="25"/>
          <w:lang w:val="es-ES" w:eastAsia="es-ES"/>
        </w:rPr>
      </w:pPr>
      <w:r>
        <w:rPr>
          <w:i/>
          <w:iCs/>
          <w:sz w:val="25"/>
          <w:szCs w:val="25"/>
          <w:lang w:val="es-ES" w:eastAsia="es-ES"/>
        </w:rPr>
        <w:t>Que mediante su Acuerdo No. 7.7.1 de su Sesión Ordinaria No. 45-2017 del 22 de Noviembre del 2017, la Junta Directiva del Consejo de Transporte Público, ante las Recomendaciones del Oficio No. DAJ 2017-00</w:t>
      </w:r>
      <w:r>
        <w:rPr>
          <w:i/>
          <w:iCs/>
          <w:sz w:val="25"/>
          <w:szCs w:val="25"/>
          <w:lang w:val="es-ES" w:eastAsia="es-ES"/>
        </w:rPr>
        <w:t>2789 del 17 de Noviembre del 2017 de su Dirección de Asuntos Jurídicos, Analizados los Pormenores del Caso, dispone RECHAZAR la Revocatoria/Revisión y la Nulidad la primarias y elevar ante este Tribunal la Apelación y la Nulidad subsidiarias (Ver Folios 00</w:t>
      </w:r>
      <w:r>
        <w:rPr>
          <w:i/>
          <w:iCs/>
          <w:sz w:val="25"/>
          <w:szCs w:val="25"/>
          <w:lang w:val="es-ES" w:eastAsia="es-ES"/>
        </w:rPr>
        <w:t>02 a 0007 del Expediente del Caso).</w:t>
      </w:r>
    </w:p>
    <w:p w:rsidR="00000000" w:rsidRDefault="00002BD6">
      <w:pPr>
        <w:widowControl/>
        <w:rPr>
          <w:sz w:val="24"/>
          <w:szCs w:val="24"/>
        </w:rPr>
        <w:sectPr w:rsidR="00000000">
          <w:pgSz w:w="12312" w:h="15773"/>
          <w:pgMar w:top="2100" w:right="850" w:bottom="0" w:left="1742" w:header="720" w:footer="720" w:gutter="0"/>
          <w:cols w:space="720"/>
          <w:noEndnote/>
        </w:sectPr>
      </w:pPr>
    </w:p>
    <w:p w:rsidR="00000000" w:rsidRDefault="00002BD6">
      <w:pPr>
        <w:tabs>
          <w:tab w:val="left" w:pos="648"/>
        </w:tabs>
        <w:kinsoku w:val="0"/>
        <w:overflowPunct w:val="0"/>
        <w:autoSpaceDE/>
        <w:autoSpaceDN/>
        <w:adjustRightInd/>
        <w:spacing w:line="334" w:lineRule="exact"/>
        <w:ind w:right="144"/>
        <w:jc w:val="both"/>
        <w:textAlignment w:val="baseline"/>
        <w:rPr>
          <w:i/>
          <w:iCs/>
          <w:sz w:val="25"/>
          <w:szCs w:val="25"/>
          <w:lang w:val="es-ES" w:eastAsia="es-ES"/>
        </w:rPr>
      </w:pPr>
      <w:r w:rsidRPr="00BD7E53">
        <w:rPr>
          <w:b/>
          <w:i/>
          <w:iCs/>
          <w:sz w:val="25"/>
          <w:szCs w:val="25"/>
          <w:lang w:val="es-ES" w:eastAsia="es-ES"/>
        </w:rPr>
        <w:lastRenderedPageBreak/>
        <w:t>d.-</w:t>
      </w:r>
      <w:r>
        <w:rPr>
          <w:i/>
          <w:iCs/>
          <w:sz w:val="25"/>
          <w:szCs w:val="25"/>
          <w:lang w:val="es-ES" w:eastAsia="es-ES"/>
        </w:rPr>
        <w:tab/>
        <w:t>Que el Recurrente haya presentado, en Tiempo y Forma, una Debida Justificación o Eximente de Responsabilidad en cuanto a su No Comparecencia de Mérito a la Cita de Formalización de la Renovación de su Concesió</w:t>
      </w:r>
      <w:r>
        <w:rPr>
          <w:i/>
          <w:iCs/>
          <w:sz w:val="25"/>
          <w:szCs w:val="25"/>
          <w:lang w:val="es-ES" w:eastAsia="es-ES"/>
        </w:rPr>
        <w:t>n de Taxi.</w:t>
      </w:r>
    </w:p>
    <w:p w:rsidR="00000000" w:rsidRDefault="00002BD6">
      <w:pPr>
        <w:numPr>
          <w:ilvl w:val="0"/>
          <w:numId w:val="4"/>
        </w:numPr>
        <w:kinsoku w:val="0"/>
        <w:overflowPunct w:val="0"/>
        <w:autoSpaceDE/>
        <w:autoSpaceDN/>
        <w:adjustRightInd/>
        <w:spacing w:before="381" w:line="287" w:lineRule="exact"/>
        <w:textAlignment w:val="baseline"/>
        <w:rPr>
          <w:b/>
          <w:bCs/>
          <w:sz w:val="25"/>
          <w:szCs w:val="25"/>
          <w:lang w:val="es-ES" w:eastAsia="es-ES"/>
        </w:rPr>
      </w:pPr>
      <w:r>
        <w:rPr>
          <w:b/>
          <w:bCs/>
          <w:sz w:val="25"/>
          <w:szCs w:val="25"/>
          <w:lang w:val="es-ES" w:eastAsia="es-ES"/>
        </w:rPr>
        <w:t>HECHOS NO PROBADOS:</w:t>
      </w:r>
    </w:p>
    <w:p w:rsidR="00000000" w:rsidRDefault="00002BD6">
      <w:pPr>
        <w:kinsoku w:val="0"/>
        <w:overflowPunct w:val="0"/>
        <w:autoSpaceDE/>
        <w:autoSpaceDN/>
        <w:adjustRightInd/>
        <w:spacing w:before="51" w:line="282" w:lineRule="exact"/>
        <w:textAlignment w:val="baseline"/>
        <w:rPr>
          <w:spacing w:val="1"/>
          <w:sz w:val="25"/>
          <w:szCs w:val="25"/>
          <w:lang w:val="es-ES" w:eastAsia="es-ES"/>
        </w:rPr>
      </w:pPr>
      <w:r>
        <w:rPr>
          <w:spacing w:val="1"/>
          <w:sz w:val="25"/>
          <w:szCs w:val="25"/>
          <w:lang w:val="es-ES" w:eastAsia="es-ES"/>
        </w:rPr>
        <w:t>No se tiene como tal ninguno de relevancia a los presentes efectos.</w:t>
      </w:r>
    </w:p>
    <w:p w:rsidR="00000000" w:rsidRDefault="00002BD6">
      <w:pPr>
        <w:numPr>
          <w:ilvl w:val="0"/>
          <w:numId w:val="5"/>
        </w:numPr>
        <w:kinsoku w:val="0"/>
        <w:overflowPunct w:val="0"/>
        <w:autoSpaceDE/>
        <w:autoSpaceDN/>
        <w:adjustRightInd/>
        <w:spacing w:before="384" w:line="288" w:lineRule="exact"/>
        <w:textAlignment w:val="baseline"/>
        <w:rPr>
          <w:b/>
          <w:bCs/>
          <w:spacing w:val="1"/>
          <w:sz w:val="25"/>
          <w:szCs w:val="25"/>
          <w:lang w:val="es-ES" w:eastAsia="es-ES"/>
        </w:rPr>
      </w:pPr>
      <w:r>
        <w:rPr>
          <w:b/>
          <w:bCs/>
          <w:spacing w:val="1"/>
          <w:sz w:val="25"/>
          <w:szCs w:val="25"/>
          <w:lang w:val="es-ES" w:eastAsia="es-ES"/>
        </w:rPr>
        <w:t>SOBRE EL FONDO. ASPECTOS DE APELACIÓN:</w:t>
      </w:r>
    </w:p>
    <w:p w:rsidR="00000000" w:rsidRDefault="00002BD6">
      <w:pPr>
        <w:kinsoku w:val="0"/>
        <w:overflowPunct w:val="0"/>
        <w:autoSpaceDE/>
        <w:autoSpaceDN/>
        <w:adjustRightInd/>
        <w:spacing w:before="170" w:line="336" w:lineRule="exact"/>
        <w:ind w:right="144"/>
        <w:jc w:val="both"/>
        <w:textAlignment w:val="baseline"/>
        <w:rPr>
          <w:sz w:val="25"/>
          <w:szCs w:val="25"/>
          <w:lang w:val="es-ES" w:eastAsia="es-ES"/>
        </w:rPr>
      </w:pPr>
      <w:r>
        <w:rPr>
          <w:sz w:val="25"/>
          <w:szCs w:val="25"/>
          <w:lang w:val="es-ES" w:eastAsia="es-ES"/>
        </w:rPr>
        <w:t>En la especie estamos frente a un Caso en el que a el Recurrente se le Cancela su Derecho de Concesión, d</w:t>
      </w:r>
      <w:r>
        <w:rPr>
          <w:sz w:val="25"/>
          <w:szCs w:val="25"/>
          <w:lang w:val="es-ES" w:eastAsia="es-ES"/>
        </w:rPr>
        <w:t xml:space="preserve">e una </w:t>
      </w:r>
      <w:r>
        <w:rPr>
          <w:b/>
          <w:bCs/>
          <w:sz w:val="25"/>
          <w:szCs w:val="25"/>
          <w:lang w:val="es-ES" w:eastAsia="es-ES"/>
        </w:rPr>
        <w:t xml:space="preserve">FORMA AUTOMÁTICA </w:t>
      </w:r>
      <w:r>
        <w:rPr>
          <w:i/>
          <w:iCs/>
          <w:sz w:val="25"/>
          <w:szCs w:val="25"/>
          <w:lang w:val="es-ES" w:eastAsia="es-ES"/>
        </w:rPr>
        <w:t xml:space="preserve">y </w:t>
      </w:r>
      <w:r>
        <w:rPr>
          <w:b/>
          <w:bCs/>
          <w:sz w:val="25"/>
          <w:szCs w:val="25"/>
          <w:u w:val="single"/>
          <w:lang w:val="es-ES" w:eastAsia="es-ES"/>
        </w:rPr>
        <w:t>ante el Vencimiento de su Plazo de Vigencia; toda vez que se señala que la misma NO REALIZÓ LOS TRÁMITES DE RENOVACIÓN DE DICHA CONCESIÓN.</w:t>
      </w:r>
      <w:r>
        <w:rPr>
          <w:sz w:val="25"/>
          <w:szCs w:val="25"/>
          <w:lang w:val="es-ES" w:eastAsia="es-ES"/>
        </w:rPr>
        <w:t xml:space="preserve"> Razón por la cual tal Concesión de Taxi FENECIÓ.</w:t>
      </w:r>
    </w:p>
    <w:p w:rsidR="00000000" w:rsidRDefault="00002BD6">
      <w:pPr>
        <w:kinsoku w:val="0"/>
        <w:overflowPunct w:val="0"/>
        <w:autoSpaceDE/>
        <w:autoSpaceDN/>
        <w:adjustRightInd/>
        <w:spacing w:before="296" w:line="337" w:lineRule="exact"/>
        <w:ind w:right="144"/>
        <w:jc w:val="both"/>
        <w:textAlignment w:val="baseline"/>
        <w:rPr>
          <w:b/>
          <w:bCs/>
          <w:sz w:val="25"/>
          <w:szCs w:val="25"/>
          <w:lang w:val="es-ES" w:eastAsia="es-ES"/>
        </w:rPr>
      </w:pPr>
      <w:r>
        <w:rPr>
          <w:sz w:val="25"/>
          <w:szCs w:val="25"/>
          <w:lang w:val="es-ES" w:eastAsia="es-ES"/>
        </w:rPr>
        <w:t>Del Contenido del Expediente se colige, sin</w:t>
      </w:r>
      <w:r>
        <w:rPr>
          <w:sz w:val="25"/>
          <w:szCs w:val="25"/>
          <w:lang w:val="es-ES" w:eastAsia="es-ES"/>
        </w:rPr>
        <w:t xml:space="preserve"> dudas, que al Interesado se le Comunicó sobre su Deber de Renovación de su Concesión, Citándosele al efecto, en una Oportunidad de Reprogramación de su Cita respectiva, y que la misma NO FUE ATENDIDA por él y ante lo cual, al NO Darse el Efectivo Trámite </w:t>
      </w:r>
      <w:r>
        <w:rPr>
          <w:sz w:val="25"/>
          <w:szCs w:val="25"/>
          <w:lang w:val="es-ES" w:eastAsia="es-ES"/>
        </w:rPr>
        <w:t xml:space="preserve">de Renovación y al NO MOSTRAR DILIGENCIA E INTERÉS DEBIDOS el Concesionario </w:t>
      </w:r>
      <w:r>
        <w:rPr>
          <w:i/>
          <w:iCs/>
          <w:sz w:val="25"/>
          <w:szCs w:val="25"/>
          <w:lang w:val="es-ES" w:eastAsia="es-ES"/>
        </w:rPr>
        <w:t xml:space="preserve">(hoy Recurrente), </w:t>
      </w:r>
      <w:r>
        <w:rPr>
          <w:sz w:val="25"/>
          <w:szCs w:val="25"/>
          <w:lang w:val="es-ES" w:eastAsia="es-ES"/>
        </w:rPr>
        <w:t xml:space="preserve">mediante el Acto que se Impugna y atendiendo lo Recomendado mediante los Informes de Oficios DAJ 2016-002898 y DE 2016-2135, de la Dirección de Asesoría Jurídica </w:t>
      </w:r>
      <w:r>
        <w:rPr>
          <w:sz w:val="25"/>
          <w:szCs w:val="25"/>
          <w:lang w:val="es-ES" w:eastAsia="es-ES"/>
        </w:rPr>
        <w:t xml:space="preserve">y de la Dirección Ejecutiva, del Consejo de Transporte Público respectivamente </w:t>
      </w:r>
      <w:r>
        <w:rPr>
          <w:i/>
          <w:iCs/>
          <w:sz w:val="25"/>
          <w:szCs w:val="25"/>
          <w:lang w:val="es-ES" w:eastAsia="es-ES"/>
        </w:rPr>
        <w:t xml:space="preserve">(Ver Folios 00035 y ss. del Expediente del Caso), </w:t>
      </w:r>
      <w:r>
        <w:rPr>
          <w:sz w:val="25"/>
          <w:szCs w:val="25"/>
          <w:lang w:val="es-ES" w:eastAsia="es-ES"/>
        </w:rPr>
        <w:t xml:space="preserve">se Dispone por No Haber Acudido </w:t>
      </w:r>
      <w:r>
        <w:rPr>
          <w:i/>
          <w:iCs/>
          <w:sz w:val="25"/>
          <w:szCs w:val="25"/>
          <w:lang w:val="es-ES" w:eastAsia="es-ES"/>
        </w:rPr>
        <w:t xml:space="preserve">(SIN JUSTIFICANTE DEBIDA) </w:t>
      </w:r>
      <w:r>
        <w:rPr>
          <w:sz w:val="25"/>
          <w:szCs w:val="25"/>
          <w:lang w:val="es-ES" w:eastAsia="es-ES"/>
        </w:rPr>
        <w:t>a la Reprogramación de Cita de Formalización de Renovación de Concesi</w:t>
      </w:r>
      <w:r>
        <w:rPr>
          <w:sz w:val="25"/>
          <w:szCs w:val="25"/>
          <w:lang w:val="es-ES" w:eastAsia="es-ES"/>
        </w:rPr>
        <w:t xml:space="preserve">ón Otorgada, tener por Cancelada o Fenecida, por No Realización e Inasistencia al llamado de Renovación/Formalización respectivas, la Concesión de Taxi Placas </w:t>
      </w:r>
      <w:r>
        <w:rPr>
          <w:b/>
          <w:bCs/>
          <w:sz w:val="25"/>
          <w:szCs w:val="25"/>
          <w:u w:val="single"/>
          <w:lang w:val="es-ES" w:eastAsia="es-ES"/>
        </w:rPr>
        <w:t>TC-</w:t>
      </w:r>
      <w:r w:rsidR="00BD7E53">
        <w:rPr>
          <w:b/>
          <w:bCs/>
          <w:sz w:val="25"/>
          <w:szCs w:val="25"/>
          <w:u w:val="single"/>
          <w:lang w:val="es-ES" w:eastAsia="es-ES"/>
        </w:rPr>
        <w:t>XXX</w:t>
      </w:r>
      <w:r>
        <w:rPr>
          <w:sz w:val="25"/>
          <w:szCs w:val="25"/>
          <w:lang w:val="es-ES" w:eastAsia="es-ES"/>
        </w:rPr>
        <w:t xml:space="preserve"> a nombre de Don </w:t>
      </w:r>
      <w:r>
        <w:rPr>
          <w:b/>
          <w:bCs/>
          <w:sz w:val="25"/>
          <w:szCs w:val="25"/>
          <w:lang w:val="es-ES" w:eastAsia="es-ES"/>
        </w:rPr>
        <w:t>V</w:t>
      </w:r>
      <w:r w:rsidR="00BD7E53">
        <w:rPr>
          <w:b/>
          <w:bCs/>
          <w:sz w:val="25"/>
          <w:szCs w:val="25"/>
          <w:lang w:val="es-ES" w:eastAsia="es-ES"/>
        </w:rPr>
        <w:t>.M.M.C.</w:t>
      </w:r>
      <w:r>
        <w:rPr>
          <w:b/>
          <w:bCs/>
          <w:sz w:val="25"/>
          <w:szCs w:val="25"/>
          <w:lang w:val="es-ES" w:eastAsia="es-ES"/>
        </w:rPr>
        <w:t xml:space="preserve">; </w:t>
      </w:r>
      <w:r>
        <w:rPr>
          <w:i/>
          <w:iCs/>
          <w:sz w:val="25"/>
          <w:szCs w:val="25"/>
          <w:lang w:val="es-ES" w:eastAsia="es-ES"/>
        </w:rPr>
        <w:t xml:space="preserve">y, per se, </w:t>
      </w:r>
      <w:r>
        <w:rPr>
          <w:b/>
          <w:bCs/>
          <w:sz w:val="25"/>
          <w:szCs w:val="25"/>
          <w:lang w:val="es-ES" w:eastAsia="es-ES"/>
        </w:rPr>
        <w:t>POR HABER EXPIRADO O FENECIDO A</w:t>
      </w:r>
      <w:r>
        <w:rPr>
          <w:b/>
          <w:bCs/>
          <w:sz w:val="25"/>
          <w:szCs w:val="25"/>
          <w:lang w:val="es-ES" w:eastAsia="es-ES"/>
        </w:rPr>
        <w:t>NTE EL ADVENIMIENTO DE SU PLAZO DE VIGENCIA Y SU NO PRÓRROGA DEBIDA.</w:t>
      </w:r>
    </w:p>
    <w:p w:rsidR="00000000" w:rsidRDefault="00002BD6">
      <w:pPr>
        <w:kinsoku w:val="0"/>
        <w:overflowPunct w:val="0"/>
        <w:autoSpaceDE/>
        <w:autoSpaceDN/>
        <w:adjustRightInd/>
        <w:spacing w:before="338" w:line="338" w:lineRule="exact"/>
        <w:jc w:val="both"/>
        <w:textAlignment w:val="baseline"/>
        <w:rPr>
          <w:spacing w:val="-1"/>
          <w:sz w:val="25"/>
          <w:szCs w:val="25"/>
          <w:lang w:val="es-ES" w:eastAsia="es-ES"/>
        </w:rPr>
      </w:pPr>
      <w:r>
        <w:rPr>
          <w:spacing w:val="-1"/>
          <w:sz w:val="25"/>
          <w:szCs w:val="25"/>
          <w:lang w:val="es-ES" w:eastAsia="es-ES"/>
        </w:rPr>
        <w:t xml:space="preserve">Sobre el tema este Tribunal ya ha dicho que en Materia de Contratación Administrativa o con el Estado, hay una Responsabilidad Conjunta o Concurrente entre el Estado </w:t>
      </w:r>
      <w:r>
        <w:rPr>
          <w:i/>
          <w:iCs/>
          <w:spacing w:val="-1"/>
          <w:sz w:val="25"/>
          <w:szCs w:val="25"/>
          <w:lang w:val="es-ES" w:eastAsia="es-ES"/>
        </w:rPr>
        <w:t xml:space="preserve">(en este caso el Consejo de Transporte Público como Administración Concedente) </w:t>
      </w:r>
      <w:r>
        <w:rPr>
          <w:spacing w:val="-1"/>
          <w:sz w:val="25"/>
          <w:szCs w:val="25"/>
          <w:lang w:val="es-ES" w:eastAsia="es-ES"/>
        </w:rPr>
        <w:t xml:space="preserve">y el Contratista o Concesionario, ante la cual </w:t>
      </w:r>
      <w:r>
        <w:rPr>
          <w:b/>
          <w:bCs/>
          <w:spacing w:val="-1"/>
          <w:sz w:val="25"/>
          <w:szCs w:val="25"/>
          <w:u w:val="single"/>
          <w:lang w:val="es-ES" w:eastAsia="es-ES"/>
        </w:rPr>
        <w:t>ambos</w:t>
      </w:r>
      <w:r>
        <w:rPr>
          <w:spacing w:val="-1"/>
          <w:sz w:val="25"/>
          <w:szCs w:val="25"/>
          <w:lang w:val="es-ES" w:eastAsia="es-ES"/>
        </w:rPr>
        <w:t xml:space="preserve"> deben de presentar sus acciones y gestiones de interés en tiempo y de manera eficiente </w:t>
      </w:r>
      <w:r>
        <w:rPr>
          <w:b/>
          <w:bCs/>
          <w:spacing w:val="-1"/>
          <w:sz w:val="25"/>
          <w:szCs w:val="25"/>
          <w:lang w:val="es-ES" w:eastAsia="es-ES"/>
        </w:rPr>
        <w:t xml:space="preserve">y de dar seguimiento y continuidad a </w:t>
      </w:r>
      <w:r>
        <w:rPr>
          <w:b/>
          <w:bCs/>
          <w:spacing w:val="-1"/>
          <w:sz w:val="25"/>
          <w:szCs w:val="25"/>
          <w:lang w:val="es-ES" w:eastAsia="es-ES"/>
        </w:rPr>
        <w:t xml:space="preserve">las mismas </w:t>
      </w:r>
      <w:r>
        <w:rPr>
          <w:i/>
          <w:iCs/>
          <w:spacing w:val="-1"/>
          <w:sz w:val="25"/>
          <w:szCs w:val="25"/>
          <w:lang w:val="es-ES" w:eastAsia="es-ES"/>
        </w:rPr>
        <w:t xml:space="preserve">(artículo 210 del RLCA). </w:t>
      </w:r>
      <w:r>
        <w:rPr>
          <w:spacing w:val="-1"/>
          <w:sz w:val="25"/>
          <w:szCs w:val="25"/>
          <w:lang w:val="es-ES" w:eastAsia="es-ES"/>
        </w:rPr>
        <w:t>Y tratándose de una Situación</w:t>
      </w:r>
    </w:p>
    <w:p w:rsidR="00000000" w:rsidRDefault="00002BD6">
      <w:pPr>
        <w:widowControl/>
        <w:rPr>
          <w:sz w:val="24"/>
          <w:szCs w:val="24"/>
        </w:rPr>
        <w:sectPr w:rsidR="00000000">
          <w:pgSz w:w="12312" w:h="15773"/>
          <w:pgMar w:top="1980" w:right="1862" w:bottom="771" w:left="1670" w:header="720" w:footer="720" w:gutter="0"/>
          <w:cols w:space="720"/>
          <w:noEndnote/>
        </w:sectPr>
      </w:pPr>
    </w:p>
    <w:p w:rsidR="00000000" w:rsidRDefault="00002BD6">
      <w:pPr>
        <w:kinsoku w:val="0"/>
        <w:overflowPunct w:val="0"/>
        <w:autoSpaceDE/>
        <w:autoSpaceDN/>
        <w:adjustRightInd/>
        <w:spacing w:before="5" w:line="338" w:lineRule="exact"/>
        <w:jc w:val="both"/>
        <w:textAlignment w:val="baseline"/>
        <w:rPr>
          <w:i/>
          <w:iCs/>
          <w:sz w:val="25"/>
          <w:szCs w:val="25"/>
          <w:lang w:val="es-ES" w:eastAsia="es-ES"/>
        </w:rPr>
      </w:pPr>
      <w:r>
        <w:rPr>
          <w:sz w:val="25"/>
          <w:szCs w:val="25"/>
          <w:lang w:val="es-ES" w:eastAsia="es-ES"/>
        </w:rPr>
        <w:lastRenderedPageBreak/>
        <w:t>tan relevante como la Renovación de una Concesión de Servicio Público, el o la Concesionario(a) debe jugar bien y debidamente ese papel como INTERESADO. Y cabe así señal</w:t>
      </w:r>
      <w:r>
        <w:rPr>
          <w:sz w:val="25"/>
          <w:szCs w:val="25"/>
          <w:lang w:val="es-ES" w:eastAsia="es-ES"/>
        </w:rPr>
        <w:t xml:space="preserve">ar que conforme las Determinaciones de los Contratos de Concesión de Taxi, en concordancia con las Normas Aplicables de la Ley de Contratación Administrativa y de su Reglamento </w:t>
      </w:r>
      <w:r w:rsidRPr="00BD7E53">
        <w:rPr>
          <w:b/>
          <w:i/>
          <w:iCs/>
          <w:sz w:val="25"/>
          <w:szCs w:val="25"/>
          <w:lang w:val="es-ES" w:eastAsia="es-ES"/>
        </w:rPr>
        <w:t xml:space="preserve">(Artículos 190 y 191) </w:t>
      </w:r>
      <w:r w:rsidRPr="00BD7E53">
        <w:rPr>
          <w:b/>
          <w:sz w:val="25"/>
          <w:szCs w:val="25"/>
          <w:lang w:val="es-ES" w:eastAsia="es-ES"/>
        </w:rPr>
        <w:t xml:space="preserve">la </w:t>
      </w:r>
      <w:r w:rsidRPr="00BD7E53">
        <w:rPr>
          <w:b/>
          <w:i/>
          <w:iCs/>
          <w:sz w:val="25"/>
          <w:szCs w:val="25"/>
          <w:lang w:val="es-ES" w:eastAsia="es-ES"/>
        </w:rPr>
        <w:t>NO COMPARECENCIA INJUSTIFICADA A FORMALIZAR UN CONTRAT</w:t>
      </w:r>
      <w:r w:rsidRPr="00BD7E53">
        <w:rPr>
          <w:b/>
          <w:i/>
          <w:iCs/>
          <w:sz w:val="25"/>
          <w:szCs w:val="25"/>
          <w:lang w:val="es-ES" w:eastAsia="es-ES"/>
        </w:rPr>
        <w:t xml:space="preserve">O ADMINISTRATIVO </w:t>
      </w:r>
      <w:r w:rsidRPr="00BD7E53">
        <w:rPr>
          <w:b/>
          <w:sz w:val="25"/>
          <w:szCs w:val="25"/>
          <w:u w:val="single"/>
          <w:lang w:val="es-ES" w:eastAsia="es-ES"/>
        </w:rPr>
        <w:t>PUEDE CONLLEVAR SU INSUBSISTENCIA</w:t>
      </w:r>
      <w:r>
        <w:rPr>
          <w:i/>
          <w:iCs/>
          <w:sz w:val="25"/>
          <w:szCs w:val="25"/>
          <w:lang w:val="es-ES" w:eastAsia="es-ES"/>
        </w:rPr>
        <w:t xml:space="preserve"> (como acaece en este Caso)</w:t>
      </w:r>
    </w:p>
    <w:p w:rsidR="00000000" w:rsidRDefault="00002BD6">
      <w:pPr>
        <w:kinsoku w:val="0"/>
        <w:overflowPunct w:val="0"/>
        <w:autoSpaceDE/>
        <w:autoSpaceDN/>
        <w:adjustRightInd/>
        <w:spacing w:before="324" w:line="339" w:lineRule="exact"/>
        <w:ind w:right="72"/>
        <w:jc w:val="both"/>
        <w:textAlignment w:val="baseline"/>
        <w:rPr>
          <w:sz w:val="25"/>
          <w:szCs w:val="25"/>
          <w:lang w:val="es-ES" w:eastAsia="es-ES"/>
        </w:rPr>
      </w:pPr>
      <w:r>
        <w:rPr>
          <w:sz w:val="25"/>
          <w:szCs w:val="25"/>
          <w:lang w:val="es-ES" w:eastAsia="es-ES"/>
        </w:rPr>
        <w:t>En cuanto a lo anterior, el siguiente antecedente de la Contraloría General de la República nos ilustra:</w:t>
      </w:r>
    </w:p>
    <w:p w:rsidR="00000000" w:rsidRPr="00BD7E53" w:rsidRDefault="00002BD6">
      <w:pPr>
        <w:kinsoku w:val="0"/>
        <w:overflowPunct w:val="0"/>
        <w:autoSpaceDE/>
        <w:autoSpaceDN/>
        <w:adjustRightInd/>
        <w:spacing w:before="425" w:line="289" w:lineRule="exact"/>
        <w:ind w:left="576"/>
        <w:textAlignment w:val="baseline"/>
        <w:rPr>
          <w:b/>
          <w:i/>
          <w:iCs/>
          <w:spacing w:val="4"/>
          <w:sz w:val="25"/>
          <w:szCs w:val="25"/>
          <w:lang w:val="es-ES" w:eastAsia="es-ES"/>
        </w:rPr>
      </w:pPr>
      <w:r w:rsidRPr="00BD7E53">
        <w:rPr>
          <w:b/>
          <w:i/>
          <w:iCs/>
          <w:spacing w:val="4"/>
          <w:sz w:val="25"/>
          <w:szCs w:val="25"/>
          <w:lang w:val="es-ES" w:eastAsia="es-ES"/>
        </w:rPr>
        <w:t>Incumplimientos. Se presume culpa del contratista</w:t>
      </w:r>
    </w:p>
    <w:p w:rsidR="00000000" w:rsidRPr="00002BD6" w:rsidRDefault="00002BD6">
      <w:pPr>
        <w:kinsoku w:val="0"/>
        <w:overflowPunct w:val="0"/>
        <w:autoSpaceDE/>
        <w:autoSpaceDN/>
        <w:adjustRightInd/>
        <w:spacing w:before="355" w:line="329" w:lineRule="exact"/>
        <w:ind w:left="576" w:right="720"/>
        <w:jc w:val="both"/>
        <w:textAlignment w:val="baseline"/>
        <w:rPr>
          <w:b/>
          <w:i/>
          <w:iCs/>
          <w:spacing w:val="-1"/>
          <w:sz w:val="25"/>
          <w:szCs w:val="25"/>
          <w:lang w:val="es-ES" w:eastAsia="es-ES"/>
        </w:rPr>
      </w:pPr>
      <w:r>
        <w:rPr>
          <w:i/>
          <w:iCs/>
          <w:spacing w:val="-1"/>
          <w:sz w:val="25"/>
          <w:szCs w:val="25"/>
          <w:lang w:val="es-ES" w:eastAsia="es-ES"/>
        </w:rPr>
        <w:t xml:space="preserve">Sobre este particular, </w:t>
      </w:r>
      <w:r>
        <w:rPr>
          <w:i/>
          <w:iCs/>
          <w:spacing w:val="-1"/>
          <w:sz w:val="25"/>
          <w:szCs w:val="25"/>
          <w:lang w:val="es-ES" w:eastAsia="es-ES"/>
        </w:rPr>
        <w:t>debe indicarse en primer término que confunde aquella defensa, los presupuestos del régimen de responsabilidad contractual, que es evidentemente el caso en comentario al estar en presencia de una obligación contractual —toda vez que existía un contrato ent</w:t>
      </w:r>
      <w:r>
        <w:rPr>
          <w:i/>
          <w:iCs/>
          <w:spacing w:val="-1"/>
          <w:sz w:val="25"/>
          <w:szCs w:val="25"/>
          <w:lang w:val="es-ES" w:eastAsia="es-ES"/>
        </w:rPr>
        <w:t xml:space="preserve">re el Estado y las contratistas, por el cual debía cumplirse con un determinado objeto por parte de esas contratistas—, </w:t>
      </w:r>
      <w:r w:rsidRPr="00BD7E53">
        <w:rPr>
          <w:b/>
          <w:i/>
          <w:iCs/>
          <w:spacing w:val="-1"/>
          <w:sz w:val="25"/>
          <w:szCs w:val="25"/>
          <w:lang w:val="es-ES" w:eastAsia="es-ES"/>
        </w:rPr>
        <w:t xml:space="preserve">en donde ante la existencia de alguna imperfección en el objeto pactado, la culpa del contratista se presume, correspondiendo a éste el </w:t>
      </w:r>
      <w:r w:rsidRPr="00BD7E53">
        <w:rPr>
          <w:b/>
          <w:i/>
          <w:iCs/>
          <w:spacing w:val="-1"/>
          <w:sz w:val="25"/>
          <w:szCs w:val="25"/>
          <w:lang w:val="es-ES" w:eastAsia="es-ES"/>
        </w:rPr>
        <w:t xml:space="preserve">probar que dicha imperfección no es responsabilidad suya (artículo 701y 702 del Código Civil). </w:t>
      </w:r>
      <w:r>
        <w:rPr>
          <w:i/>
          <w:iCs/>
          <w:spacing w:val="-1"/>
          <w:sz w:val="25"/>
          <w:szCs w:val="25"/>
          <w:lang w:val="es-ES" w:eastAsia="es-ES"/>
        </w:rPr>
        <w:t>Siendo lo anterior un principio de carga de la prueba en materia contractual (plenamente aplicable en contratación administrativa), que se diferencia, obviamente</w:t>
      </w:r>
      <w:r>
        <w:rPr>
          <w:i/>
          <w:iCs/>
          <w:spacing w:val="-1"/>
          <w:sz w:val="25"/>
          <w:szCs w:val="25"/>
          <w:lang w:val="es-ES" w:eastAsia="es-ES"/>
        </w:rPr>
        <w:t>, de la materia extracontractual. Valga recordar al efecto elementos básicos en el cumplimiento de obligaciones contractuales: "Si el pago es el cumplimiento de la obligación tal como ella se encuentra establecida, no hay otra forma de que la negativa para</w:t>
      </w:r>
      <w:r>
        <w:rPr>
          <w:i/>
          <w:iCs/>
          <w:spacing w:val="-1"/>
          <w:sz w:val="25"/>
          <w:szCs w:val="25"/>
          <w:lang w:val="es-ES" w:eastAsia="es-ES"/>
        </w:rPr>
        <w:t xml:space="preserve"> definir el incumplimiento: el no pago, esto es, la falta de satisfacción íntegra y oportuna de la obligación al tenor de ella./ Usando los términos del Art. 1.556, hay incumplimiento cuando la obligación no se cumple, se cumple imperfectamente o se retard</w:t>
      </w:r>
      <w:r>
        <w:rPr>
          <w:i/>
          <w:iCs/>
          <w:spacing w:val="-1"/>
          <w:sz w:val="25"/>
          <w:szCs w:val="25"/>
          <w:lang w:val="es-ES" w:eastAsia="es-ES"/>
        </w:rPr>
        <w:t>a su cumplimiento; dicho de otra manera, cuando se falta íntegramente al pago, o se infringe alguno de los requisitos de este que ya hemos estudiado. [...</w:t>
      </w:r>
      <w:r w:rsidR="005059D1">
        <w:rPr>
          <w:i/>
          <w:iCs/>
          <w:spacing w:val="-1"/>
          <w:sz w:val="25"/>
          <w:szCs w:val="25"/>
          <w:lang w:val="es-ES" w:eastAsia="es-ES"/>
        </w:rPr>
        <w:t>]</w:t>
      </w:r>
      <w:r>
        <w:rPr>
          <w:i/>
          <w:iCs/>
          <w:spacing w:val="-1"/>
          <w:sz w:val="25"/>
          <w:szCs w:val="25"/>
          <w:lang w:val="es-ES" w:eastAsia="es-ES"/>
        </w:rPr>
        <w:t xml:space="preserve"> 796. Prueba del incumplimiento y presunción de imputabilidad. De acuerdo al Art. 1.698, corresponde </w:t>
      </w:r>
      <w:r>
        <w:rPr>
          <w:i/>
          <w:iCs/>
          <w:spacing w:val="-1"/>
          <w:sz w:val="25"/>
          <w:szCs w:val="25"/>
          <w:lang w:val="es-ES" w:eastAsia="es-ES"/>
        </w:rPr>
        <w:t xml:space="preserve">probar la obligación o su extinción al que alega aquélla o ésta./ </w:t>
      </w:r>
      <w:r w:rsidRPr="00002BD6">
        <w:rPr>
          <w:b/>
          <w:i/>
          <w:iCs/>
          <w:spacing w:val="-1"/>
          <w:sz w:val="25"/>
          <w:szCs w:val="25"/>
          <w:lang w:val="es-ES" w:eastAsia="es-ES"/>
        </w:rPr>
        <w:t>En consecuencia, si al acreedor le corresponde acreditar la</w:t>
      </w:r>
    </w:p>
    <w:p w:rsidR="00000000" w:rsidRDefault="00002BD6">
      <w:pPr>
        <w:widowControl/>
        <w:rPr>
          <w:sz w:val="24"/>
          <w:szCs w:val="24"/>
        </w:rPr>
        <w:sectPr w:rsidR="00000000">
          <w:pgSz w:w="12317" w:h="15787"/>
          <w:pgMar w:top="2120" w:right="1790" w:bottom="53" w:left="1747" w:header="720" w:footer="720" w:gutter="0"/>
          <w:cols w:space="720"/>
          <w:noEndnote/>
        </w:sectPr>
      </w:pPr>
    </w:p>
    <w:p w:rsidR="00000000" w:rsidRDefault="00002BD6">
      <w:pPr>
        <w:kinsoku w:val="0"/>
        <w:overflowPunct w:val="0"/>
        <w:autoSpaceDE/>
        <w:autoSpaceDN/>
        <w:adjustRightInd/>
        <w:spacing w:before="19" w:line="334" w:lineRule="exact"/>
        <w:ind w:left="576" w:right="648"/>
        <w:jc w:val="both"/>
        <w:textAlignment w:val="baseline"/>
        <w:rPr>
          <w:i/>
          <w:iCs/>
          <w:spacing w:val="1"/>
          <w:sz w:val="25"/>
          <w:szCs w:val="25"/>
          <w:lang w:val="es-ES" w:eastAsia="es-ES"/>
        </w:rPr>
      </w:pPr>
      <w:r w:rsidRPr="00002BD6">
        <w:rPr>
          <w:b/>
          <w:i/>
          <w:iCs/>
          <w:spacing w:val="1"/>
          <w:sz w:val="25"/>
          <w:szCs w:val="25"/>
          <w:lang w:val="es-ES" w:eastAsia="es-ES"/>
        </w:rPr>
        <w:lastRenderedPageBreak/>
        <w:t xml:space="preserve">existencia de la obligación, no le toca, en cambio, probar el incumplimiento. Es el </w:t>
      </w:r>
      <w:r w:rsidRPr="00002BD6">
        <w:rPr>
          <w:b/>
          <w:i/>
          <w:iCs/>
          <w:spacing w:val="1"/>
          <w:sz w:val="25"/>
          <w:szCs w:val="25"/>
          <w:lang w:val="es-ES" w:eastAsia="es-ES"/>
        </w:rPr>
        <w:t>deudor quien debe establecer que ha cumplido, porque alega el pago, o sea, la extinción de la obligación y sobre él coloca la ley la carga de la prueba en tal caso./ Pero aún más, si el deudor no ha cumplido, deberá probar, si quiere quedar exento de respo</w:t>
      </w:r>
      <w:r w:rsidRPr="00002BD6">
        <w:rPr>
          <w:b/>
          <w:i/>
          <w:iCs/>
          <w:spacing w:val="1"/>
          <w:sz w:val="25"/>
          <w:szCs w:val="25"/>
          <w:lang w:val="es-ES" w:eastAsia="es-ES"/>
        </w:rPr>
        <w:t>nsabilidad, que el incumplimiento no le es imputable.</w:t>
      </w:r>
      <w:r>
        <w:rPr>
          <w:i/>
          <w:iCs/>
          <w:spacing w:val="1"/>
          <w:sz w:val="25"/>
          <w:szCs w:val="25"/>
          <w:lang w:val="es-ES" w:eastAsia="es-ES"/>
        </w:rPr>
        <w:t xml:space="preserve"> Porque el deudor se defenderá de la demanda del acreedor que le exige el cumplimiento o la indemnización de perjuicios, alegando que ha operado algún modo extintivo de la obligación liberatoria para él.</w:t>
      </w:r>
      <w:r>
        <w:rPr>
          <w:i/>
          <w:iCs/>
          <w:spacing w:val="1"/>
          <w:sz w:val="25"/>
          <w:szCs w:val="25"/>
          <w:lang w:val="es-ES" w:eastAsia="es-ES"/>
        </w:rPr>
        <w:t xml:space="preserve"> Según la regla general del Art. 1.698, deberá probarlo." (El destacado no es del original) ABELIUK MANASEVICH, Rene. </w:t>
      </w:r>
      <w:r>
        <w:rPr>
          <w:i/>
          <w:iCs/>
          <w:spacing w:val="1"/>
          <w:sz w:val="25"/>
          <w:szCs w:val="25"/>
          <w:u w:val="single"/>
          <w:lang w:val="es-ES" w:eastAsia="es-ES"/>
        </w:rPr>
        <w:t>Las obligaciones,</w:t>
      </w:r>
      <w:r>
        <w:rPr>
          <w:i/>
          <w:iCs/>
          <w:spacing w:val="1"/>
          <w:sz w:val="25"/>
          <w:szCs w:val="25"/>
          <w:lang w:val="es-ES" w:eastAsia="es-ES"/>
        </w:rPr>
        <w:t xml:space="preserve"> Tomo II, Editorial Temis S.A., Editorial Jurídica de Chile, 1993, pá</w:t>
      </w:r>
      <w:r>
        <w:rPr>
          <w:i/>
          <w:iCs/>
          <w:spacing w:val="1"/>
          <w:sz w:val="25"/>
          <w:szCs w:val="25"/>
          <w:lang w:val="es-ES" w:eastAsia="es-ES"/>
        </w:rPr>
        <w:t xml:space="preserve">g. 653 y 655) Por su parte, el autor nacional, Fernando Montero Piña, señaló sobre este mismo tema lo siguiente: / "En el artículo 702 del Código Civil la responsabilidad del deudor se fundamenta en su culpa, entendida como negligencia o dolo. </w:t>
      </w:r>
      <w:r w:rsidRPr="00002BD6">
        <w:rPr>
          <w:b/>
          <w:i/>
          <w:iCs/>
          <w:spacing w:val="1"/>
          <w:sz w:val="25"/>
          <w:szCs w:val="25"/>
          <w:lang w:val="es-ES" w:eastAsia="es-ES"/>
        </w:rPr>
        <w:t>Existe una p</w:t>
      </w:r>
      <w:r w:rsidRPr="00002BD6">
        <w:rPr>
          <w:b/>
          <w:i/>
          <w:iCs/>
          <w:spacing w:val="1"/>
          <w:sz w:val="25"/>
          <w:szCs w:val="25"/>
          <w:lang w:val="es-ES" w:eastAsia="es-ES"/>
        </w:rPr>
        <w:t>resunción en el ordenamiento civil costarricense que consiste en que la culpa del deudor se presume siempre que incurre en incumplimiento y es al incumplidos a quien corresponde la carga de la prueba de la ausencia de esa culpa, es decir, que debe probar q</w:t>
      </w:r>
      <w:r w:rsidRPr="00002BD6">
        <w:rPr>
          <w:b/>
          <w:i/>
          <w:iCs/>
          <w:spacing w:val="1"/>
          <w:sz w:val="25"/>
          <w:szCs w:val="25"/>
          <w:lang w:val="es-ES" w:eastAsia="es-ES"/>
        </w:rPr>
        <w:t>ue el incumplimiento se ha debido a caso fortuito o fuerza mayor o incluso al comportamiento del acreedor.</w:t>
      </w:r>
      <w:r>
        <w:rPr>
          <w:i/>
          <w:iCs/>
          <w:spacing w:val="1"/>
          <w:sz w:val="25"/>
          <w:szCs w:val="25"/>
          <w:lang w:val="es-ES" w:eastAsia="es-ES"/>
        </w:rPr>
        <w:t xml:space="preserve"> En Costa Rica la culpa se extrae de la norma; pero el artículo 1329 del Código Civil de Perú la señala expresamente: 'Se presume que la inejecución d</w:t>
      </w:r>
      <w:r>
        <w:rPr>
          <w:i/>
          <w:iCs/>
          <w:spacing w:val="1"/>
          <w:sz w:val="25"/>
          <w:szCs w:val="25"/>
          <w:lang w:val="es-ES" w:eastAsia="es-ES"/>
        </w:rPr>
        <w:t xml:space="preserve">e la obligación, o su cumplimiento parcial, tardío o defectuoso, obedece a culpa leve del deudor.'" (El destacado no es del original) MONTERO PIÑA, Fernando. </w:t>
      </w:r>
      <w:r>
        <w:rPr>
          <w:i/>
          <w:iCs/>
          <w:spacing w:val="1"/>
          <w:sz w:val="25"/>
          <w:szCs w:val="25"/>
          <w:u w:val="single"/>
          <w:lang w:val="es-ES" w:eastAsia="es-ES"/>
        </w:rPr>
        <w:t>Obligaciones,</w:t>
      </w:r>
      <w:r>
        <w:rPr>
          <w:i/>
          <w:iCs/>
          <w:spacing w:val="1"/>
          <w:sz w:val="25"/>
          <w:szCs w:val="25"/>
          <w:lang w:val="es-ES" w:eastAsia="es-ES"/>
        </w:rPr>
        <w:t xml:space="preserve"> impreso en Mundo Gráfico S.A., 1999, pág. 253. De conformidad con lo expuesto, ante </w:t>
      </w:r>
      <w:r>
        <w:rPr>
          <w:i/>
          <w:iCs/>
          <w:spacing w:val="1"/>
          <w:sz w:val="25"/>
          <w:szCs w:val="25"/>
          <w:lang w:val="es-ES" w:eastAsia="es-ES"/>
        </w:rPr>
        <w:t>la ejecución defectuosa del objeto contractual pactado, es al contratista a quien corresponde probar que el defecto no es atribuible a él, de ahí que ante los defectos señalados en una Relación de Hechos, en torno a la correcta ejecución de una obra previs</w:t>
      </w:r>
      <w:r>
        <w:rPr>
          <w:i/>
          <w:iCs/>
          <w:spacing w:val="1"/>
          <w:sz w:val="25"/>
          <w:szCs w:val="25"/>
          <w:lang w:val="es-ES" w:eastAsia="es-ES"/>
        </w:rPr>
        <w:t>ta en un contrato administrativo, no es deber de la Contraloría detallar y sustentar "la conexión entre los negados incumplimientos y el daño (fallas en el pavimento)", rechazando en forma absoluta la existencia de nulidad alguna en la Relación de Hechos p</w:t>
      </w:r>
      <w:r>
        <w:rPr>
          <w:i/>
          <w:iCs/>
          <w:spacing w:val="1"/>
          <w:sz w:val="25"/>
          <w:szCs w:val="25"/>
          <w:lang w:val="es-ES" w:eastAsia="es-ES"/>
        </w:rPr>
        <w:t xml:space="preserve">or tal concepto. </w:t>
      </w:r>
      <w:r w:rsidRPr="00002BD6">
        <w:rPr>
          <w:b/>
          <w:i/>
          <w:iCs/>
          <w:spacing w:val="1"/>
          <w:sz w:val="25"/>
          <w:szCs w:val="25"/>
          <w:lang w:val="es-ES" w:eastAsia="es-ES"/>
        </w:rPr>
        <w:t>Oficio 325 de 9 de enero de 2001 (DAGJ-048-2001)</w:t>
      </w:r>
    </w:p>
    <w:p w:rsidR="00000000" w:rsidRDefault="00002BD6">
      <w:pPr>
        <w:kinsoku w:val="0"/>
        <w:overflowPunct w:val="0"/>
        <w:autoSpaceDE/>
        <w:autoSpaceDN/>
        <w:adjustRightInd/>
        <w:spacing w:before="516" w:line="290" w:lineRule="exact"/>
        <w:jc w:val="center"/>
        <w:textAlignment w:val="baseline"/>
        <w:rPr>
          <w:spacing w:val="3"/>
          <w:sz w:val="25"/>
          <w:szCs w:val="25"/>
          <w:lang w:val="es-ES" w:eastAsia="es-ES"/>
        </w:rPr>
      </w:pPr>
      <w:r>
        <w:rPr>
          <w:spacing w:val="3"/>
          <w:sz w:val="25"/>
          <w:szCs w:val="25"/>
          <w:lang w:val="es-ES" w:eastAsia="es-ES"/>
        </w:rPr>
        <w:t>En la especie lo acontecido en cuanto al Concesionario Recurrente es que el mismo</w:t>
      </w:r>
    </w:p>
    <w:p w:rsidR="00000000" w:rsidRDefault="00002BD6">
      <w:pPr>
        <w:widowControl/>
        <w:rPr>
          <w:sz w:val="24"/>
          <w:szCs w:val="24"/>
        </w:rPr>
        <w:sectPr w:rsidR="00000000">
          <w:pgSz w:w="12317" w:h="15787"/>
          <w:pgMar w:top="2000" w:right="1939" w:bottom="153" w:left="1598" w:header="720" w:footer="720" w:gutter="0"/>
          <w:cols w:space="720"/>
          <w:noEndnote/>
        </w:sectPr>
      </w:pPr>
    </w:p>
    <w:p w:rsidR="00000000" w:rsidRDefault="00002BD6">
      <w:pPr>
        <w:kinsoku w:val="0"/>
        <w:overflowPunct w:val="0"/>
        <w:autoSpaceDE/>
        <w:autoSpaceDN/>
        <w:adjustRightInd/>
        <w:spacing w:before="40" w:line="334" w:lineRule="exact"/>
        <w:ind w:left="72" w:right="72"/>
        <w:jc w:val="both"/>
        <w:textAlignment w:val="baseline"/>
        <w:rPr>
          <w:spacing w:val="3"/>
          <w:sz w:val="25"/>
          <w:szCs w:val="25"/>
          <w:lang w:val="es-ES" w:eastAsia="es-ES"/>
        </w:rPr>
      </w:pPr>
      <w:r>
        <w:rPr>
          <w:spacing w:val="3"/>
          <w:sz w:val="25"/>
          <w:szCs w:val="25"/>
          <w:lang w:val="es-ES" w:eastAsia="es-ES"/>
        </w:rPr>
        <w:lastRenderedPageBreak/>
        <w:t xml:space="preserve">NO Justificó Debidamente su Inasistencia a la Cita </w:t>
      </w:r>
      <w:r>
        <w:rPr>
          <w:i/>
          <w:iCs/>
          <w:spacing w:val="3"/>
          <w:sz w:val="25"/>
          <w:szCs w:val="25"/>
          <w:lang w:val="es-ES" w:eastAsia="es-ES"/>
        </w:rPr>
        <w:t xml:space="preserve">(Reprogramación dada) </w:t>
      </w:r>
      <w:r>
        <w:rPr>
          <w:spacing w:val="3"/>
          <w:sz w:val="25"/>
          <w:szCs w:val="25"/>
          <w:lang w:val="es-ES" w:eastAsia="es-ES"/>
        </w:rPr>
        <w:t xml:space="preserve">de Renovación de su Concesión, pues pese a que Aduce que </w:t>
      </w:r>
      <w:r w:rsidRPr="00002BD6">
        <w:rPr>
          <w:b/>
          <w:spacing w:val="3"/>
          <w:sz w:val="25"/>
          <w:szCs w:val="25"/>
          <w:lang w:val="es-ES" w:eastAsia="es-ES"/>
        </w:rPr>
        <w:t xml:space="preserve">-NO RECIBIÓ LA COMUNICACIÓN DEBIDA A SUS CORREOS ELECTRÓNICOS DISPUESTOS AL EFECTO, NO LO DEMUESTRA, NI ESTABLECE CÓMO ESA SITUACIÓN AFECTÓ SU COMPARECENCIA DEBIDA. </w:t>
      </w:r>
      <w:r>
        <w:rPr>
          <w:spacing w:val="3"/>
          <w:sz w:val="25"/>
          <w:szCs w:val="25"/>
          <w:lang w:val="es-ES" w:eastAsia="es-ES"/>
        </w:rPr>
        <w:t>Y, por ello,</w:t>
      </w:r>
      <w:r>
        <w:rPr>
          <w:spacing w:val="3"/>
          <w:sz w:val="25"/>
          <w:szCs w:val="25"/>
          <w:lang w:val="es-ES" w:eastAsia="es-ES"/>
        </w:rPr>
        <w:t xml:space="preserve"> ante su Inasistencia Injustificada, SE DETERMINÓ COMO FENECIDA SU CONCESIÓN DE TAXI por el Advenimiento de su Plazo. Y en rigor de ello, conforme al Incumplimiento que ello conlleva a las determinaciones de su Contrato de Concesión, en correlación con el </w:t>
      </w:r>
      <w:r>
        <w:rPr>
          <w:i/>
          <w:iCs/>
          <w:spacing w:val="3"/>
          <w:sz w:val="25"/>
          <w:szCs w:val="25"/>
          <w:lang w:val="es-ES" w:eastAsia="es-ES"/>
        </w:rPr>
        <w:t xml:space="preserve">Numeral 40 de la Ley No. 7969, </w:t>
      </w:r>
      <w:r>
        <w:rPr>
          <w:spacing w:val="3"/>
          <w:sz w:val="25"/>
          <w:szCs w:val="25"/>
          <w:lang w:val="es-ES" w:eastAsia="es-ES"/>
        </w:rPr>
        <w:t>se tiene que lo actuado por el Consejo de Transporte Público se ajusta Derecho. Y así las cosas, la Concesión referida Venció y pese a la Oportunidad de Justificación dada por el Consejo de Transporte Público para los Trámite</w:t>
      </w:r>
      <w:r>
        <w:rPr>
          <w:spacing w:val="3"/>
          <w:sz w:val="25"/>
          <w:szCs w:val="25"/>
          <w:lang w:val="es-ES" w:eastAsia="es-ES"/>
        </w:rPr>
        <w:t>s de Formalización y Firma de las Concesiones de Taxi, el Recurrente NO Compareció debidamente a las Gestiones de Rigor, ni Justificó debidamente su No Comparecencia.</w:t>
      </w:r>
    </w:p>
    <w:p w:rsidR="00000000" w:rsidRDefault="00002BD6">
      <w:pPr>
        <w:kinsoku w:val="0"/>
        <w:overflowPunct w:val="0"/>
        <w:autoSpaceDE/>
        <w:autoSpaceDN/>
        <w:adjustRightInd/>
        <w:spacing w:before="312" w:line="334" w:lineRule="exact"/>
        <w:ind w:left="72" w:right="72"/>
        <w:jc w:val="both"/>
        <w:textAlignment w:val="baseline"/>
        <w:rPr>
          <w:sz w:val="25"/>
          <w:szCs w:val="25"/>
          <w:lang w:val="es-ES" w:eastAsia="es-ES"/>
        </w:rPr>
      </w:pPr>
      <w:r>
        <w:rPr>
          <w:sz w:val="25"/>
          <w:szCs w:val="25"/>
          <w:lang w:val="es-ES" w:eastAsia="es-ES"/>
        </w:rPr>
        <w:t xml:space="preserve">Así las cosas, se Reconoce en la Especie que el Interesado NO Acudió a la Reprogramación </w:t>
      </w:r>
      <w:r>
        <w:rPr>
          <w:sz w:val="25"/>
          <w:szCs w:val="25"/>
          <w:lang w:val="es-ES" w:eastAsia="es-ES"/>
        </w:rPr>
        <w:t xml:space="preserve">de su Citación de Formalización de la Renovación de su Concesión, debido a una Cuestión enteramente SUYA. </w:t>
      </w:r>
      <w:r w:rsidRPr="00002BD6">
        <w:rPr>
          <w:b/>
          <w:sz w:val="25"/>
          <w:szCs w:val="25"/>
          <w:lang w:val="es-ES" w:eastAsia="es-ES"/>
        </w:rPr>
        <w:t xml:space="preserve">NO MEDIANDO EN LA ESPECIE UNA SITUACIÓN MERITORIA DE DESCARGO PARA MOTIVAR ALGÚN IMPEDIMENTO O QUE JUSTIFICARA EL NO HABER REALIZADO LA FORMALIZACIÓN </w:t>
      </w:r>
      <w:r w:rsidRPr="00002BD6">
        <w:rPr>
          <w:b/>
          <w:sz w:val="25"/>
          <w:szCs w:val="25"/>
          <w:lang w:val="es-ES" w:eastAsia="es-ES"/>
        </w:rPr>
        <w:t>DE LA RENOVACIÓN DE SU CONCESIÓN</w:t>
      </w:r>
      <w:r>
        <w:rPr>
          <w:sz w:val="25"/>
          <w:szCs w:val="25"/>
          <w:lang w:val="es-ES" w:eastAsia="es-ES"/>
        </w:rPr>
        <w:t>. Ni de su REPORTE DEBIDO a la Administración de su Situación que lo Impidiera.</w:t>
      </w:r>
    </w:p>
    <w:p w:rsidR="00000000" w:rsidRDefault="00002BD6">
      <w:pPr>
        <w:kinsoku w:val="0"/>
        <w:overflowPunct w:val="0"/>
        <w:autoSpaceDE/>
        <w:autoSpaceDN/>
        <w:adjustRightInd/>
        <w:spacing w:before="165" w:line="334" w:lineRule="exact"/>
        <w:ind w:left="72" w:right="72"/>
        <w:jc w:val="both"/>
        <w:textAlignment w:val="baseline"/>
        <w:rPr>
          <w:sz w:val="25"/>
          <w:szCs w:val="25"/>
          <w:lang w:val="es-ES" w:eastAsia="es-ES"/>
        </w:rPr>
      </w:pPr>
      <w:r>
        <w:rPr>
          <w:sz w:val="25"/>
          <w:szCs w:val="25"/>
          <w:lang w:val="es-ES" w:eastAsia="es-ES"/>
        </w:rPr>
        <w:t>Y dentro de tal orden de ideas, se tiene que el Consejo bien pudo Cancelar o Tener por Fenecida la Concesión, según lo señalado en el Artículo 4</w:t>
      </w:r>
      <w:r>
        <w:rPr>
          <w:sz w:val="25"/>
          <w:szCs w:val="25"/>
          <w:lang w:val="es-ES" w:eastAsia="es-ES"/>
        </w:rPr>
        <w:t>0 de la Ley 7969, por las siguientes causales:</w:t>
      </w:r>
    </w:p>
    <w:p w:rsidR="00000000" w:rsidRPr="00002BD6" w:rsidRDefault="00002BD6">
      <w:pPr>
        <w:kinsoku w:val="0"/>
        <w:overflowPunct w:val="0"/>
        <w:autoSpaceDE/>
        <w:autoSpaceDN/>
        <w:adjustRightInd/>
        <w:spacing w:before="341" w:line="330" w:lineRule="exact"/>
        <w:ind w:left="648" w:right="648"/>
        <w:jc w:val="both"/>
        <w:textAlignment w:val="baseline"/>
        <w:rPr>
          <w:b/>
          <w:i/>
          <w:iCs/>
          <w:sz w:val="25"/>
          <w:szCs w:val="25"/>
          <w:lang w:val="es-ES" w:eastAsia="es-ES"/>
        </w:rPr>
      </w:pPr>
      <w:r w:rsidRPr="00002BD6">
        <w:rPr>
          <w:b/>
          <w:i/>
          <w:iCs/>
          <w:sz w:val="25"/>
          <w:szCs w:val="25"/>
          <w:lang w:val="es-ES" w:eastAsia="es-ES"/>
        </w:rPr>
        <w:t>"a) Incumplir las obligaciones y los deberes fijados  en esta ley, su reglamento, el contrato o leyes y reglamentos conexos.</w:t>
      </w:r>
    </w:p>
    <w:p w:rsidR="00000000" w:rsidRDefault="00002BD6">
      <w:pPr>
        <w:numPr>
          <w:ilvl w:val="0"/>
          <w:numId w:val="6"/>
        </w:numPr>
        <w:kinsoku w:val="0"/>
        <w:overflowPunct w:val="0"/>
        <w:autoSpaceDE/>
        <w:autoSpaceDN/>
        <w:adjustRightInd/>
        <w:spacing w:before="270" w:line="333" w:lineRule="exact"/>
        <w:ind w:right="648"/>
        <w:jc w:val="both"/>
        <w:textAlignment w:val="baseline"/>
        <w:rPr>
          <w:i/>
          <w:iCs/>
          <w:sz w:val="25"/>
          <w:szCs w:val="25"/>
          <w:lang w:val="es-ES" w:eastAsia="es-ES"/>
        </w:rPr>
      </w:pPr>
      <w:r>
        <w:rPr>
          <w:i/>
          <w:iCs/>
          <w:sz w:val="25"/>
          <w:szCs w:val="25"/>
          <w:lang w:val="es-ES" w:eastAsia="es-ES"/>
        </w:rPr>
        <w:t xml:space="preserve">Comprobar, en cualquier momento, la presentación de datos falsos o inexactos en </w:t>
      </w:r>
      <w:r>
        <w:rPr>
          <w:i/>
          <w:iCs/>
          <w:sz w:val="25"/>
          <w:szCs w:val="25"/>
          <w:lang w:val="es-ES" w:eastAsia="es-ES"/>
        </w:rPr>
        <w:t>la oferta.</w:t>
      </w:r>
    </w:p>
    <w:p w:rsidR="00000000" w:rsidRDefault="00002BD6">
      <w:pPr>
        <w:numPr>
          <w:ilvl w:val="0"/>
          <w:numId w:val="6"/>
        </w:numPr>
        <w:kinsoku w:val="0"/>
        <w:overflowPunct w:val="0"/>
        <w:autoSpaceDE/>
        <w:autoSpaceDN/>
        <w:adjustRightInd/>
        <w:spacing w:before="340" w:line="285" w:lineRule="exact"/>
        <w:ind w:right="72"/>
        <w:jc w:val="both"/>
        <w:textAlignment w:val="baseline"/>
        <w:rPr>
          <w:i/>
          <w:iCs/>
          <w:spacing w:val="1"/>
          <w:sz w:val="25"/>
          <w:szCs w:val="25"/>
          <w:lang w:val="es-ES" w:eastAsia="es-ES"/>
        </w:rPr>
      </w:pPr>
      <w:r>
        <w:rPr>
          <w:i/>
          <w:iCs/>
          <w:spacing w:val="1"/>
          <w:sz w:val="25"/>
          <w:szCs w:val="25"/>
          <w:lang w:val="es-ES" w:eastAsia="es-ES"/>
        </w:rPr>
        <w:t>Ceder la concesión a favor de un tercero, sin autorización del Consejo.</w:t>
      </w:r>
    </w:p>
    <w:p w:rsidR="00000000" w:rsidRPr="00002BD6" w:rsidRDefault="00002BD6">
      <w:pPr>
        <w:numPr>
          <w:ilvl w:val="0"/>
          <w:numId w:val="6"/>
        </w:numPr>
        <w:kinsoku w:val="0"/>
        <w:overflowPunct w:val="0"/>
        <w:autoSpaceDE/>
        <w:autoSpaceDN/>
        <w:adjustRightInd/>
        <w:spacing w:before="273" w:line="335" w:lineRule="exact"/>
        <w:ind w:right="648"/>
        <w:jc w:val="both"/>
        <w:textAlignment w:val="baseline"/>
        <w:rPr>
          <w:b/>
          <w:i/>
          <w:iCs/>
          <w:sz w:val="25"/>
          <w:szCs w:val="25"/>
          <w:lang w:val="es-ES" w:eastAsia="es-ES"/>
        </w:rPr>
      </w:pPr>
      <w:r w:rsidRPr="00002BD6">
        <w:rPr>
          <w:b/>
          <w:i/>
          <w:iCs/>
          <w:sz w:val="25"/>
          <w:szCs w:val="25"/>
          <w:lang w:val="es-ES" w:eastAsia="es-ES"/>
        </w:rPr>
        <w:t>Dejar de formalizar el contrato de concesión por treinta días, contados a partir de la adjudicación.</w:t>
      </w:r>
    </w:p>
    <w:p w:rsidR="00000000" w:rsidRDefault="00002BD6">
      <w:pPr>
        <w:widowControl/>
        <w:rPr>
          <w:sz w:val="24"/>
          <w:szCs w:val="24"/>
        </w:rPr>
        <w:sectPr w:rsidR="00000000">
          <w:pgSz w:w="12293" w:h="15763"/>
          <w:pgMar w:top="2100" w:right="1869" w:bottom="61" w:left="1644" w:header="720" w:footer="720" w:gutter="0"/>
          <w:cols w:space="720"/>
          <w:noEndnote/>
        </w:sectPr>
      </w:pPr>
    </w:p>
    <w:p w:rsidR="00000000" w:rsidRDefault="00002BD6">
      <w:pPr>
        <w:kinsoku w:val="0"/>
        <w:overflowPunct w:val="0"/>
        <w:autoSpaceDE/>
        <w:autoSpaceDN/>
        <w:adjustRightInd/>
        <w:spacing w:line="316" w:lineRule="exact"/>
        <w:ind w:left="648" w:right="576"/>
        <w:jc w:val="both"/>
        <w:textAlignment w:val="baseline"/>
        <w:rPr>
          <w:i/>
          <w:iCs/>
          <w:sz w:val="25"/>
          <w:szCs w:val="25"/>
          <w:lang w:val="es-ES" w:eastAsia="es-ES"/>
        </w:rPr>
      </w:pPr>
      <w:r>
        <w:rPr>
          <w:i/>
          <w:iCs/>
          <w:sz w:val="25"/>
          <w:szCs w:val="25"/>
          <w:lang w:val="es-ES" w:eastAsia="es-ES"/>
        </w:rPr>
        <w:lastRenderedPageBreak/>
        <w:t>e) Incurrir en las causales establecidas para la rescisión y resolución contractual dispuestas en la Ley de Contratación Administrativa y su reglamento.</w:t>
      </w:r>
    </w:p>
    <w:p w:rsidR="00000000" w:rsidRDefault="00002BD6">
      <w:pPr>
        <w:kinsoku w:val="0"/>
        <w:overflowPunct w:val="0"/>
        <w:autoSpaceDE/>
        <w:autoSpaceDN/>
        <w:adjustRightInd/>
        <w:spacing w:before="314" w:line="289" w:lineRule="exact"/>
        <w:ind w:left="648"/>
        <w:textAlignment w:val="baseline"/>
        <w:rPr>
          <w:b/>
          <w:bCs/>
          <w:i/>
          <w:iCs/>
          <w:spacing w:val="3"/>
          <w:sz w:val="25"/>
          <w:szCs w:val="25"/>
          <w:lang w:val="es-ES" w:eastAsia="es-ES"/>
        </w:rPr>
      </w:pPr>
      <w:r>
        <w:rPr>
          <w:b/>
          <w:bCs/>
          <w:i/>
          <w:iCs/>
          <w:spacing w:val="3"/>
          <w:sz w:val="25"/>
          <w:szCs w:val="25"/>
          <w:lang w:val="es-ES" w:eastAsia="es-ES"/>
        </w:rPr>
        <w:t>f)</w:t>
      </w:r>
      <w:r>
        <w:rPr>
          <w:b/>
          <w:bCs/>
          <w:i/>
          <w:iCs/>
          <w:spacing w:val="3"/>
          <w:sz w:val="25"/>
          <w:szCs w:val="25"/>
          <w:lang w:val="es-ES" w:eastAsia="es-ES"/>
        </w:rPr>
        <w:t xml:space="preserve"> Cumplir el plazo.</w:t>
      </w:r>
    </w:p>
    <w:p w:rsidR="00000000" w:rsidRDefault="00002BD6">
      <w:pPr>
        <w:kinsoku w:val="0"/>
        <w:overflowPunct w:val="0"/>
        <w:autoSpaceDE/>
        <w:autoSpaceDN/>
        <w:adjustRightInd/>
        <w:spacing w:before="288" w:line="328" w:lineRule="exact"/>
        <w:ind w:left="648" w:right="648"/>
        <w:jc w:val="both"/>
        <w:textAlignment w:val="baseline"/>
        <w:rPr>
          <w:i/>
          <w:iCs/>
          <w:sz w:val="25"/>
          <w:szCs w:val="25"/>
          <w:lang w:val="es-ES" w:eastAsia="es-ES"/>
        </w:rPr>
      </w:pPr>
      <w:r>
        <w:rPr>
          <w:i/>
          <w:iCs/>
          <w:sz w:val="25"/>
          <w:szCs w:val="25"/>
          <w:lang w:val="es-ES" w:eastAsia="es-ES"/>
        </w:rPr>
        <w:t>g) Por remate judicial, declarado en sentencia firme, del vehículo objeto de la concesión." (el resaltado es nuestro)</w:t>
      </w:r>
    </w:p>
    <w:p w:rsidR="00000000" w:rsidRDefault="00002BD6">
      <w:pPr>
        <w:kinsoku w:val="0"/>
        <w:overflowPunct w:val="0"/>
        <w:autoSpaceDE/>
        <w:autoSpaceDN/>
        <w:adjustRightInd/>
        <w:spacing w:before="672" w:line="286" w:lineRule="exact"/>
        <w:ind w:left="72"/>
        <w:textAlignment w:val="baseline"/>
        <w:rPr>
          <w:spacing w:val="1"/>
          <w:sz w:val="25"/>
          <w:szCs w:val="25"/>
          <w:lang w:val="es-ES" w:eastAsia="es-ES"/>
        </w:rPr>
      </w:pPr>
      <w:r>
        <w:rPr>
          <w:spacing w:val="1"/>
          <w:sz w:val="25"/>
          <w:szCs w:val="25"/>
          <w:lang w:val="es-ES" w:eastAsia="es-ES"/>
        </w:rPr>
        <w:t>Y en concordancia con lo anterior, el Numeral del RLCA, señala:</w:t>
      </w:r>
    </w:p>
    <w:p w:rsidR="00000000" w:rsidRDefault="00002BD6">
      <w:pPr>
        <w:kinsoku w:val="0"/>
        <w:overflowPunct w:val="0"/>
        <w:autoSpaceDE/>
        <w:autoSpaceDN/>
        <w:adjustRightInd/>
        <w:spacing w:before="286" w:line="333" w:lineRule="exact"/>
        <w:ind w:left="648" w:right="648"/>
        <w:jc w:val="both"/>
        <w:textAlignment w:val="baseline"/>
        <w:rPr>
          <w:spacing w:val="-2"/>
          <w:sz w:val="25"/>
          <w:szCs w:val="25"/>
          <w:lang w:val="es-ES" w:eastAsia="es-ES"/>
        </w:rPr>
      </w:pPr>
      <w:r>
        <w:rPr>
          <w:b/>
          <w:bCs/>
          <w:spacing w:val="-2"/>
          <w:sz w:val="25"/>
          <w:szCs w:val="25"/>
          <w:lang w:val="es-ES" w:eastAsia="es-ES"/>
        </w:rPr>
        <w:t xml:space="preserve">Artículo 191.—Insubsistencia. </w:t>
      </w:r>
      <w:r>
        <w:rPr>
          <w:spacing w:val="-2"/>
          <w:sz w:val="25"/>
          <w:szCs w:val="25"/>
          <w:lang w:val="es-ES" w:eastAsia="es-ES"/>
        </w:rPr>
        <w:t>La Administración, declarará</w:t>
      </w:r>
      <w:r>
        <w:rPr>
          <w:spacing w:val="-2"/>
          <w:sz w:val="25"/>
          <w:szCs w:val="25"/>
          <w:lang w:val="es-ES" w:eastAsia="es-ES"/>
        </w:rPr>
        <w:t xml:space="preserve"> insubsistente el concurso, sin perjuicio de las eventuales responsabilidades que procedan por el incumplimiento, en cualquiera de las siguientes circunstancias: cuando el adjudicatario, debidamente prevenido para ello, no otorgue la garantía de cumplimien</w:t>
      </w:r>
      <w:r>
        <w:rPr>
          <w:spacing w:val="-2"/>
          <w:sz w:val="25"/>
          <w:szCs w:val="25"/>
          <w:lang w:val="es-ES" w:eastAsia="es-ES"/>
        </w:rPr>
        <w:t xml:space="preserve">to a entera satisfacción; </w:t>
      </w:r>
      <w:r>
        <w:rPr>
          <w:b/>
          <w:bCs/>
          <w:spacing w:val="-2"/>
          <w:sz w:val="25"/>
          <w:szCs w:val="25"/>
          <w:lang w:val="es-ES" w:eastAsia="es-ES"/>
        </w:rPr>
        <w:t xml:space="preserve">no comparezca a la suscripción de la formalización contractual; </w:t>
      </w:r>
      <w:r>
        <w:rPr>
          <w:spacing w:val="-2"/>
          <w:sz w:val="25"/>
          <w:szCs w:val="25"/>
          <w:lang w:val="es-ES" w:eastAsia="es-ES"/>
        </w:rPr>
        <w:t>no retire o no quiera recibir la orden de inicio; o no se le ubique en la dirección o medio señalado para recibir notificaciones; o que en caso de remate no cancele l</w:t>
      </w:r>
      <w:r>
        <w:rPr>
          <w:spacing w:val="-2"/>
          <w:sz w:val="25"/>
          <w:szCs w:val="25"/>
          <w:lang w:val="es-ES" w:eastAsia="es-ES"/>
        </w:rPr>
        <w:t>a totalidad del precio dentro del plazo respectivo.</w:t>
      </w:r>
    </w:p>
    <w:p w:rsidR="00000000" w:rsidRDefault="00002BD6">
      <w:pPr>
        <w:kinsoku w:val="0"/>
        <w:overflowPunct w:val="0"/>
        <w:autoSpaceDE/>
        <w:autoSpaceDN/>
        <w:adjustRightInd/>
        <w:spacing w:before="734" w:line="333" w:lineRule="exact"/>
        <w:ind w:left="72" w:right="72"/>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Aplica ninguna NULIDAD. No visualizándose o consi</w:t>
      </w:r>
      <w:r>
        <w:rPr>
          <w:sz w:val="25"/>
          <w:szCs w:val="25"/>
          <w:lang w:val="es-ES" w:eastAsia="es-ES"/>
        </w:rPr>
        <w:t>derándose la existencia de algún Vicio o Falencia en cuanto a alguno de los Elementos Esenciales Objetivos, Subjetivos y/o Formales que pueda determinar un Vicio Nugatorio en cuanto a lo actuado en el Caso de marras; así como tampoco se determina alguna In</w:t>
      </w:r>
      <w:r>
        <w:rPr>
          <w:sz w:val="25"/>
          <w:szCs w:val="25"/>
          <w:lang w:val="es-ES" w:eastAsia="es-ES"/>
        </w:rPr>
        <w:t>fracción a los Derechos Fundamentales de Justicia, Debido Proceso y/o Defensa.</w:t>
      </w:r>
    </w:p>
    <w:p w:rsidR="00000000" w:rsidRDefault="00002BD6">
      <w:pPr>
        <w:kinsoku w:val="0"/>
        <w:overflowPunct w:val="0"/>
        <w:autoSpaceDE/>
        <w:autoSpaceDN/>
        <w:adjustRightInd/>
        <w:spacing w:before="656" w:line="333" w:lineRule="exact"/>
        <w:ind w:left="72" w:right="72"/>
        <w:jc w:val="both"/>
        <w:textAlignment w:val="baseline"/>
        <w:rPr>
          <w:sz w:val="25"/>
          <w:szCs w:val="25"/>
          <w:lang w:val="es-ES" w:eastAsia="es-ES"/>
        </w:rPr>
      </w:pPr>
      <w:r>
        <w:rPr>
          <w:sz w:val="25"/>
          <w:szCs w:val="25"/>
          <w:lang w:val="es-ES" w:eastAsia="es-ES"/>
        </w:rPr>
        <w:t>Conforme a lo antes referido que se estiman como Improcedente las Acciones de Impugnación Analizadas, Disponiéndose su Rechazo.</w:t>
      </w:r>
    </w:p>
    <w:p w:rsidR="00000000" w:rsidRDefault="00002BD6">
      <w:pPr>
        <w:widowControl/>
        <w:rPr>
          <w:sz w:val="24"/>
          <w:szCs w:val="24"/>
        </w:rPr>
        <w:sectPr w:rsidR="00000000">
          <w:pgSz w:w="12293" w:h="15763"/>
          <w:pgMar w:top="2260" w:right="1898" w:bottom="761" w:left="1615" w:header="720" w:footer="720" w:gutter="0"/>
          <w:cols w:space="720"/>
          <w:noEndnote/>
        </w:sectPr>
      </w:pPr>
    </w:p>
    <w:p w:rsidR="00000000" w:rsidRPr="00002BD6" w:rsidRDefault="00002BD6">
      <w:pPr>
        <w:kinsoku w:val="0"/>
        <w:overflowPunct w:val="0"/>
        <w:autoSpaceDE/>
        <w:autoSpaceDN/>
        <w:adjustRightInd/>
        <w:spacing w:before="15" w:line="292" w:lineRule="exact"/>
        <w:jc w:val="center"/>
        <w:textAlignment w:val="baseline"/>
        <w:rPr>
          <w:b/>
          <w:i/>
          <w:iCs/>
          <w:spacing w:val="4"/>
          <w:sz w:val="25"/>
          <w:szCs w:val="25"/>
          <w:lang w:val="es-ES" w:eastAsia="es-ES"/>
        </w:rPr>
      </w:pPr>
      <w:r w:rsidRPr="00002BD6">
        <w:rPr>
          <w:b/>
          <w:i/>
          <w:iCs/>
          <w:spacing w:val="4"/>
          <w:sz w:val="25"/>
          <w:szCs w:val="25"/>
          <w:lang w:val="es-ES" w:eastAsia="es-ES"/>
        </w:rPr>
        <w:lastRenderedPageBreak/>
        <w:t>Por Tanto</w:t>
      </w:r>
    </w:p>
    <w:p w:rsidR="00000000" w:rsidRDefault="00002BD6">
      <w:pPr>
        <w:numPr>
          <w:ilvl w:val="0"/>
          <w:numId w:val="7"/>
        </w:numPr>
        <w:kinsoku w:val="0"/>
        <w:overflowPunct w:val="0"/>
        <w:autoSpaceDE/>
        <w:autoSpaceDN/>
        <w:adjustRightInd/>
        <w:spacing w:before="177" w:line="337" w:lineRule="exact"/>
        <w:ind w:right="792"/>
        <w:jc w:val="both"/>
        <w:textAlignment w:val="baseline"/>
        <w:rPr>
          <w:sz w:val="25"/>
          <w:szCs w:val="25"/>
          <w:lang w:val="es-ES" w:eastAsia="es-ES"/>
        </w:rPr>
      </w:pPr>
      <w:r>
        <w:rPr>
          <w:sz w:val="25"/>
          <w:szCs w:val="25"/>
          <w:lang w:val="es-ES" w:eastAsia="es-ES"/>
        </w:rPr>
        <w:t xml:space="preserve">Conforme lo expuesto antes, se Resuelve </w:t>
      </w:r>
      <w:r>
        <w:rPr>
          <w:b/>
          <w:bCs/>
          <w:sz w:val="25"/>
          <w:szCs w:val="25"/>
          <w:u w:val="single"/>
          <w:lang w:val="es-ES" w:eastAsia="es-ES"/>
        </w:rPr>
        <w:t>RECHAZAR</w:t>
      </w:r>
      <w:r>
        <w:rPr>
          <w:sz w:val="25"/>
          <w:szCs w:val="25"/>
          <w:lang w:val="es-ES" w:eastAsia="es-ES"/>
        </w:rPr>
        <w:t xml:space="preserve"> el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NULIDAD </w:t>
      </w:r>
      <w:r>
        <w:rPr>
          <w:sz w:val="25"/>
          <w:szCs w:val="25"/>
          <w:lang w:val="es-ES" w:eastAsia="es-ES"/>
        </w:rPr>
        <w:t xml:space="preserve">CONCOMITANTE, Interpuestos por el Señor </w:t>
      </w:r>
      <w:r>
        <w:rPr>
          <w:b/>
          <w:bCs/>
          <w:sz w:val="25"/>
          <w:szCs w:val="25"/>
          <w:lang w:val="es-ES" w:eastAsia="es-ES"/>
        </w:rPr>
        <w:t>V.M.M.C.</w:t>
      </w:r>
      <w:r>
        <w:rPr>
          <w:b/>
          <w:bCs/>
          <w:sz w:val="25"/>
          <w:szCs w:val="25"/>
          <w:lang w:val="es-ES" w:eastAsia="es-ES"/>
        </w:rPr>
        <w:t xml:space="preserve">, </w:t>
      </w:r>
      <w:r>
        <w:rPr>
          <w:sz w:val="25"/>
          <w:szCs w:val="25"/>
          <w:lang w:val="es-ES" w:eastAsia="es-ES"/>
        </w:rPr>
        <w:t>de calidades conocidas, portador de la cédula de identidad número …</w:t>
      </w:r>
      <w:r>
        <w:rPr>
          <w:sz w:val="25"/>
          <w:szCs w:val="25"/>
          <w:lang w:val="es-ES" w:eastAsia="es-ES"/>
        </w:rPr>
        <w:t xml:space="preserve">, contra el </w:t>
      </w:r>
      <w:r>
        <w:rPr>
          <w:b/>
          <w:bCs/>
          <w:sz w:val="25"/>
          <w:szCs w:val="25"/>
          <w:lang w:val="es-ES" w:eastAsia="es-ES"/>
        </w:rPr>
        <w:t>Artí</w:t>
      </w:r>
      <w:r>
        <w:rPr>
          <w:b/>
          <w:bCs/>
          <w:sz w:val="25"/>
          <w:szCs w:val="25"/>
          <w:lang w:val="es-ES" w:eastAsia="es-ES"/>
        </w:rPr>
        <w:t xml:space="preserve">culo 7.2 de la Sesión Ordinaria 40-2016 </w:t>
      </w:r>
      <w:r>
        <w:rPr>
          <w:sz w:val="25"/>
          <w:szCs w:val="25"/>
          <w:lang w:val="es-ES" w:eastAsia="es-ES"/>
        </w:rPr>
        <w:t>de fecha 18 de Agosto del 2016, de la Junta Directiva del Consejo de Transporte Público.</w:t>
      </w:r>
    </w:p>
    <w:p w:rsidR="00000000" w:rsidRDefault="00002BD6">
      <w:pPr>
        <w:numPr>
          <w:ilvl w:val="0"/>
          <w:numId w:val="8"/>
        </w:numPr>
        <w:kinsoku w:val="0"/>
        <w:overflowPunct w:val="0"/>
        <w:autoSpaceDE/>
        <w:autoSpaceDN/>
        <w:adjustRightInd/>
        <w:spacing w:before="188" w:line="336" w:lineRule="exact"/>
        <w:ind w:right="792"/>
        <w:jc w:val="both"/>
        <w:textAlignment w:val="baseline"/>
        <w:rPr>
          <w:sz w:val="25"/>
          <w:szCs w:val="25"/>
          <w:lang w:val="es-ES" w:eastAsia="es-ES"/>
        </w:rPr>
      </w:pPr>
      <w:r>
        <w:rPr>
          <w:sz w:val="25"/>
          <w:szCs w:val="25"/>
          <w:lang w:val="es-ES" w:eastAsia="es-ES"/>
        </w:rPr>
        <w:t xml:space="preserve">Conforme las determinaciones del numeral 22, inciso c), de la Ley No. 7969, se Da por Agotada la Vía Administrativa, en </w:t>
      </w:r>
      <w:r>
        <w:rPr>
          <w:sz w:val="25"/>
          <w:szCs w:val="25"/>
          <w:lang w:val="es-ES" w:eastAsia="es-ES"/>
        </w:rPr>
        <w:t>cuanto a lo de particular resolución, toda vez que contra este acto resolutorio no procede recurso alguno.</w:t>
      </w:r>
    </w:p>
    <w:p w:rsidR="00000000" w:rsidRPr="00002BD6" w:rsidRDefault="00002BD6">
      <w:pPr>
        <w:numPr>
          <w:ilvl w:val="0"/>
          <w:numId w:val="8"/>
        </w:numPr>
        <w:kinsoku w:val="0"/>
        <w:overflowPunct w:val="0"/>
        <w:autoSpaceDE/>
        <w:autoSpaceDN/>
        <w:adjustRightInd/>
        <w:spacing w:after="538" w:line="585" w:lineRule="exact"/>
        <w:textAlignment w:val="baseline"/>
        <w:rPr>
          <w:sz w:val="24"/>
          <w:szCs w:val="24"/>
          <w:lang w:eastAsia="en-U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r>
        <w:rPr>
          <w:b/>
          <w:bCs/>
          <w:sz w:val="25"/>
          <w:szCs w:val="25"/>
          <w:lang w:val="es-ES" w:eastAsia="es-ES"/>
        </w:rPr>
        <w:noBreakHyphen/>
      </w:r>
    </w:p>
    <w:p w:rsidR="00002BD6" w:rsidRPr="00DE692E" w:rsidRDefault="00002BD6" w:rsidP="00002BD6">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002BD6" w:rsidRDefault="00002BD6" w:rsidP="00002BD6">
      <w:pPr>
        <w:kinsoku w:val="0"/>
        <w:overflowPunct w:val="0"/>
        <w:autoSpaceDE/>
        <w:autoSpaceDN/>
        <w:adjustRightInd/>
        <w:spacing w:after="301" w:line="288" w:lineRule="exact"/>
        <w:ind w:left="72"/>
        <w:jc w:val="center"/>
        <w:textAlignment w:val="baseline"/>
        <w:rPr>
          <w:b/>
          <w:i/>
          <w:iCs/>
          <w:spacing w:val="5"/>
          <w:sz w:val="26"/>
          <w:szCs w:val="26"/>
          <w:lang w:val="es-CR"/>
        </w:rPr>
      </w:pPr>
      <w:bookmarkStart w:id="0" w:name="_GoBack"/>
      <w:bookmarkEnd w:id="0"/>
      <w:r w:rsidRPr="00DE692E">
        <w:rPr>
          <w:b/>
          <w:i/>
          <w:iCs/>
          <w:spacing w:val="5"/>
          <w:sz w:val="26"/>
          <w:szCs w:val="26"/>
          <w:lang w:val="es-CR"/>
        </w:rPr>
        <w:t>Presidente</w:t>
      </w:r>
    </w:p>
    <w:p w:rsidR="00002BD6" w:rsidRDefault="00002BD6" w:rsidP="00002BD6">
      <w:pPr>
        <w:kinsoku w:val="0"/>
        <w:overflowPunct w:val="0"/>
        <w:autoSpaceDE/>
        <w:autoSpaceDN/>
        <w:adjustRightInd/>
        <w:spacing w:after="301" w:line="288" w:lineRule="exact"/>
        <w:ind w:left="720" w:hanging="648"/>
        <w:jc w:val="center"/>
        <w:textAlignment w:val="baseline"/>
        <w:rPr>
          <w:b/>
          <w:i/>
          <w:iCs/>
          <w:spacing w:val="5"/>
          <w:sz w:val="26"/>
          <w:szCs w:val="26"/>
          <w:lang w:val="es-CR"/>
        </w:rPr>
      </w:pPr>
      <w:r w:rsidRPr="00DE692E">
        <w:rPr>
          <w:i/>
          <w:iCs/>
          <w:spacing w:val="5"/>
          <w:sz w:val="26"/>
          <w:szCs w:val="26"/>
        </w:rPr>
        <w:t>Licda. Mar</w:t>
      </w:r>
      <w:r>
        <w:rPr>
          <w:i/>
          <w:iCs/>
          <w:spacing w:val="5"/>
          <w:sz w:val="26"/>
          <w:szCs w:val="26"/>
        </w:rPr>
        <w:t xml:space="preserve">icela Villegas  </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Pr>
          <w:i/>
          <w:iCs/>
          <w:spacing w:val="5"/>
          <w:sz w:val="26"/>
          <w:szCs w:val="26"/>
        </w:rPr>
        <w:t xml:space="preserve">        </w:t>
      </w:r>
      <w:r w:rsidRPr="00DE692E">
        <w:rPr>
          <w:b/>
          <w:i/>
          <w:iCs/>
          <w:spacing w:val="5"/>
          <w:sz w:val="26"/>
          <w:szCs w:val="26"/>
        </w:rPr>
        <w:t>JUEZA</w:t>
      </w:r>
      <w:r>
        <w:rPr>
          <w:b/>
          <w:i/>
          <w:iCs/>
          <w:spacing w:val="5"/>
          <w:sz w:val="26"/>
          <w:szCs w:val="26"/>
        </w:rPr>
        <w:t xml:space="preserve"> SUPLENTE                                   JUEZ                             .</w:t>
      </w:r>
    </w:p>
    <w:p w:rsidR="00002BD6" w:rsidRDefault="00002BD6" w:rsidP="00002BD6">
      <w:pPr>
        <w:kinsoku w:val="0"/>
        <w:overflowPunct w:val="0"/>
        <w:autoSpaceDE/>
        <w:autoSpaceDN/>
        <w:adjustRightInd/>
        <w:spacing w:after="538" w:line="585" w:lineRule="exact"/>
        <w:textAlignment w:val="baseline"/>
        <w:rPr>
          <w:sz w:val="24"/>
          <w:szCs w:val="24"/>
          <w:lang w:eastAsia="en-US"/>
        </w:rPr>
      </w:pPr>
    </w:p>
    <w:sectPr w:rsidR="00002BD6">
      <w:pgSz w:w="12307" w:h="15859"/>
      <w:pgMar w:top="2120" w:right="1139" w:bottom="109" w:left="172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5AD1"/>
    <w:multiLevelType w:val="singleLevel"/>
    <w:tmpl w:val="1302DF74"/>
    <w:lvl w:ilvl="0">
      <w:start w:val="4"/>
      <w:numFmt w:val="upperRoman"/>
      <w:lvlText w:val="%1.-"/>
      <w:lvlJc w:val="left"/>
      <w:pPr>
        <w:tabs>
          <w:tab w:val="num" w:pos="720"/>
        </w:tabs>
      </w:pPr>
      <w:rPr>
        <w:b/>
        <w:bCs/>
        <w:snapToGrid/>
        <w:sz w:val="25"/>
        <w:szCs w:val="25"/>
      </w:rPr>
    </w:lvl>
  </w:abstractNum>
  <w:abstractNum w:abstractNumId="1" w15:restartNumberingAfterBreak="0">
    <w:nsid w:val="02D1547B"/>
    <w:multiLevelType w:val="singleLevel"/>
    <w:tmpl w:val="2912F5CE"/>
    <w:lvl w:ilvl="0">
      <w:start w:val="1"/>
      <w:numFmt w:val="lowerLetter"/>
      <w:lvlText w:val="%1.-"/>
      <w:lvlJc w:val="left"/>
      <w:pPr>
        <w:tabs>
          <w:tab w:val="num" w:pos="720"/>
        </w:tabs>
        <w:ind w:left="72"/>
      </w:pPr>
      <w:rPr>
        <w:b/>
        <w:i/>
        <w:iCs/>
        <w:snapToGrid/>
        <w:spacing w:val="-1"/>
        <w:sz w:val="25"/>
        <w:szCs w:val="25"/>
      </w:rPr>
    </w:lvl>
  </w:abstractNum>
  <w:abstractNum w:abstractNumId="2" w15:restartNumberingAfterBreak="0">
    <w:nsid w:val="035A08AA"/>
    <w:multiLevelType w:val="singleLevel"/>
    <w:tmpl w:val="0192DDAF"/>
    <w:lvl w:ilvl="0">
      <w:start w:val="2"/>
      <w:numFmt w:val="lowerLetter"/>
      <w:lvlText w:val="%1)"/>
      <w:lvlJc w:val="left"/>
      <w:pPr>
        <w:tabs>
          <w:tab w:val="num" w:pos="864"/>
        </w:tabs>
        <w:ind w:left="648"/>
      </w:pPr>
      <w:rPr>
        <w:i/>
        <w:iCs/>
        <w:snapToGrid/>
        <w:sz w:val="25"/>
        <w:szCs w:val="25"/>
      </w:rPr>
    </w:lvl>
  </w:abstractNum>
  <w:abstractNum w:abstractNumId="3" w15:restartNumberingAfterBreak="0">
    <w:nsid w:val="042DB27B"/>
    <w:multiLevelType w:val="singleLevel"/>
    <w:tmpl w:val="7CA41F68"/>
    <w:lvl w:ilvl="0">
      <w:start w:val="1"/>
      <w:numFmt w:val="upperRoman"/>
      <w:lvlText w:val="%1.-"/>
      <w:lvlJc w:val="left"/>
      <w:pPr>
        <w:tabs>
          <w:tab w:val="num" w:pos="720"/>
        </w:tabs>
      </w:pPr>
      <w:rPr>
        <w:b/>
        <w:snapToGrid/>
        <w:sz w:val="25"/>
        <w:szCs w:val="25"/>
      </w:rPr>
    </w:lvl>
  </w:abstractNum>
  <w:abstractNum w:abstractNumId="4" w15:restartNumberingAfterBreak="0">
    <w:nsid w:val="07F596DB"/>
    <w:multiLevelType w:val="singleLevel"/>
    <w:tmpl w:val="848EAF92"/>
    <w:lvl w:ilvl="0">
      <w:start w:val="1"/>
      <w:numFmt w:val="upperRoman"/>
      <w:lvlText w:val="%1.-"/>
      <w:lvlJc w:val="left"/>
      <w:pPr>
        <w:tabs>
          <w:tab w:val="num" w:pos="720"/>
        </w:tabs>
      </w:pPr>
      <w:rPr>
        <w:b/>
        <w:snapToGrid/>
        <w:sz w:val="25"/>
        <w:szCs w:val="25"/>
      </w:rPr>
    </w:lvl>
  </w:abstractNum>
  <w:num w:numId="1">
    <w:abstractNumId w:val="4"/>
  </w:num>
  <w:num w:numId="2">
    <w:abstractNumId w:val="4"/>
    <w:lvlOverride w:ilvl="0">
      <w:lvl w:ilvl="0">
        <w:numFmt w:val="upperRoman"/>
        <w:lvlText w:val="%1.-"/>
        <w:lvlJc w:val="left"/>
        <w:pPr>
          <w:tabs>
            <w:tab w:val="num" w:pos="720"/>
          </w:tabs>
        </w:pPr>
        <w:rPr>
          <w:b/>
          <w:snapToGrid/>
          <w:spacing w:val="8"/>
          <w:sz w:val="25"/>
          <w:szCs w:val="25"/>
        </w:rPr>
      </w:lvl>
    </w:lvlOverride>
  </w:num>
  <w:num w:numId="3">
    <w:abstractNumId w:val="1"/>
  </w:num>
  <w:num w:numId="4">
    <w:abstractNumId w:val="0"/>
  </w:num>
  <w:num w:numId="5">
    <w:abstractNumId w:val="0"/>
    <w:lvlOverride w:ilvl="0">
      <w:lvl w:ilvl="0">
        <w:numFmt w:val="upperRoman"/>
        <w:lvlText w:val="%1.-"/>
        <w:lvlJc w:val="left"/>
        <w:pPr>
          <w:tabs>
            <w:tab w:val="num" w:pos="720"/>
          </w:tabs>
        </w:pPr>
        <w:rPr>
          <w:b/>
          <w:bCs/>
          <w:snapToGrid/>
          <w:spacing w:val="1"/>
          <w:sz w:val="25"/>
          <w:szCs w:val="25"/>
        </w:rPr>
      </w:lvl>
    </w:lvlOverride>
  </w:num>
  <w:num w:numId="6">
    <w:abstractNumId w:val="2"/>
  </w:num>
  <w:num w:numId="7">
    <w:abstractNumId w:val="3"/>
  </w:num>
  <w:num w:numId="8">
    <w:abstractNumId w:val="3"/>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53"/>
    <w:rsid w:val="00002BD6"/>
    <w:rsid w:val="005059D1"/>
    <w:rsid w:val="00BD7E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F50C9"/>
  <w14:defaultImageDpi w14:val="0"/>
  <w15:docId w15:val="{3A5E4762-3AF7-4EF4-9837-DA6B9905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2640</Words>
  <Characters>14526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2018-02-05T16:31:00Z</dcterms:created>
  <dcterms:modified xsi:type="dcterms:W3CDTF">2018-02-05T16:31:00Z</dcterms:modified>
</cp:coreProperties>
</file>