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D1C" w:rsidRDefault="00475C3F">
      <w:pPr>
        <w:kinsoku w:val="0"/>
        <w:overflowPunct w:val="0"/>
        <w:autoSpaceDE/>
        <w:autoSpaceDN/>
        <w:adjustRightInd/>
        <w:spacing w:line="26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w:t>
      </w:r>
      <w:bookmarkStart w:id="0" w:name="_GoBack"/>
      <w:r>
        <w:rPr>
          <w:rFonts w:ascii="Verdana" w:hAnsi="Verdana" w:cs="Verdana"/>
          <w:b/>
          <w:bCs/>
          <w:sz w:val="22"/>
          <w:szCs w:val="22"/>
          <w:lang w:val="es-ES" w:eastAsia="es-ES"/>
        </w:rPr>
        <w:t>TAT-3389-2018</w:t>
      </w:r>
      <w:bookmarkEnd w:id="0"/>
    </w:p>
    <w:p w:rsidR="00AF2D1C" w:rsidRDefault="00475C3F">
      <w:pPr>
        <w:kinsoku w:val="0"/>
        <w:overflowPunct w:val="0"/>
        <w:autoSpaceDE/>
        <w:autoSpaceDN/>
        <w:adjustRightInd/>
        <w:spacing w:before="548" w:line="26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veinte minutos del veintidós de febrero del dos mil dieciocho. -</w:t>
      </w:r>
    </w:p>
    <w:p w:rsidR="00AF2D1C" w:rsidRDefault="00475C3F">
      <w:pPr>
        <w:kinsoku w:val="0"/>
        <w:overflowPunct w:val="0"/>
        <w:autoSpaceDE/>
        <w:autoSpaceDN/>
        <w:adjustRightInd/>
        <w:spacing w:before="273" w:line="266" w:lineRule="exact"/>
        <w:ind w:right="144"/>
        <w:jc w:val="both"/>
        <w:textAlignment w:val="baseline"/>
        <w:rPr>
          <w:rFonts w:ascii="Verdana" w:hAnsi="Verdana" w:cs="Verdana"/>
          <w:b/>
          <w:bCs/>
          <w:spacing w:val="-11"/>
          <w:sz w:val="22"/>
          <w:szCs w:val="22"/>
          <w:lang w:val="es-ES" w:eastAsia="es-ES"/>
        </w:rPr>
      </w:pPr>
      <w:r>
        <w:rPr>
          <w:rFonts w:ascii="Verdana" w:hAnsi="Verdana" w:cs="Verdana"/>
          <w:b/>
          <w:bCs/>
          <w:spacing w:val="-11"/>
          <w:sz w:val="22"/>
          <w:szCs w:val="22"/>
          <w:lang w:val="es-ES" w:eastAsia="es-ES"/>
        </w:rPr>
        <w:t xml:space="preserve">RECURSO DE APELACIÓN EN SUBSIDIO, </w:t>
      </w:r>
      <w:r>
        <w:rPr>
          <w:rFonts w:ascii="Verdana" w:hAnsi="Verdana" w:cs="Verdana"/>
          <w:spacing w:val="-11"/>
          <w:sz w:val="22"/>
          <w:szCs w:val="22"/>
          <w:lang w:val="es-ES" w:eastAsia="es-ES"/>
        </w:rPr>
        <w:t xml:space="preserve">interpuesto por </w:t>
      </w:r>
      <w:r>
        <w:rPr>
          <w:rFonts w:ascii="Verdana" w:hAnsi="Verdana" w:cs="Verdana"/>
          <w:b/>
          <w:bCs/>
          <w:spacing w:val="-11"/>
          <w:sz w:val="22"/>
          <w:szCs w:val="22"/>
          <w:lang w:val="es-ES" w:eastAsia="es-ES"/>
        </w:rPr>
        <w:t xml:space="preserve">R.R.R.C., cédula de identidad número …, </w:t>
      </w:r>
      <w:r>
        <w:rPr>
          <w:rFonts w:ascii="Verdana" w:hAnsi="Verdana" w:cs="Verdana"/>
          <w:spacing w:val="-11"/>
          <w:sz w:val="22"/>
          <w:szCs w:val="22"/>
          <w:lang w:val="es-ES" w:eastAsia="es-ES"/>
        </w:rPr>
        <w:t xml:space="preserve">contra el </w:t>
      </w:r>
      <w:r>
        <w:rPr>
          <w:rFonts w:ascii="Verdana" w:hAnsi="Verdana" w:cs="Verdana"/>
          <w:b/>
          <w:bCs/>
          <w:spacing w:val="-11"/>
          <w:sz w:val="22"/>
          <w:szCs w:val="22"/>
          <w:lang w:val="es-ES" w:eastAsia="es-ES"/>
        </w:rPr>
        <w:t xml:space="preserve">artículo 7.9.4 de la Sesión Ordinaria 10-2015 dé 25 de febrero de 2015, </w:t>
      </w:r>
      <w:r>
        <w:rPr>
          <w:rFonts w:ascii="Verdana" w:hAnsi="Verdana" w:cs="Verdana"/>
          <w:spacing w:val="-11"/>
          <w:sz w:val="22"/>
          <w:szCs w:val="22"/>
          <w:lang w:val="es-ES" w:eastAsia="es-ES"/>
        </w:rPr>
        <w:t xml:space="preserve">dictado por la </w:t>
      </w:r>
      <w:r>
        <w:rPr>
          <w:spacing w:val="-11"/>
          <w:sz w:val="21"/>
          <w:szCs w:val="21"/>
          <w:lang w:val="es-ES" w:eastAsia="es-ES"/>
        </w:rPr>
        <w:t xml:space="preserve">JUNTA DIRECTIVA DEL CONSEJO DE TRANSPORTE PÚBLICO </w:t>
      </w:r>
      <w:r>
        <w:rPr>
          <w:rFonts w:ascii="Verdana" w:hAnsi="Verdana" w:cs="Verdana"/>
          <w:spacing w:val="-11"/>
          <w:sz w:val="22"/>
          <w:szCs w:val="22"/>
          <w:lang w:val="es-ES" w:eastAsia="es-ES"/>
        </w:rPr>
        <w:t xml:space="preserve">y tramitado en este despacho bajo </w:t>
      </w:r>
      <w:r>
        <w:rPr>
          <w:rFonts w:ascii="Verdana" w:hAnsi="Verdana" w:cs="Verdana"/>
          <w:b/>
          <w:bCs/>
          <w:spacing w:val="-11"/>
          <w:sz w:val="22"/>
          <w:szCs w:val="22"/>
          <w:lang w:val="es-ES" w:eastAsia="es-ES"/>
        </w:rPr>
        <w:t>Expediente Administrativo No. TAT-009-18.</w:t>
      </w:r>
    </w:p>
    <w:p w:rsidR="00AF2D1C" w:rsidRDefault="00475C3F">
      <w:pPr>
        <w:kinsoku w:val="0"/>
        <w:overflowPunct w:val="0"/>
        <w:autoSpaceDE/>
        <w:autoSpaceDN/>
        <w:adjustRightInd/>
        <w:spacing w:before="265" w:line="264"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AF2D1C" w:rsidRDefault="00475C3F">
      <w:pPr>
        <w:kinsoku w:val="0"/>
        <w:overflowPunct w:val="0"/>
        <w:autoSpaceDE/>
        <w:autoSpaceDN/>
        <w:adjustRightInd/>
        <w:spacing w:before="279" w:line="26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w:t>
      </w:r>
      <w:r>
        <w:rPr>
          <w:sz w:val="21"/>
          <w:szCs w:val="21"/>
          <w:lang w:val="es-ES" w:eastAsia="es-ES"/>
        </w:rPr>
        <w:t xml:space="preserve">JUNTA DIRECTIVA DEL CONSEJO DE TRANSPORTE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7.9.4 de la Sesión Ordinaria 10-2015 de 25 de febrero de 2015, </w:t>
      </w:r>
      <w:r>
        <w:rPr>
          <w:rFonts w:ascii="Verdana" w:hAnsi="Verdana" w:cs="Verdana"/>
          <w:sz w:val="22"/>
          <w:szCs w:val="22"/>
          <w:lang w:val="es-ES" w:eastAsia="es-ES"/>
        </w:rPr>
        <w:t>acuerda rechazar la prórroga para cambio de unidad modelo 1999, presentada por el recurrente. (Léase folio 14 frente y vuelto del expediente administrativo)</w:t>
      </w:r>
    </w:p>
    <w:p w:rsidR="00AF2D1C" w:rsidRDefault="00475C3F">
      <w:pPr>
        <w:kinsoku w:val="0"/>
        <w:overflowPunct w:val="0"/>
        <w:autoSpaceDE/>
        <w:autoSpaceDN/>
        <w:adjustRightInd/>
        <w:spacing w:before="387" w:line="26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señor </w:t>
      </w:r>
      <w:r>
        <w:rPr>
          <w:rFonts w:ascii="Verdana" w:hAnsi="Verdana" w:cs="Verdana"/>
          <w:b/>
          <w:bCs/>
          <w:sz w:val="22"/>
          <w:szCs w:val="22"/>
          <w:lang w:val="es-ES" w:eastAsia="es-ES"/>
        </w:rPr>
        <w:t xml:space="preserve">R.R.R.C. CONCESIONARIO DE LA PLACA TC-XX, </w:t>
      </w:r>
      <w:r>
        <w:rPr>
          <w:rFonts w:ascii="Verdana" w:hAnsi="Verdana" w:cs="Verdana"/>
          <w:sz w:val="22"/>
          <w:szCs w:val="22"/>
          <w:lang w:val="es-ES" w:eastAsia="es-ES"/>
        </w:rPr>
        <w:t>en su Recurso de Apelación, argumenta en resumen que su contrato de concesión venció desde el año 2013 y no ha podido renovarlo dado diferentes atrasos por los que ha pasado el CTP, y en cuanto al cambio de la unidad con la que presta el servicio, la misma no le ha sido posible sustituir, requiere de financiamiento pero las entidades que prestan dinero solicitan que esté la concesión aprobada por un plazo mayor al del crédito. (Léanse folios del 8 al 10 del expediente administrativo)</w:t>
      </w:r>
    </w:p>
    <w:p w:rsidR="00AF2D1C" w:rsidRDefault="00475C3F">
      <w:pPr>
        <w:kinsoku w:val="0"/>
        <w:overflowPunct w:val="0"/>
        <w:autoSpaceDE/>
        <w:autoSpaceDN/>
        <w:adjustRightInd/>
        <w:spacing w:before="262" w:line="266"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TERCERO: </w:t>
      </w: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7.14 de la Sesión Ordinaria 41-2015 de 15 de julio de 2015, </w:t>
      </w:r>
      <w:r>
        <w:rPr>
          <w:rFonts w:ascii="Verdana" w:hAnsi="Verdana" w:cs="Verdana"/>
          <w:spacing w:val="1"/>
          <w:sz w:val="22"/>
          <w:szCs w:val="22"/>
          <w:lang w:val="es-ES" w:eastAsia="es-ES"/>
        </w:rPr>
        <w:t xml:space="preserve">acoge el informe técnico de la Dirección de Asuntos Jurídicos el </w:t>
      </w:r>
      <w:r>
        <w:rPr>
          <w:rFonts w:ascii="Verdana" w:hAnsi="Verdana" w:cs="Verdana"/>
          <w:b/>
          <w:bCs/>
          <w:spacing w:val="1"/>
          <w:sz w:val="22"/>
          <w:szCs w:val="22"/>
          <w:lang w:val="es-ES" w:eastAsia="es-ES"/>
        </w:rPr>
        <w:t>DA)-2015</w:t>
      </w:r>
      <w:r>
        <w:rPr>
          <w:rFonts w:ascii="Verdana" w:hAnsi="Verdana" w:cs="Verdana"/>
          <w:b/>
          <w:bCs/>
          <w:spacing w:val="1"/>
          <w:sz w:val="22"/>
          <w:szCs w:val="22"/>
          <w:lang w:val="es-ES" w:eastAsia="es-ES"/>
        </w:rPr>
        <w:softHyphen/>
        <w:t xml:space="preserve">002329 de 14 de julio de 2015 </w:t>
      </w:r>
      <w:r>
        <w:rPr>
          <w:spacing w:val="1"/>
          <w:sz w:val="21"/>
          <w:szCs w:val="21"/>
          <w:lang w:val="es-ES" w:eastAsia="es-ES"/>
        </w:rPr>
        <w:t xml:space="preserve">y dispone declarar sin lugar el </w:t>
      </w:r>
      <w:r>
        <w:rPr>
          <w:rFonts w:ascii="Verdana" w:hAnsi="Verdana" w:cs="Verdana"/>
          <w:spacing w:val="1"/>
          <w:sz w:val="22"/>
          <w:szCs w:val="22"/>
          <w:lang w:val="es-ES" w:eastAsia="es-ES"/>
        </w:rPr>
        <w:t>recurso de Revocatoria por improcedente. (Léanse folios del 2 al 6 del expediente administrativo)</w:t>
      </w:r>
    </w:p>
    <w:p w:rsidR="00AF2D1C" w:rsidRDefault="00475C3F">
      <w:pPr>
        <w:kinsoku w:val="0"/>
        <w:overflowPunct w:val="0"/>
        <w:autoSpaceDE/>
        <w:autoSpaceDN/>
        <w:adjustRightInd/>
        <w:spacing w:before="295" w:line="260"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AF2D1C" w:rsidRDefault="00475C3F">
      <w:pPr>
        <w:kinsoku w:val="0"/>
        <w:overflowPunct w:val="0"/>
        <w:autoSpaceDE/>
        <w:autoSpaceDN/>
        <w:adjustRightInd/>
        <w:spacing w:before="560" w:after="816" w:line="266" w:lineRule="exact"/>
        <w:textAlignment w:val="baseline"/>
        <w:rPr>
          <w:rFonts w:ascii="Verdana" w:hAnsi="Verdana" w:cs="Verdana"/>
          <w:sz w:val="22"/>
          <w:szCs w:val="22"/>
          <w:lang w:val="es-ES" w:eastAsia="es-ES"/>
        </w:rPr>
      </w:pPr>
      <w:r>
        <w:rPr>
          <w:rFonts w:ascii="Verdana" w:hAnsi="Verdana" w:cs="Verdana"/>
          <w:sz w:val="22"/>
          <w:szCs w:val="22"/>
          <w:lang w:val="es-ES" w:eastAsia="es-ES"/>
        </w:rPr>
        <w:t>Redacta la Jueza Villegas Herrera; y,</w:t>
      </w:r>
    </w:p>
    <w:p w:rsidR="00AF2D1C" w:rsidRDefault="00AF2D1C">
      <w:pPr>
        <w:widowControl/>
        <w:rPr>
          <w:sz w:val="24"/>
          <w:szCs w:val="24"/>
        </w:rPr>
        <w:sectPr w:rsidR="00AF2D1C">
          <w:pgSz w:w="12312" w:h="15744"/>
          <w:pgMar w:top="1480" w:right="1422" w:bottom="222" w:left="1810" w:header="720" w:footer="720" w:gutter="0"/>
          <w:cols w:space="720"/>
          <w:noEndnote/>
        </w:sectPr>
      </w:pPr>
    </w:p>
    <w:p w:rsidR="00AF2D1C" w:rsidRDefault="00AF2D1C">
      <w:pPr>
        <w:tabs>
          <w:tab w:val="right" w:pos="2592"/>
        </w:tabs>
        <w:kinsoku w:val="0"/>
        <w:overflowPunct w:val="0"/>
        <w:autoSpaceDE/>
        <w:autoSpaceDN/>
        <w:adjustRightInd/>
        <w:spacing w:line="247" w:lineRule="exact"/>
        <w:textAlignment w:val="baseline"/>
        <w:rPr>
          <w:sz w:val="21"/>
          <w:szCs w:val="21"/>
          <w:lang w:val="es-ES" w:eastAsia="es-ES"/>
        </w:rPr>
      </w:pPr>
    </w:p>
    <w:p w:rsidR="00AF2D1C" w:rsidRDefault="00AF2D1C">
      <w:pPr>
        <w:widowControl/>
        <w:rPr>
          <w:sz w:val="24"/>
          <w:szCs w:val="24"/>
        </w:rPr>
        <w:sectPr w:rsidR="00AF2D1C">
          <w:type w:val="continuous"/>
          <w:pgSz w:w="12312" w:h="15744"/>
          <w:pgMar w:top="1480" w:right="1615" w:bottom="222" w:left="8117" w:header="720" w:footer="720" w:gutter="0"/>
          <w:cols w:space="720"/>
          <w:noEndnote/>
        </w:sectPr>
      </w:pPr>
    </w:p>
    <w:p w:rsidR="00AF2D1C" w:rsidRDefault="00475C3F">
      <w:pPr>
        <w:kinsoku w:val="0"/>
        <w:overflowPunct w:val="0"/>
        <w:autoSpaceDE/>
        <w:autoSpaceDN/>
        <w:adjustRightInd/>
        <w:spacing w:before="9" w:line="272"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CONSIDERANDO</w:t>
      </w:r>
    </w:p>
    <w:p w:rsidR="00AF2D1C" w:rsidRDefault="00475C3F">
      <w:pPr>
        <w:kinsoku w:val="0"/>
        <w:overflowPunct w:val="0"/>
        <w:autoSpaceDE/>
        <w:autoSpaceDN/>
        <w:adjustRightInd/>
        <w:spacing w:before="257" w:line="268"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1.- SOBRE LA COMPETENCIA: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w:t>
      </w:r>
    </w:p>
    <w:p w:rsidR="00AF2D1C" w:rsidRDefault="00475C3F">
      <w:pPr>
        <w:kinsoku w:val="0"/>
        <w:overflowPunct w:val="0"/>
        <w:autoSpaceDE/>
        <w:autoSpaceDN/>
        <w:adjustRightInd/>
        <w:spacing w:before="253" w:line="269" w:lineRule="exact"/>
        <w:ind w:left="144" w:right="72"/>
        <w:jc w:val="both"/>
        <w:textAlignment w:val="baseline"/>
        <w:rPr>
          <w:rFonts w:ascii="Verdana" w:hAnsi="Verdana" w:cs="Verdana"/>
          <w:spacing w:val="-6"/>
          <w:sz w:val="22"/>
          <w:szCs w:val="22"/>
          <w:lang w:val="es-ES" w:eastAsia="es-ES"/>
        </w:rPr>
      </w:pPr>
      <w:r>
        <w:rPr>
          <w:rFonts w:ascii="Verdana" w:hAnsi="Verdana" w:cs="Verdana"/>
          <w:b/>
          <w:bCs/>
          <w:spacing w:val="-6"/>
          <w:sz w:val="22"/>
          <w:szCs w:val="22"/>
          <w:lang w:val="es-ES" w:eastAsia="es-ES"/>
        </w:rPr>
        <w:t xml:space="preserve">2.- SOBRE LA ADMISIBILIDAD DEL RECURSO: </w:t>
      </w:r>
      <w:r>
        <w:rPr>
          <w:rFonts w:ascii="Verdana" w:hAnsi="Verdana" w:cs="Verdana"/>
          <w:b/>
          <w:bCs/>
          <w:spacing w:val="-6"/>
          <w:sz w:val="22"/>
          <w:szCs w:val="22"/>
          <w:u w:val="single"/>
          <w:lang w:val="es-ES" w:eastAsia="es-ES"/>
        </w:rPr>
        <w:t xml:space="preserve">En cuanto a </w:t>
      </w:r>
      <w:proofErr w:type="gramStart"/>
      <w:r>
        <w:rPr>
          <w:rFonts w:ascii="Verdana" w:hAnsi="Verdana" w:cs="Verdana"/>
          <w:b/>
          <w:bCs/>
          <w:spacing w:val="-6"/>
          <w:sz w:val="22"/>
          <w:szCs w:val="22"/>
          <w:u w:val="single"/>
          <w:lang w:val="es-ES" w:eastAsia="es-ES"/>
        </w:rPr>
        <w:t>la  Legitimación</w:t>
      </w:r>
      <w:proofErr w:type="gramEnd"/>
      <w:r>
        <w:rPr>
          <w:rFonts w:ascii="Verdana" w:hAnsi="Verdana" w:cs="Verdana"/>
          <w:b/>
          <w:bCs/>
          <w:spacing w:val="-6"/>
          <w:sz w:val="22"/>
          <w:szCs w:val="22"/>
          <w:u w:val="single"/>
          <w:lang w:val="es-ES" w:eastAsia="es-ES"/>
        </w:rPr>
        <w:t>:</w:t>
      </w:r>
      <w:r>
        <w:rPr>
          <w:rFonts w:ascii="Verdana" w:hAnsi="Verdana" w:cs="Verdana"/>
          <w:spacing w:val="-6"/>
          <w:sz w:val="22"/>
          <w:szCs w:val="22"/>
          <w:lang w:val="es-ES" w:eastAsia="es-ES"/>
        </w:rPr>
        <w:t xml:space="preserve"> Al señor </w:t>
      </w:r>
      <w:r>
        <w:rPr>
          <w:rFonts w:ascii="Verdana" w:hAnsi="Verdana" w:cs="Verdana"/>
          <w:b/>
          <w:bCs/>
          <w:spacing w:val="-6"/>
          <w:sz w:val="22"/>
          <w:szCs w:val="22"/>
          <w:lang w:val="es-ES" w:eastAsia="es-ES"/>
        </w:rPr>
        <w:t xml:space="preserve">R.R.R.C., cédula de identidad número …, </w:t>
      </w:r>
      <w:r>
        <w:rPr>
          <w:rFonts w:ascii="Verdana" w:hAnsi="Verdana" w:cs="Verdana"/>
          <w:spacing w:val="-6"/>
          <w:sz w:val="22"/>
          <w:szCs w:val="22"/>
          <w:lang w:val="es-ES" w:eastAsia="es-ES"/>
        </w:rPr>
        <w:t xml:space="preserve">mediante el acuerdo impugnado le caducaron la concesión de la placa de taxi que ostenta la </w:t>
      </w:r>
      <w:r>
        <w:rPr>
          <w:rFonts w:ascii="Verdana" w:hAnsi="Verdana" w:cs="Verdana"/>
          <w:b/>
          <w:bCs/>
          <w:spacing w:val="-6"/>
          <w:sz w:val="22"/>
          <w:szCs w:val="22"/>
          <w:lang w:val="es-ES" w:eastAsia="es-ES"/>
        </w:rPr>
        <w:t xml:space="preserve">TC-XX, </w:t>
      </w:r>
      <w:r>
        <w:rPr>
          <w:rFonts w:ascii="Verdana" w:hAnsi="Verdana" w:cs="Verdana"/>
          <w:spacing w:val="-6"/>
          <w:sz w:val="22"/>
          <w:szCs w:val="22"/>
          <w:lang w:val="es-ES" w:eastAsia="es-ES"/>
        </w:rPr>
        <w:t xml:space="preserve">por lo que cuenta con la Legitimación suficiente para actuar en el presente asunto. </w:t>
      </w:r>
      <w:r>
        <w:rPr>
          <w:rFonts w:ascii="Verdana" w:hAnsi="Verdana" w:cs="Verdana"/>
          <w:b/>
          <w:bCs/>
          <w:spacing w:val="-6"/>
          <w:sz w:val="22"/>
          <w:szCs w:val="22"/>
          <w:u w:val="single"/>
          <w:lang w:val="es-ES" w:eastAsia="es-ES"/>
        </w:rPr>
        <w:t>En cuanto al plazo:</w:t>
      </w:r>
      <w:r>
        <w:rPr>
          <w:rFonts w:ascii="Verdana" w:hAnsi="Verdana" w:cs="Verdana"/>
          <w:spacing w:val="-6"/>
          <w:sz w:val="22"/>
          <w:szCs w:val="22"/>
          <w:lang w:val="es-ES" w:eastAsia="es-ES"/>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N°7969, del 28 de enero del 2000.</w:t>
      </w:r>
    </w:p>
    <w:p w:rsidR="00AF2D1C" w:rsidRDefault="00475C3F" w:rsidP="00475C3F">
      <w:pPr>
        <w:kinsoku w:val="0"/>
        <w:overflowPunct w:val="0"/>
        <w:autoSpaceDE/>
        <w:autoSpaceDN/>
        <w:adjustRightInd/>
        <w:spacing w:before="264" w:line="267" w:lineRule="exact"/>
        <w:ind w:left="144" w:right="72"/>
        <w:jc w:val="both"/>
        <w:textAlignment w:val="baseline"/>
        <w:rPr>
          <w:rFonts w:ascii="Verdana" w:hAnsi="Verdana" w:cs="Verdana"/>
          <w:sz w:val="22"/>
          <w:szCs w:val="22"/>
          <w:lang w:val="es-ES" w:eastAsia="es-ES"/>
        </w:rPr>
      </w:pPr>
      <w:r>
        <w:rPr>
          <w:rFonts w:ascii="Verdana" w:hAnsi="Verdana" w:cs="Verdana"/>
          <w:b/>
          <w:bCs/>
          <w:spacing w:val="-2"/>
          <w:sz w:val="22"/>
          <w:szCs w:val="22"/>
          <w:lang w:val="es-ES" w:eastAsia="es-ES"/>
        </w:rPr>
        <w:t xml:space="preserve">3.- SOBRE LOS HECHOS PROBADOS: </w:t>
      </w:r>
      <w:r>
        <w:rPr>
          <w:rFonts w:ascii="Verdana" w:hAnsi="Verdana" w:cs="Verdana"/>
          <w:spacing w:val="-2"/>
          <w:sz w:val="22"/>
          <w:szCs w:val="22"/>
          <w:lang w:val="es-ES" w:eastAsia="es-ES"/>
        </w:rPr>
        <w:t xml:space="preserve">De importancia para la decisión de este asunto, se estiman como debidamente demostrados los siguientes hechos por </w:t>
      </w:r>
      <w:r>
        <w:rPr>
          <w:rFonts w:ascii="Verdana" w:hAnsi="Verdana" w:cs="Verdana"/>
          <w:sz w:val="22"/>
          <w:szCs w:val="22"/>
          <w:lang w:val="es-ES" w:eastAsia="es-ES"/>
        </w:rPr>
        <w:t>cuanto así han sido acreditados:</w:t>
      </w:r>
      <w:r>
        <w:rPr>
          <w:rFonts w:ascii="Verdana" w:hAnsi="Verdana" w:cs="Verdana"/>
          <w:sz w:val="22"/>
          <w:szCs w:val="22"/>
          <w:lang w:val="es-ES" w:eastAsia="es-ES"/>
        </w:rPr>
        <w:tab/>
      </w:r>
      <w:r>
        <w:rPr>
          <w:rFonts w:ascii="Verdana" w:hAnsi="Verdana" w:cs="Verdana"/>
          <w:b/>
          <w:bCs/>
          <w:sz w:val="22"/>
          <w:szCs w:val="22"/>
          <w:lang w:val="es-ES" w:eastAsia="es-ES"/>
        </w:rPr>
        <w:t>A</w:t>
      </w:r>
      <w:proofErr w:type="gramStart"/>
      <w:r>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La JUNTA DIRECTIVA DEL CONSEJO DE</w:t>
      </w:r>
      <w:r>
        <w:rPr>
          <w:rFonts w:ascii="Verdana" w:hAnsi="Verdana" w:cs="Verdana"/>
          <w:sz w:val="22"/>
          <w:szCs w:val="22"/>
          <w:lang w:val="es-ES" w:eastAsia="es-ES"/>
        </w:rPr>
        <w:br/>
        <w:t xml:space="preserve">TRANSPORTE PÚBLICO, mediante </w:t>
      </w:r>
      <w:r>
        <w:rPr>
          <w:rFonts w:ascii="Verdana" w:hAnsi="Verdana" w:cs="Verdana"/>
          <w:b/>
          <w:bCs/>
          <w:sz w:val="22"/>
          <w:szCs w:val="22"/>
          <w:lang w:val="es-ES" w:eastAsia="es-ES"/>
        </w:rPr>
        <w:t xml:space="preserve">artículo 7.9.4 de la Sesión Ordinaria 10-2015 de 25 de febrero de 2015, </w:t>
      </w:r>
      <w:r>
        <w:rPr>
          <w:rFonts w:ascii="Verdana" w:hAnsi="Verdana" w:cs="Verdana"/>
          <w:sz w:val="22"/>
          <w:szCs w:val="22"/>
          <w:lang w:val="es-ES" w:eastAsia="es-ES"/>
        </w:rPr>
        <w:t>acuerda rechazar la prórroga para cambio de unidad modelo 1999, presentada por el recurrente. (Léase folio 14 cara y vuelto del expediente administrativo)</w:t>
      </w:r>
    </w:p>
    <w:p w:rsidR="00AF2D1C" w:rsidRDefault="00475C3F">
      <w:pPr>
        <w:numPr>
          <w:ilvl w:val="0"/>
          <w:numId w:val="1"/>
        </w:numPr>
        <w:kinsoku w:val="0"/>
        <w:overflowPunct w:val="0"/>
        <w:autoSpaceDE/>
        <w:autoSpaceDN/>
        <w:adjustRightInd/>
        <w:spacing w:before="251" w:line="268" w:lineRule="exact"/>
        <w:ind w:right="72"/>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 xml:space="preserve">El señor </w:t>
      </w:r>
      <w:r>
        <w:rPr>
          <w:rFonts w:ascii="Verdana" w:hAnsi="Verdana" w:cs="Verdana"/>
          <w:b/>
          <w:bCs/>
          <w:spacing w:val="-6"/>
          <w:sz w:val="22"/>
          <w:szCs w:val="22"/>
          <w:lang w:val="es-ES" w:eastAsia="es-ES"/>
        </w:rPr>
        <w:t xml:space="preserve">R.R.R.C. CONCESIONARIO DE LA PLACA TC-XX, </w:t>
      </w:r>
      <w:r>
        <w:rPr>
          <w:rFonts w:ascii="Verdana" w:hAnsi="Verdana" w:cs="Verdana"/>
          <w:spacing w:val="-6"/>
          <w:sz w:val="22"/>
          <w:szCs w:val="22"/>
          <w:lang w:val="es-ES" w:eastAsia="es-ES"/>
        </w:rPr>
        <w:t>en su Recurso de Apelación, argumenta que su contrato de concesión venció desde el año 2013 y no ha podido renovarlo dado diferentes atrasos por los que ha pasado el CTP, y en cuanto al cambio de la unidad con la que presta el servicio, la misma no le ha sido posible sustituir, requiere de financiamiento pero las entidades que prestan dinero solicitan que esté la concesión aprobada por un plazo mayor al del crédito. (Léanse folios del 8 al 10 del expediente administrativo)</w:t>
      </w:r>
    </w:p>
    <w:p w:rsidR="00AF2D1C" w:rsidRDefault="00475C3F">
      <w:pPr>
        <w:numPr>
          <w:ilvl w:val="0"/>
          <w:numId w:val="1"/>
        </w:numPr>
        <w:kinsoku w:val="0"/>
        <w:overflowPunct w:val="0"/>
        <w:autoSpaceDE/>
        <w:autoSpaceDN/>
        <w:adjustRightInd/>
        <w:spacing w:before="258" w:line="271"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acuerdo 7.14 de la Sesión Ordinaria 41-201</w:t>
      </w:r>
      <w:r>
        <w:rPr>
          <w:rFonts w:ascii="Verdana" w:hAnsi="Verdana" w:cs="Verdana"/>
          <w:sz w:val="22"/>
          <w:szCs w:val="22"/>
          <w:lang w:val="es-ES" w:eastAsia="es-ES"/>
        </w:rPr>
        <w:t>,</w:t>
      </w:r>
      <w:r>
        <w:rPr>
          <w:rFonts w:ascii="Verdana" w:hAnsi="Verdana" w:cs="Verdana"/>
          <w:b/>
          <w:bCs/>
          <w:sz w:val="22"/>
          <w:szCs w:val="22"/>
          <w:lang w:val="es-ES" w:eastAsia="es-ES"/>
        </w:rPr>
        <w:t xml:space="preserve">5 de 15 de julio de 2015,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 xml:space="preserve">DAJ-2015-002329 de 14 de julio de 2015 </w:t>
      </w:r>
      <w:r>
        <w:rPr>
          <w:rFonts w:ascii="Verdana" w:hAnsi="Verdana" w:cs="Verdana"/>
          <w:sz w:val="22"/>
          <w:szCs w:val="22"/>
          <w:lang w:val="es-ES" w:eastAsia="es-ES"/>
        </w:rPr>
        <w:t>y dispone declarar sin lugar el recurso de Revocatoria, por improcedente. (Léanse folios del 2 al 6 del expediente administrativo)</w:t>
      </w:r>
    </w:p>
    <w:p w:rsidR="00AF2D1C" w:rsidRDefault="00475C3F">
      <w:pPr>
        <w:numPr>
          <w:ilvl w:val="0"/>
          <w:numId w:val="1"/>
        </w:numPr>
        <w:kinsoku w:val="0"/>
        <w:overflowPunct w:val="0"/>
        <w:autoSpaceDE/>
        <w:autoSpaceDN/>
        <w:adjustRightInd/>
        <w:spacing w:before="262" w:line="274"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tiene fehacientemente demostrado, por así extraerse del expediente </w:t>
      </w:r>
      <w:proofErr w:type="gramStart"/>
      <w:r>
        <w:rPr>
          <w:rFonts w:ascii="Verdana" w:hAnsi="Verdana" w:cs="Verdana"/>
          <w:sz w:val="22"/>
          <w:szCs w:val="22"/>
          <w:lang w:val="es-ES" w:eastAsia="es-ES"/>
        </w:rPr>
        <w:t>administrativo</w:t>
      </w:r>
      <w:proofErr w:type="gramEnd"/>
      <w:r>
        <w:rPr>
          <w:rFonts w:ascii="Verdana" w:hAnsi="Verdana" w:cs="Verdana"/>
          <w:sz w:val="22"/>
          <w:szCs w:val="22"/>
          <w:lang w:val="es-ES" w:eastAsia="es-ES"/>
        </w:rPr>
        <w:t xml:space="preserve"> así como del mismo recurso, que el recurrente incumplió con su obligación de realizar el cambio del vehículo que ampara su concesión modelo 1999, en el plazo establecido, lo que motivó el rechazo de la solicitud de prórroga que realizara.</w:t>
      </w:r>
    </w:p>
    <w:p w:rsidR="00AF2D1C" w:rsidRDefault="00475C3F">
      <w:pPr>
        <w:kinsoku w:val="0"/>
        <w:overflowPunct w:val="0"/>
        <w:autoSpaceDE/>
        <w:autoSpaceDN/>
        <w:adjustRightInd/>
        <w:spacing w:before="260" w:line="272" w:lineRule="exact"/>
        <w:ind w:left="144"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4.- HECHOS NO PROBADOS:</w:t>
      </w:r>
    </w:p>
    <w:p w:rsidR="00AF2D1C" w:rsidRDefault="00AF2D1C">
      <w:pPr>
        <w:widowControl/>
        <w:rPr>
          <w:sz w:val="24"/>
          <w:szCs w:val="24"/>
        </w:rPr>
        <w:sectPr w:rsidR="00AF2D1C">
          <w:pgSz w:w="12312" w:h="15744"/>
          <w:pgMar w:top="1280" w:right="1642" w:bottom="308" w:left="1590" w:header="720" w:footer="720" w:gutter="0"/>
          <w:cols w:space="720"/>
          <w:noEndnote/>
        </w:sectPr>
      </w:pPr>
    </w:p>
    <w:p w:rsidR="00AF2D1C" w:rsidRDefault="00475C3F">
      <w:pPr>
        <w:kinsoku w:val="0"/>
        <w:overflowPunct w:val="0"/>
        <w:autoSpaceDE/>
        <w:autoSpaceDN/>
        <w:adjustRightInd/>
        <w:spacing w:before="22" w:line="268"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Ninguno de importancia para la resolución del presente asunto.</w:t>
      </w:r>
    </w:p>
    <w:p w:rsidR="00AF2D1C" w:rsidRDefault="00475C3F">
      <w:pPr>
        <w:kinsoku w:val="0"/>
        <w:overflowPunct w:val="0"/>
        <w:autoSpaceDE/>
        <w:autoSpaceDN/>
        <w:adjustRightInd/>
        <w:spacing w:before="380" w:line="253" w:lineRule="exact"/>
        <w:ind w:left="72" w:right="72"/>
        <w:textAlignment w:val="baseline"/>
        <w:rPr>
          <w:rFonts w:ascii="Verdana" w:hAnsi="Verdana" w:cs="Verdana"/>
          <w:b/>
          <w:bCs/>
          <w:spacing w:val="17"/>
          <w:sz w:val="19"/>
          <w:szCs w:val="19"/>
          <w:lang w:val="es-ES" w:eastAsia="es-ES"/>
        </w:rPr>
      </w:pPr>
      <w:r>
        <w:rPr>
          <w:rFonts w:ascii="Verdana" w:hAnsi="Verdana" w:cs="Verdana"/>
          <w:b/>
          <w:bCs/>
          <w:spacing w:val="17"/>
          <w:sz w:val="19"/>
          <w:szCs w:val="19"/>
          <w:lang w:val="es-ES" w:eastAsia="es-ES"/>
        </w:rPr>
        <w:t>5.- SOBRE EL FONDO</w:t>
      </w:r>
    </w:p>
    <w:p w:rsidR="00AF2D1C" w:rsidRDefault="00475C3F">
      <w:pPr>
        <w:kinsoku w:val="0"/>
        <w:overflowPunct w:val="0"/>
        <w:autoSpaceDE/>
        <w:autoSpaceDN/>
        <w:adjustRightInd/>
        <w:spacing w:before="551"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el presente asunto nos encontramos ante un hecho en el que se evidencia que se ha producido una transgresión de las obligaciones en cuanto a la prestación del servicio por parte del concesionario.</w:t>
      </w:r>
    </w:p>
    <w:p w:rsidR="00AF2D1C" w:rsidRDefault="00475C3F">
      <w:pPr>
        <w:kinsoku w:val="0"/>
        <w:overflowPunct w:val="0"/>
        <w:autoSpaceDE/>
        <w:autoSpaceDN/>
        <w:adjustRightInd/>
        <w:spacing w:before="273" w:line="268"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Tanto de lo dicho por el CTP, como lo alegado por el mismo recurrente el vehículo con el cual prestaba el servicio era modelo 1999 y no realizó en el tiempo debido el cambio de unidad por el advenimiento de su vida útil, conforme lo establece el Decreto Ejecutivo Número 34103-MOPT, "Reforma al Artículo 5 del Reglamento Sobre Disposiciones Generales Que Deben Cumplir los Vehículos en la Modalidad de taxi y sus Reformas, Decreto Ejecutivo </w:t>
      </w:r>
      <w:proofErr w:type="spellStart"/>
      <w:r>
        <w:rPr>
          <w:rFonts w:ascii="Verdana" w:hAnsi="Verdana" w:cs="Verdana"/>
          <w:spacing w:val="-2"/>
          <w:sz w:val="22"/>
          <w:szCs w:val="22"/>
          <w:lang w:val="es-ES" w:eastAsia="es-ES"/>
        </w:rPr>
        <w:t>N°</w:t>
      </w:r>
      <w:proofErr w:type="spellEnd"/>
      <w:r>
        <w:rPr>
          <w:rFonts w:ascii="Verdana" w:hAnsi="Verdana" w:cs="Verdana"/>
          <w:spacing w:val="-2"/>
          <w:sz w:val="22"/>
          <w:szCs w:val="22"/>
          <w:lang w:val="es-ES" w:eastAsia="es-ES"/>
        </w:rPr>
        <w:t xml:space="preserve"> 32261-MOPT".</w:t>
      </w:r>
    </w:p>
    <w:p w:rsidR="00AF2D1C" w:rsidRDefault="00475C3F">
      <w:pPr>
        <w:kinsoku w:val="0"/>
        <w:overflowPunct w:val="0"/>
        <w:autoSpaceDE/>
        <w:autoSpaceDN/>
        <w:adjustRightInd/>
        <w:spacing w:before="280"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19"/>
          <w:szCs w:val="19"/>
          <w:lang w:val="es-ES" w:eastAsia="es-ES"/>
        </w:rPr>
        <w:t xml:space="preserve">R.R.R.C. CONCESIONARIO DE LA PLACA TC-XX, </w:t>
      </w:r>
      <w:r>
        <w:rPr>
          <w:rFonts w:ascii="Verdana" w:hAnsi="Verdana" w:cs="Verdana"/>
          <w:sz w:val="22"/>
          <w:szCs w:val="22"/>
          <w:lang w:val="es-ES" w:eastAsia="es-ES"/>
        </w:rPr>
        <w:t>en su Recurso de Apelación, argumenta que su contrato de concesión venció desde el año 2013 y no ha podido renovarlo dado diferentes atrasos por los que ha pasado el CTP, y en cuanto al cambio de la unidad que presta el servicio la misma no le ha sido posible cambiarla por cuanto no ha contado con los medios económicos suficientes para realizar dicho cambio, y por lo tanto requiere de financiamiento, pero las entidades que prestan dinero solicitan que esté la concesión aprobada por un plazo mayor al del crédito.</w:t>
      </w:r>
    </w:p>
    <w:p w:rsidR="00AF2D1C" w:rsidRDefault="00475C3F">
      <w:pPr>
        <w:kinsoku w:val="0"/>
        <w:overflowPunct w:val="0"/>
        <w:autoSpaceDE/>
        <w:autoSpaceDN/>
        <w:adjustRightInd/>
        <w:spacing w:before="24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verifica del mismo dicho del recurrente se extrae que efectivamente se dio un incumplimiento en el cambio de vehículo que ampara la concesión por el advenimiento de la vida útil y los argumentos que da no son de recibo para eximirlo de responsabilidad, de </w:t>
      </w:r>
      <w:proofErr w:type="gramStart"/>
      <w:r>
        <w:rPr>
          <w:rFonts w:ascii="Verdana" w:hAnsi="Verdana" w:cs="Verdana"/>
          <w:sz w:val="22"/>
          <w:szCs w:val="22"/>
          <w:lang w:val="es-ES" w:eastAsia="es-ES"/>
        </w:rPr>
        <w:t>hecho</w:t>
      </w:r>
      <w:proofErr w:type="gramEnd"/>
      <w:r>
        <w:rPr>
          <w:rFonts w:ascii="Verdana" w:hAnsi="Verdana" w:cs="Verdana"/>
          <w:sz w:val="22"/>
          <w:szCs w:val="22"/>
          <w:lang w:val="es-ES" w:eastAsia="es-ES"/>
        </w:rPr>
        <w:t xml:space="preserve"> no es hasta meses después de que vence la vida útil del vehículo el 31 de diciembre de 2014, que se presenta solicitud de prórroga de cambio de unidad.</w:t>
      </w:r>
    </w:p>
    <w:p w:rsidR="00AF2D1C" w:rsidRDefault="00475C3F">
      <w:pPr>
        <w:kinsoku w:val="0"/>
        <w:overflowPunct w:val="0"/>
        <w:autoSpaceDE/>
        <w:autoSpaceDN/>
        <w:adjustRightInd/>
        <w:spacing w:before="286" w:line="26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Según se desprende del folio 18 del expediente es hasta el 27 de enero de 2015, que el recurrente presento solicitud de prórroga para poder realizar el cambio de unidad por vencimiento de su vida útil.</w:t>
      </w:r>
    </w:p>
    <w:p w:rsidR="00AF2D1C" w:rsidRDefault="00475C3F">
      <w:pPr>
        <w:kinsoku w:val="0"/>
        <w:overflowPunct w:val="0"/>
        <w:autoSpaceDE/>
        <w:autoSpaceDN/>
        <w:adjustRightInd/>
        <w:spacing w:before="275"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Sobre lo dicho anteriormente, debemos indicar que no son de recibo las argumentaciones del recurrente por lo siguiente: Es una obligación ineludible del concesionario cumplir con todas las obligaciones de la concesión, en aras de una prestación efectiva y eficiente del servicio público y de conformidad con lo indicado en el numeral 40 de la Ley 7969.</w:t>
      </w:r>
    </w:p>
    <w:p w:rsidR="00AF2D1C" w:rsidRDefault="00475C3F">
      <w:pPr>
        <w:kinsoku w:val="0"/>
        <w:overflowPunct w:val="0"/>
        <w:autoSpaceDE/>
        <w:autoSpaceDN/>
        <w:adjustRightInd/>
        <w:spacing w:before="296" w:after="811"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Por otro lado, el artículo 5 del Reglamento Sobre Disposiciones Generales Que Deben Cumplir los Vehículos en la Modalidad de taxi y sus Reformas, Decreto Ejecutivo </w:t>
      </w:r>
      <w:proofErr w:type="spellStart"/>
      <w:r>
        <w:rPr>
          <w:rFonts w:ascii="Verdana" w:hAnsi="Verdana" w:cs="Verdana"/>
          <w:sz w:val="22"/>
          <w:szCs w:val="22"/>
          <w:lang w:val="es-ES" w:eastAsia="es-ES"/>
        </w:rPr>
        <w:t>N°</w:t>
      </w:r>
      <w:proofErr w:type="spellEnd"/>
      <w:r>
        <w:rPr>
          <w:rFonts w:ascii="Verdana" w:hAnsi="Verdana" w:cs="Verdana"/>
          <w:sz w:val="22"/>
          <w:szCs w:val="22"/>
          <w:lang w:val="es-ES" w:eastAsia="es-ES"/>
        </w:rPr>
        <w:t xml:space="preserve"> 32261-MOPT, establece como vida máxima autorizada 15 años para los vehículos que prestan el servicio al amparo de una concesión.</w:t>
      </w:r>
    </w:p>
    <w:p w:rsidR="00AF2D1C" w:rsidRDefault="00AF2D1C">
      <w:pPr>
        <w:widowControl/>
        <w:rPr>
          <w:sz w:val="24"/>
          <w:szCs w:val="24"/>
        </w:rPr>
        <w:sectPr w:rsidR="00AF2D1C">
          <w:pgSz w:w="12302" w:h="15778"/>
          <w:pgMar w:top="1740" w:right="1479" w:bottom="179" w:left="1743" w:header="720" w:footer="720" w:gutter="0"/>
          <w:cols w:space="720"/>
          <w:noEndnote/>
        </w:sectPr>
      </w:pPr>
    </w:p>
    <w:p w:rsidR="00AF2D1C" w:rsidRDefault="00475C3F">
      <w:pPr>
        <w:tabs>
          <w:tab w:val="right" w:pos="2592"/>
        </w:tabs>
        <w:kinsoku w:val="0"/>
        <w:overflowPunct w:val="0"/>
        <w:autoSpaceDE/>
        <w:autoSpaceDN/>
        <w:adjustRightInd/>
        <w:spacing w:line="250" w:lineRule="exact"/>
        <w:textAlignment w:val="baseline"/>
        <w:rPr>
          <w:sz w:val="23"/>
          <w:szCs w:val="23"/>
          <w:lang w:val="es-ES" w:eastAsia="es-ES"/>
        </w:rPr>
      </w:pPr>
      <w:r>
        <w:rPr>
          <w:lang w:val="es-ES" w:eastAsia="es-ES"/>
        </w:rPr>
        <w:tab/>
      </w:r>
    </w:p>
    <w:p w:rsidR="00AF2D1C" w:rsidRDefault="00AF2D1C">
      <w:pPr>
        <w:widowControl/>
        <w:rPr>
          <w:sz w:val="24"/>
          <w:szCs w:val="24"/>
        </w:rPr>
        <w:sectPr w:rsidR="00AF2D1C">
          <w:type w:val="continuous"/>
          <w:pgSz w:w="12302" w:h="15778"/>
          <w:pgMar w:top="1740" w:right="1624" w:bottom="179" w:left="8098" w:header="720" w:footer="720" w:gutter="0"/>
          <w:cols w:space="720"/>
          <w:noEndnote/>
        </w:sectPr>
      </w:pPr>
    </w:p>
    <w:p w:rsidR="00AF2D1C" w:rsidRDefault="00475C3F">
      <w:pPr>
        <w:kinsoku w:val="0"/>
        <w:overflowPunct w:val="0"/>
        <w:autoSpaceDE/>
        <w:autoSpaceDN/>
        <w:adjustRightInd/>
        <w:spacing w:before="5" w:line="269" w:lineRule="exact"/>
        <w:ind w:left="72"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Por lo dicho es el criterio de este Tribunal que, en el caso bajo análisis se ha violentado la normativa existente y ha incurrido en incumplimientos del contrato de concesión otorgado.</w:t>
      </w:r>
    </w:p>
    <w:p w:rsidR="00AF2D1C" w:rsidRDefault="00475C3F">
      <w:pPr>
        <w:kinsoku w:val="0"/>
        <w:overflowPunct w:val="0"/>
        <w:autoSpaceDE/>
        <w:autoSpaceDN/>
        <w:adjustRightInd/>
        <w:spacing w:before="268" w:line="269" w:lineRule="exact"/>
        <w:ind w:left="72"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Decreto Ejecutivo Número 34103-MOPT, "Reforma al Artículo 5 del Reglamento Sobre Disposiciones Generales Que Deben Cumplir los Vehículos en la Modalidad de taxi y sus Reformas, Decreto Ejecutivo </w:t>
      </w:r>
      <w:proofErr w:type="spellStart"/>
      <w:r>
        <w:rPr>
          <w:rFonts w:ascii="Verdana" w:hAnsi="Verdana" w:cs="Verdana"/>
          <w:sz w:val="22"/>
          <w:szCs w:val="22"/>
          <w:lang w:val="es-ES" w:eastAsia="es-ES"/>
        </w:rPr>
        <w:t>N°</w:t>
      </w:r>
      <w:proofErr w:type="spellEnd"/>
      <w:r>
        <w:rPr>
          <w:rFonts w:ascii="Verdana" w:hAnsi="Verdana" w:cs="Verdana"/>
          <w:sz w:val="22"/>
          <w:szCs w:val="22"/>
          <w:lang w:val="es-ES" w:eastAsia="es-ES"/>
        </w:rPr>
        <w:t xml:space="preserve"> 32261-MOPT" establece en su numeral primero lo siguiente:</w:t>
      </w:r>
    </w:p>
    <w:p w:rsidR="00AF2D1C" w:rsidRDefault="00475C3F">
      <w:pPr>
        <w:kinsoku w:val="0"/>
        <w:overflowPunct w:val="0"/>
        <w:autoSpaceDE/>
        <w:autoSpaceDN/>
        <w:adjustRightInd/>
        <w:spacing w:before="274" w:line="188" w:lineRule="exact"/>
        <w:ind w:left="504"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1</w:t>
      </w:r>
      <w:r>
        <w:rPr>
          <w:rFonts w:ascii="Verdana" w:hAnsi="Verdana" w:cs="Verdana"/>
          <w:i/>
          <w:iCs/>
          <w:sz w:val="16"/>
          <w:szCs w:val="16"/>
          <w:vertAlign w:val="superscript"/>
          <w:lang w:val="es-ES" w:eastAsia="es-ES"/>
        </w:rPr>
        <w:t>0</w:t>
      </w:r>
      <w:r>
        <w:rPr>
          <w:rFonts w:ascii="Verdana" w:hAnsi="Verdana" w:cs="Verdana"/>
          <w:i/>
          <w:iCs/>
          <w:sz w:val="16"/>
          <w:szCs w:val="16"/>
          <w:lang w:val="es-ES" w:eastAsia="es-ES"/>
        </w:rPr>
        <w:t xml:space="preserve">-Modifíquese el artículo 5 del Decreto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32261-MOPT, para que se lea de la siguiente manera:</w:t>
      </w:r>
    </w:p>
    <w:p w:rsidR="00AF2D1C" w:rsidRDefault="00475C3F">
      <w:pPr>
        <w:kinsoku w:val="0"/>
        <w:overflowPunct w:val="0"/>
        <w:autoSpaceDE/>
        <w:autoSpaceDN/>
        <w:adjustRightInd/>
        <w:spacing w:before="202" w:line="193" w:lineRule="exact"/>
        <w:ind w:left="504"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"Artículo 5°-Rango de antigüedad. Para la prestación del servicio público del transporte remunerado de personas modalidad taxi, los vehículos automotores que se utilicen en esta actividad </w:t>
      </w:r>
      <w:r>
        <w:rPr>
          <w:rFonts w:ascii="Verdana" w:hAnsi="Verdana" w:cs="Verdana"/>
          <w:b/>
          <w:bCs/>
          <w:sz w:val="16"/>
          <w:szCs w:val="16"/>
          <w:u w:val="single"/>
          <w:lang w:val="es-ES" w:eastAsia="es-ES"/>
        </w:rPr>
        <w:t>no podrán contar con un rancio de antigüedad superior a los 15 años</w:t>
      </w:r>
      <w:r>
        <w:rPr>
          <w:rFonts w:ascii="Verdana" w:hAnsi="Verdana" w:cs="Verdana"/>
          <w:i/>
          <w:iCs/>
          <w:sz w:val="16"/>
          <w:szCs w:val="16"/>
          <w:lang w:val="es-ES" w:eastAsia="es-ES"/>
        </w:rPr>
        <w:t xml:space="preserve"> contados a partir de su fecha de fabricación.</w:t>
      </w:r>
    </w:p>
    <w:p w:rsidR="00AF2D1C" w:rsidRDefault="00475C3F">
      <w:pPr>
        <w:kinsoku w:val="0"/>
        <w:overflowPunct w:val="0"/>
        <w:autoSpaceDE/>
        <w:autoSpaceDN/>
        <w:adjustRightInd/>
        <w:spacing w:before="207" w:line="193" w:lineRule="exact"/>
        <w:ind w:left="504"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Para tales efectos, la vida máxima autorizada será la indicada en el párrafo anterior, y </w:t>
      </w:r>
      <w:r>
        <w:rPr>
          <w:rFonts w:ascii="Verdana" w:hAnsi="Verdana" w:cs="Verdana"/>
          <w:b/>
          <w:bCs/>
          <w:i/>
          <w:iCs/>
          <w:sz w:val="16"/>
          <w:szCs w:val="16"/>
          <w:u w:val="single"/>
          <w:lang w:val="es-ES" w:eastAsia="es-ES"/>
        </w:rPr>
        <w:t xml:space="preserve">por </w:t>
      </w:r>
      <w:proofErr w:type="gramStart"/>
      <w:r>
        <w:rPr>
          <w:rFonts w:ascii="Verdana" w:hAnsi="Verdana" w:cs="Verdana"/>
          <w:b/>
          <w:bCs/>
          <w:i/>
          <w:iCs/>
          <w:sz w:val="16"/>
          <w:szCs w:val="16"/>
          <w:u w:val="single"/>
          <w:lang w:val="es-ES" w:eastAsia="es-ES"/>
        </w:rPr>
        <w:t>ninguna  causa</w:t>
      </w:r>
      <w:proofErr w:type="gramEnd"/>
      <w:r>
        <w:rPr>
          <w:rFonts w:ascii="Verdana" w:hAnsi="Verdana" w:cs="Verdana"/>
          <w:b/>
          <w:bCs/>
          <w:i/>
          <w:iCs/>
          <w:sz w:val="16"/>
          <w:szCs w:val="16"/>
          <w:u w:val="single"/>
          <w:lang w:val="es-ES" w:eastAsia="es-ES"/>
        </w:rPr>
        <w:t xml:space="preserve">, podrá autorizarse la circulación de unidades que excedan el rango de antigüedad </w:t>
      </w:r>
      <w:r>
        <w:rPr>
          <w:rFonts w:ascii="Verdana" w:hAnsi="Verdana" w:cs="Verdana"/>
          <w:i/>
          <w:iCs/>
          <w:sz w:val="16"/>
          <w:szCs w:val="16"/>
          <w:lang w:val="es-ES" w:eastAsia="es-ES"/>
        </w:rPr>
        <w:t>aludido"." (El resaltado es nuestro)</w:t>
      </w:r>
    </w:p>
    <w:p w:rsidR="00AF2D1C" w:rsidRDefault="00475C3F">
      <w:pPr>
        <w:kinsoku w:val="0"/>
        <w:overflowPunct w:val="0"/>
        <w:autoSpaceDE/>
        <w:autoSpaceDN/>
        <w:adjustRightInd/>
        <w:spacing w:before="268" w:line="269" w:lineRule="exact"/>
        <w:ind w:left="72"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Por su parte la Ley 7969, determina que la concesión puede ser cancelada si se incumple con los deberes fijados en el ordenamiento a jurídico aplicable a la materia, por parte del concesionario.</w:t>
      </w:r>
    </w:p>
    <w:p w:rsidR="00AF2D1C" w:rsidRDefault="00475C3F">
      <w:pPr>
        <w:kinsoku w:val="0"/>
        <w:overflowPunct w:val="0"/>
        <w:autoSpaceDE/>
        <w:autoSpaceDN/>
        <w:adjustRightInd/>
        <w:spacing w:before="268" w:line="269" w:lineRule="exact"/>
        <w:ind w:left="72"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 según lo señalado en el Artículo 40 de esa ley, por las siguientes causales:</w:t>
      </w:r>
    </w:p>
    <w:p w:rsidR="00AF2D1C" w:rsidRDefault="00475C3F">
      <w:pPr>
        <w:kinsoku w:val="0"/>
        <w:overflowPunct w:val="0"/>
        <w:autoSpaceDE/>
        <w:autoSpaceDN/>
        <w:adjustRightInd/>
        <w:spacing w:before="296" w:line="193" w:lineRule="exact"/>
        <w:ind w:left="720" w:right="792" w:firstLine="216"/>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a) Incumplir las obligaciones y los deberes fijados en esta ley, su reglamento, el contrato o leyes y reglamentos conexos.</w:t>
      </w:r>
    </w:p>
    <w:p w:rsidR="00AF2D1C" w:rsidRDefault="00475C3F">
      <w:pPr>
        <w:numPr>
          <w:ilvl w:val="0"/>
          <w:numId w:val="2"/>
        </w:numPr>
        <w:kinsoku w:val="0"/>
        <w:overflowPunct w:val="0"/>
        <w:autoSpaceDE/>
        <w:autoSpaceDN/>
        <w:adjustRightInd/>
        <w:spacing w:before="1" w:line="193" w:lineRule="exact"/>
        <w:ind w:right="792"/>
        <w:textAlignment w:val="baseline"/>
        <w:rPr>
          <w:rFonts w:ascii="Verdana" w:hAnsi="Verdana" w:cs="Verdana"/>
          <w:i/>
          <w:iCs/>
          <w:sz w:val="16"/>
          <w:szCs w:val="16"/>
          <w:lang w:val="es-ES" w:eastAsia="es-ES"/>
        </w:rPr>
      </w:pPr>
      <w:r>
        <w:rPr>
          <w:rFonts w:ascii="Verdana" w:hAnsi="Verdana" w:cs="Verdana"/>
          <w:i/>
          <w:iCs/>
          <w:sz w:val="16"/>
          <w:szCs w:val="16"/>
          <w:lang w:val="es-ES" w:eastAsia="es-ES"/>
        </w:rPr>
        <w:t>Comprobar, en cualquier momento, la presentación de datos falsos o inexactos en la oferta.</w:t>
      </w:r>
    </w:p>
    <w:p w:rsidR="00AF2D1C" w:rsidRDefault="00475C3F">
      <w:pPr>
        <w:numPr>
          <w:ilvl w:val="0"/>
          <w:numId w:val="2"/>
        </w:numPr>
        <w:kinsoku w:val="0"/>
        <w:overflowPunct w:val="0"/>
        <w:autoSpaceDE/>
        <w:autoSpaceDN/>
        <w:adjustRightInd/>
        <w:spacing w:before="5" w:line="191"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Ceder la concesión a favor de un tercero, sin autorización del Consejo.</w:t>
      </w:r>
    </w:p>
    <w:p w:rsidR="00AF2D1C" w:rsidRDefault="00475C3F">
      <w:pPr>
        <w:numPr>
          <w:ilvl w:val="0"/>
          <w:numId w:val="2"/>
        </w:numPr>
        <w:kinsoku w:val="0"/>
        <w:overflowPunct w:val="0"/>
        <w:autoSpaceDE/>
        <w:autoSpaceDN/>
        <w:adjustRightInd/>
        <w:spacing w:line="194" w:lineRule="exact"/>
        <w:ind w:right="792"/>
        <w:textAlignment w:val="baseline"/>
        <w:rPr>
          <w:rFonts w:ascii="Verdana" w:hAnsi="Verdana" w:cs="Verdana"/>
          <w:i/>
          <w:iCs/>
          <w:sz w:val="16"/>
          <w:szCs w:val="16"/>
          <w:lang w:val="es-ES" w:eastAsia="es-ES"/>
        </w:rPr>
      </w:pPr>
      <w:r>
        <w:rPr>
          <w:rFonts w:ascii="Verdana" w:hAnsi="Verdana" w:cs="Verdana"/>
          <w:i/>
          <w:iCs/>
          <w:sz w:val="16"/>
          <w:szCs w:val="16"/>
          <w:lang w:val="es-ES" w:eastAsia="es-ES"/>
        </w:rPr>
        <w:t>Dejar de formalizar el contrato de concesión por treinta días, contados a partir de la adjudicación.</w:t>
      </w:r>
    </w:p>
    <w:p w:rsidR="00AF2D1C" w:rsidRDefault="00475C3F">
      <w:pPr>
        <w:numPr>
          <w:ilvl w:val="0"/>
          <w:numId w:val="2"/>
        </w:numPr>
        <w:kinsoku w:val="0"/>
        <w:overflowPunct w:val="0"/>
        <w:autoSpaceDE/>
        <w:autoSpaceDN/>
        <w:adjustRightInd/>
        <w:spacing w:before="6" w:line="193" w:lineRule="exact"/>
        <w:ind w:right="792"/>
        <w:textAlignment w:val="baseline"/>
        <w:rPr>
          <w:rFonts w:ascii="Verdana" w:hAnsi="Verdana" w:cs="Verdana"/>
          <w:i/>
          <w:iCs/>
          <w:sz w:val="16"/>
          <w:szCs w:val="16"/>
          <w:lang w:val="es-ES" w:eastAsia="es-ES"/>
        </w:rPr>
      </w:pPr>
      <w:r>
        <w:rPr>
          <w:rFonts w:ascii="Verdana" w:hAnsi="Verdana" w:cs="Verdana"/>
          <w:i/>
          <w:iCs/>
          <w:sz w:val="16"/>
          <w:szCs w:val="16"/>
          <w:lang w:val="es-ES" w:eastAsia="es-ES"/>
        </w:rPr>
        <w:t>Incurrir en las causales establecidas para la rescisión y resolución contractual dispuestas en la Ley de Contratación Administrativa y su reglamento.</w:t>
      </w:r>
    </w:p>
    <w:p w:rsidR="00AF2D1C" w:rsidRDefault="00475C3F">
      <w:pPr>
        <w:numPr>
          <w:ilvl w:val="0"/>
          <w:numId w:val="2"/>
        </w:numPr>
        <w:kinsoku w:val="0"/>
        <w:overflowPunct w:val="0"/>
        <w:autoSpaceDE/>
        <w:autoSpaceDN/>
        <w:adjustRightInd/>
        <w:spacing w:line="192" w:lineRule="exact"/>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Cumplir el plazo.</w:t>
      </w:r>
    </w:p>
    <w:p w:rsidR="00AF2D1C" w:rsidRDefault="00475C3F">
      <w:pPr>
        <w:numPr>
          <w:ilvl w:val="0"/>
          <w:numId w:val="2"/>
        </w:numPr>
        <w:kinsoku w:val="0"/>
        <w:overflowPunct w:val="0"/>
        <w:autoSpaceDE/>
        <w:autoSpaceDN/>
        <w:adjustRightInd/>
        <w:spacing w:line="190" w:lineRule="exact"/>
        <w:ind w:right="792"/>
        <w:textAlignment w:val="baseline"/>
        <w:rPr>
          <w:rFonts w:ascii="Verdana" w:hAnsi="Verdana" w:cs="Verdana"/>
          <w:i/>
          <w:iCs/>
          <w:sz w:val="16"/>
          <w:szCs w:val="16"/>
          <w:lang w:val="es-ES" w:eastAsia="es-ES"/>
        </w:rPr>
      </w:pPr>
      <w:r>
        <w:rPr>
          <w:rFonts w:ascii="Verdana" w:hAnsi="Verdana" w:cs="Verdana"/>
          <w:i/>
          <w:iCs/>
          <w:sz w:val="16"/>
          <w:szCs w:val="16"/>
          <w:lang w:val="es-ES" w:eastAsia="es-ES"/>
        </w:rPr>
        <w:t>Por remate judicial, declarado en sentencia firme, del vehículo objeto de la concesión." (el resaltado es nuestro)</w:t>
      </w:r>
    </w:p>
    <w:p w:rsidR="00AF2D1C" w:rsidRDefault="00475C3F">
      <w:pPr>
        <w:kinsoku w:val="0"/>
        <w:overflowPunct w:val="0"/>
        <w:autoSpaceDE/>
        <w:autoSpaceDN/>
        <w:adjustRightInd/>
        <w:spacing w:before="262" w:after="3115" w:line="269" w:lineRule="exact"/>
        <w:ind w:left="72"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Por lo anterior es claro el incumplimiento por parte del concesionario y dado que el acto ha sido adoptado dentro del marco de Legalidad, ha sido motivado y no existe vicio alguno que comporte su nulidad, debe declararse sin lugar el recurso bajo análisis.</w:t>
      </w:r>
    </w:p>
    <w:p w:rsidR="00AF2D1C" w:rsidRDefault="00AF2D1C">
      <w:pPr>
        <w:widowControl/>
        <w:rPr>
          <w:sz w:val="24"/>
          <w:szCs w:val="24"/>
        </w:rPr>
        <w:sectPr w:rsidR="00AF2D1C">
          <w:pgSz w:w="12302" w:h="15778"/>
          <w:pgMar w:top="1300" w:right="1482" w:bottom="282" w:left="1573" w:header="720" w:footer="720" w:gutter="0"/>
          <w:cols w:space="720"/>
          <w:noEndnote/>
        </w:sectPr>
      </w:pPr>
    </w:p>
    <w:p w:rsidR="00AF2D1C" w:rsidRDefault="00475C3F">
      <w:pPr>
        <w:tabs>
          <w:tab w:val="left" w:pos="2448"/>
        </w:tabs>
        <w:kinsoku w:val="0"/>
        <w:overflowPunct w:val="0"/>
        <w:autoSpaceDE/>
        <w:autoSpaceDN/>
        <w:adjustRightInd/>
        <w:spacing w:line="244" w:lineRule="exact"/>
        <w:textAlignment w:val="baseline"/>
        <w:rPr>
          <w:rFonts w:ascii="Verdana" w:hAnsi="Verdana" w:cs="Verdana"/>
          <w:spacing w:val="-1"/>
          <w:sz w:val="22"/>
          <w:szCs w:val="22"/>
          <w:lang w:val="es-ES" w:eastAsia="es-ES"/>
        </w:rPr>
      </w:pPr>
      <w:r>
        <w:rPr>
          <w:spacing w:val="-1"/>
          <w:lang w:val="es-ES" w:eastAsia="es-ES"/>
        </w:rPr>
        <w:tab/>
      </w:r>
    </w:p>
    <w:p w:rsidR="00AF2D1C" w:rsidRDefault="00AF2D1C">
      <w:pPr>
        <w:widowControl/>
        <w:rPr>
          <w:sz w:val="24"/>
          <w:szCs w:val="24"/>
        </w:rPr>
        <w:sectPr w:rsidR="00AF2D1C">
          <w:type w:val="continuous"/>
          <w:pgSz w:w="12302" w:h="15778"/>
          <w:pgMar w:top="1300" w:right="1482" w:bottom="282" w:left="7982" w:header="720" w:footer="720" w:gutter="0"/>
          <w:cols w:space="720"/>
          <w:noEndnote/>
        </w:sectPr>
      </w:pPr>
    </w:p>
    <w:p w:rsidR="00AF2D1C" w:rsidRDefault="00475C3F">
      <w:pPr>
        <w:kinsoku w:val="0"/>
        <w:overflowPunct w:val="0"/>
        <w:autoSpaceDE/>
        <w:autoSpaceDN/>
        <w:adjustRightInd/>
        <w:spacing w:before="16" w:line="259" w:lineRule="exact"/>
        <w:jc w:val="center"/>
        <w:textAlignment w:val="baseline"/>
        <w:rPr>
          <w:rFonts w:ascii="Tahoma" w:hAnsi="Tahoma" w:cs="Tahoma"/>
          <w:b/>
          <w:bCs/>
          <w:spacing w:val="12"/>
          <w:sz w:val="22"/>
          <w:szCs w:val="22"/>
          <w:lang w:val="es-ES" w:eastAsia="es-ES"/>
        </w:rPr>
      </w:pPr>
      <w:r>
        <w:rPr>
          <w:rFonts w:ascii="Tahoma" w:hAnsi="Tahoma" w:cs="Tahoma"/>
          <w:b/>
          <w:bCs/>
          <w:spacing w:val="12"/>
          <w:sz w:val="22"/>
          <w:szCs w:val="22"/>
          <w:lang w:val="es-ES" w:eastAsia="es-ES"/>
        </w:rPr>
        <w:lastRenderedPageBreak/>
        <w:t>POR TANTO</w:t>
      </w:r>
    </w:p>
    <w:p w:rsidR="00AF2D1C" w:rsidRDefault="00475C3F">
      <w:pPr>
        <w:numPr>
          <w:ilvl w:val="0"/>
          <w:numId w:val="3"/>
        </w:numPr>
        <w:kinsoku w:val="0"/>
        <w:overflowPunct w:val="0"/>
        <w:autoSpaceDE/>
        <w:autoSpaceDN/>
        <w:adjustRightInd/>
        <w:spacing w:before="542" w:line="269" w:lineRule="exact"/>
        <w:ind w:right="576"/>
        <w:jc w:val="both"/>
        <w:textAlignment w:val="baseline"/>
        <w:rPr>
          <w:rFonts w:ascii="Bookman Old Style" w:hAnsi="Bookman Old Style" w:cs="Bookman Old Style"/>
          <w:sz w:val="18"/>
          <w:szCs w:val="18"/>
          <w:lang w:val="es-ES" w:eastAsia="es-ES"/>
        </w:rPr>
      </w:pPr>
      <w:r>
        <w:rPr>
          <w:rFonts w:ascii="Tahoma" w:hAnsi="Tahoma" w:cs="Tahoma"/>
          <w:sz w:val="22"/>
          <w:szCs w:val="22"/>
          <w:lang w:val="es-ES" w:eastAsia="es-ES"/>
        </w:rPr>
        <w:t xml:space="preserve">Se declara sin lugar el </w:t>
      </w:r>
      <w:r>
        <w:rPr>
          <w:rFonts w:ascii="Tahoma" w:hAnsi="Tahoma" w:cs="Tahoma"/>
          <w:b/>
          <w:bCs/>
          <w:sz w:val="22"/>
          <w:szCs w:val="22"/>
          <w:lang w:val="es-ES" w:eastAsia="es-ES"/>
        </w:rPr>
        <w:t xml:space="preserve">RECURSO DE APELACIÓN, </w:t>
      </w:r>
      <w:r>
        <w:rPr>
          <w:rFonts w:ascii="Tahoma" w:hAnsi="Tahoma" w:cs="Tahoma"/>
          <w:sz w:val="22"/>
          <w:szCs w:val="22"/>
          <w:lang w:val="es-ES" w:eastAsia="es-ES"/>
        </w:rPr>
        <w:t xml:space="preserve">interpuesto por </w:t>
      </w:r>
      <w:r>
        <w:rPr>
          <w:rFonts w:ascii="Tahoma" w:hAnsi="Tahoma" w:cs="Tahoma"/>
          <w:b/>
          <w:bCs/>
          <w:sz w:val="22"/>
          <w:szCs w:val="22"/>
          <w:lang w:val="es-ES" w:eastAsia="es-ES"/>
        </w:rPr>
        <w:t xml:space="preserve">R.R.R.C., cédula de identidad número …, </w:t>
      </w:r>
      <w:r>
        <w:rPr>
          <w:rFonts w:ascii="Tahoma" w:hAnsi="Tahoma" w:cs="Tahoma"/>
          <w:sz w:val="22"/>
          <w:szCs w:val="22"/>
          <w:lang w:val="es-ES" w:eastAsia="es-ES"/>
        </w:rPr>
        <w:t xml:space="preserve">contra el </w:t>
      </w:r>
      <w:r>
        <w:rPr>
          <w:rFonts w:ascii="Tahoma" w:hAnsi="Tahoma" w:cs="Tahoma"/>
          <w:b/>
          <w:bCs/>
          <w:sz w:val="22"/>
          <w:szCs w:val="22"/>
          <w:lang w:val="es-ES" w:eastAsia="es-ES"/>
        </w:rPr>
        <w:t xml:space="preserve">artículo 7.9.4 de la Sesión Ordinaria 10-2015 de 25 de febrero de 2015, </w:t>
      </w:r>
      <w:r>
        <w:rPr>
          <w:rFonts w:ascii="Tahoma" w:hAnsi="Tahoma" w:cs="Tahoma"/>
          <w:sz w:val="22"/>
          <w:szCs w:val="22"/>
          <w:lang w:val="es-ES" w:eastAsia="es-ES"/>
        </w:rPr>
        <w:t xml:space="preserve">dictado por la </w:t>
      </w:r>
      <w:r>
        <w:rPr>
          <w:rFonts w:ascii="Bookman Old Style" w:hAnsi="Bookman Old Style" w:cs="Bookman Old Style"/>
          <w:sz w:val="18"/>
          <w:szCs w:val="18"/>
          <w:lang w:val="es-ES" w:eastAsia="es-ES"/>
        </w:rPr>
        <w:t>JUNTA DIRECTIVA DEL CONSEJO DE TRANSPORTE PÚBLICO.</w:t>
      </w:r>
    </w:p>
    <w:p w:rsidR="00AF2D1C" w:rsidRDefault="00475C3F" w:rsidP="00475C3F">
      <w:pPr>
        <w:numPr>
          <w:ilvl w:val="0"/>
          <w:numId w:val="4"/>
        </w:numPr>
        <w:kinsoku w:val="0"/>
        <w:overflowPunct w:val="0"/>
        <w:autoSpaceDE/>
        <w:autoSpaceDN/>
        <w:adjustRightInd/>
        <w:spacing w:before="249" w:after="576" w:line="291" w:lineRule="exact"/>
        <w:ind w:right="576"/>
        <w:jc w:val="both"/>
        <w:textAlignment w:val="baseline"/>
        <w:rPr>
          <w:rFonts w:ascii="Tahoma" w:hAnsi="Tahoma" w:cs="Tahoma"/>
          <w:spacing w:val="3"/>
          <w:sz w:val="22"/>
          <w:szCs w:val="22"/>
          <w:lang w:val="es-ES" w:eastAsia="es-ES"/>
        </w:rPr>
      </w:pPr>
      <w:r>
        <w:rPr>
          <w:rFonts w:ascii="Tahoma" w:hAnsi="Tahoma" w:cs="Tahoma"/>
          <w:sz w:val="22"/>
          <w:szCs w:val="22"/>
          <w:lang w:val="es-ES" w:eastAsia="es-ES"/>
        </w:rPr>
        <w:t xml:space="preserve">De conformidad con el artículo 22, inciso c), de la citada Ley 7969, la presente resolución no tiene ulterior recurso por lo que, </w:t>
      </w:r>
      <w:r>
        <w:rPr>
          <w:rFonts w:ascii="Tahoma" w:hAnsi="Tahoma" w:cs="Tahom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Tahoma" w:hAnsi="Tahoma" w:cs="Tahoma"/>
          <w:b/>
          <w:bCs/>
          <w:sz w:val="22"/>
          <w:szCs w:val="22"/>
          <w:lang w:val="es-ES" w:eastAsia="es-ES"/>
        </w:rPr>
        <w:t>NOTIFIQUESE. -</w:t>
      </w:r>
      <w:r>
        <w:rPr>
          <w:rFonts w:ascii="Tahoma" w:hAnsi="Tahoma" w:cs="Tahoma"/>
          <w:spacing w:val="3"/>
          <w:sz w:val="22"/>
          <w:szCs w:val="22"/>
          <w:lang w:val="es-ES" w:eastAsia="es-ES"/>
        </w:rPr>
        <w:tab/>
      </w:r>
    </w:p>
    <w:p w:rsidR="00475C3F" w:rsidRPr="00475C3F" w:rsidRDefault="00475C3F" w:rsidP="00475C3F">
      <w:pPr>
        <w:pStyle w:val="Ttulo1"/>
        <w:jc w:val="center"/>
        <w:rPr>
          <w:rFonts w:ascii="Times New Roman" w:hAnsi="Times New Roman"/>
          <w:b w:val="0"/>
          <w:color w:val="000000"/>
        </w:rPr>
      </w:pPr>
      <w:r w:rsidRPr="00475C3F">
        <w:rPr>
          <w:rFonts w:ascii="Times New Roman" w:hAnsi="Times New Roman"/>
          <w:b w:val="0"/>
          <w:color w:val="000000"/>
        </w:rPr>
        <w:t>Lic. Carlos Miguel Portuguez Méndez</w:t>
      </w:r>
    </w:p>
    <w:p w:rsidR="00475C3F" w:rsidRPr="00475C3F" w:rsidRDefault="00475C3F" w:rsidP="00475C3F">
      <w:pPr>
        <w:jc w:val="center"/>
        <w:rPr>
          <w:b/>
          <w:color w:val="000000"/>
        </w:rPr>
      </w:pPr>
      <w:proofErr w:type="spellStart"/>
      <w:r w:rsidRPr="00475C3F">
        <w:rPr>
          <w:b/>
          <w:color w:val="000000"/>
        </w:rPr>
        <w:t>Presidente</w:t>
      </w:r>
      <w:proofErr w:type="spellEnd"/>
    </w:p>
    <w:p w:rsidR="00475C3F" w:rsidRPr="00475C3F" w:rsidRDefault="00475C3F" w:rsidP="00475C3F">
      <w:pPr>
        <w:pStyle w:val="Sinespaciado"/>
        <w:jc w:val="both"/>
        <w:rPr>
          <w:rFonts w:ascii="Times New Roman" w:hAnsi="Times New Roman"/>
          <w:color w:val="000000"/>
          <w:sz w:val="24"/>
          <w:szCs w:val="24"/>
        </w:rPr>
      </w:pPr>
    </w:p>
    <w:p w:rsidR="00475C3F" w:rsidRPr="00475C3F" w:rsidRDefault="00475C3F" w:rsidP="00475C3F">
      <w:pPr>
        <w:pStyle w:val="Sinespaciado"/>
        <w:jc w:val="both"/>
        <w:rPr>
          <w:rFonts w:ascii="Times New Roman" w:hAnsi="Times New Roman"/>
          <w:color w:val="000000"/>
          <w:sz w:val="24"/>
          <w:szCs w:val="24"/>
        </w:rPr>
      </w:pPr>
    </w:p>
    <w:p w:rsidR="00475C3F" w:rsidRPr="00475C3F" w:rsidRDefault="00475C3F" w:rsidP="00475C3F">
      <w:pPr>
        <w:pStyle w:val="Sinespaciado"/>
        <w:jc w:val="both"/>
        <w:rPr>
          <w:rFonts w:ascii="Times New Roman" w:hAnsi="Times New Roman"/>
          <w:color w:val="000000"/>
          <w:sz w:val="24"/>
          <w:szCs w:val="24"/>
        </w:rPr>
      </w:pPr>
    </w:p>
    <w:p w:rsidR="00475C3F" w:rsidRPr="00475C3F" w:rsidRDefault="00475C3F" w:rsidP="00475C3F">
      <w:pPr>
        <w:pStyle w:val="Sinespaciado"/>
        <w:jc w:val="both"/>
        <w:rPr>
          <w:rFonts w:ascii="Times New Roman" w:hAnsi="Times New Roman"/>
          <w:color w:val="000000"/>
          <w:sz w:val="24"/>
          <w:szCs w:val="24"/>
        </w:rPr>
      </w:pPr>
    </w:p>
    <w:p w:rsidR="00475C3F" w:rsidRPr="00475C3F" w:rsidRDefault="00475C3F" w:rsidP="00475C3F">
      <w:pPr>
        <w:pStyle w:val="Sinespaciado"/>
        <w:jc w:val="both"/>
        <w:rPr>
          <w:rFonts w:ascii="Times New Roman" w:hAnsi="Times New Roman"/>
          <w:color w:val="000000"/>
          <w:sz w:val="24"/>
          <w:szCs w:val="24"/>
        </w:rPr>
      </w:pPr>
    </w:p>
    <w:p w:rsidR="00475C3F" w:rsidRPr="00475C3F" w:rsidRDefault="00475C3F" w:rsidP="00475C3F">
      <w:pPr>
        <w:pStyle w:val="Ttulo1"/>
        <w:rPr>
          <w:rFonts w:ascii="Times New Roman" w:hAnsi="Times New Roman"/>
          <w:b w:val="0"/>
          <w:color w:val="000000"/>
        </w:rPr>
      </w:pPr>
      <w:r w:rsidRPr="00475C3F">
        <w:rPr>
          <w:rFonts w:ascii="Times New Roman" w:hAnsi="Times New Roman"/>
          <w:b w:val="0"/>
          <w:color w:val="000000"/>
        </w:rPr>
        <w:t xml:space="preserve">          </w:t>
      </w:r>
      <w:r w:rsidRPr="00475C3F">
        <w:rPr>
          <w:rFonts w:ascii="Times New Roman" w:hAnsi="Times New Roman"/>
          <w:b w:val="0"/>
          <w:color w:val="000000"/>
        </w:rPr>
        <w:tab/>
        <w:t xml:space="preserve">Licda. Maricela Villegas Herrera </w:t>
      </w:r>
      <w:r w:rsidRPr="00475C3F">
        <w:rPr>
          <w:rFonts w:ascii="Times New Roman" w:hAnsi="Times New Roman"/>
          <w:b w:val="0"/>
          <w:color w:val="000000"/>
        </w:rPr>
        <w:tab/>
      </w:r>
      <w:r w:rsidRPr="00475C3F">
        <w:rPr>
          <w:rFonts w:ascii="Times New Roman" w:hAnsi="Times New Roman"/>
          <w:b w:val="0"/>
          <w:color w:val="000000"/>
        </w:rPr>
        <w:tab/>
        <w:t>Lic.  Mario Quesada Aguirre</w:t>
      </w:r>
      <w:r w:rsidRPr="00475C3F">
        <w:rPr>
          <w:rFonts w:ascii="Times New Roman" w:hAnsi="Times New Roman"/>
          <w:b w:val="0"/>
          <w:color w:val="000000"/>
        </w:rPr>
        <w:tab/>
      </w:r>
      <w:r w:rsidRPr="00475C3F">
        <w:rPr>
          <w:rFonts w:ascii="Times New Roman" w:hAnsi="Times New Roman"/>
          <w:b w:val="0"/>
          <w:color w:val="000000"/>
        </w:rPr>
        <w:tab/>
      </w:r>
    </w:p>
    <w:p w:rsidR="00475C3F" w:rsidRPr="00475C3F" w:rsidRDefault="00475C3F" w:rsidP="00475C3F">
      <w:pPr>
        <w:jc w:val="both"/>
        <w:rPr>
          <w:b/>
          <w:color w:val="000000"/>
        </w:rPr>
      </w:pPr>
      <w:r w:rsidRPr="00475C3F">
        <w:rPr>
          <w:b/>
          <w:color w:val="000000"/>
        </w:rPr>
        <w:t xml:space="preserve">            </w:t>
      </w:r>
      <w:r w:rsidRPr="00475C3F">
        <w:rPr>
          <w:b/>
          <w:color w:val="000000"/>
        </w:rPr>
        <w:tab/>
        <w:t xml:space="preserve"> </w:t>
      </w:r>
      <w:r>
        <w:rPr>
          <w:b/>
          <w:color w:val="000000"/>
        </w:rPr>
        <w:t xml:space="preserve">            </w:t>
      </w:r>
      <w:r w:rsidRPr="00475C3F">
        <w:rPr>
          <w:b/>
          <w:color w:val="000000"/>
        </w:rPr>
        <w:t xml:space="preserve"> </w:t>
      </w:r>
      <w:proofErr w:type="spellStart"/>
      <w:r w:rsidRPr="00475C3F">
        <w:rPr>
          <w:b/>
          <w:color w:val="000000"/>
        </w:rPr>
        <w:t>Jueza</w:t>
      </w:r>
      <w:proofErr w:type="spellEnd"/>
      <w:r w:rsidRPr="00475C3F">
        <w:rPr>
          <w:b/>
          <w:color w:val="000000"/>
        </w:rPr>
        <w:t xml:space="preserve"> </w:t>
      </w:r>
      <w:r w:rsidRPr="00475C3F">
        <w:rPr>
          <w:b/>
          <w:color w:val="000000"/>
        </w:rPr>
        <w:tab/>
      </w:r>
      <w:proofErr w:type="spellStart"/>
      <w:r>
        <w:rPr>
          <w:b/>
          <w:color w:val="000000"/>
        </w:rPr>
        <w:t>Suplente</w:t>
      </w:r>
      <w:proofErr w:type="spellEnd"/>
      <w:r w:rsidRPr="00475C3F">
        <w:rPr>
          <w:b/>
          <w:color w:val="000000"/>
        </w:rPr>
        <w:tab/>
      </w:r>
      <w:r w:rsidRPr="00475C3F">
        <w:rPr>
          <w:b/>
          <w:color w:val="000000"/>
        </w:rPr>
        <w:tab/>
      </w:r>
      <w:r w:rsidRPr="00475C3F">
        <w:rPr>
          <w:b/>
          <w:color w:val="000000"/>
        </w:rPr>
        <w:tab/>
      </w:r>
      <w:r>
        <w:rPr>
          <w:b/>
          <w:color w:val="000000"/>
        </w:rPr>
        <w:t xml:space="preserve">                     </w:t>
      </w:r>
      <w:proofErr w:type="spellStart"/>
      <w:r w:rsidRPr="00475C3F">
        <w:rPr>
          <w:b/>
          <w:color w:val="000000"/>
        </w:rPr>
        <w:t>Juez</w:t>
      </w:r>
      <w:proofErr w:type="spellEnd"/>
    </w:p>
    <w:p w:rsidR="00475C3F" w:rsidRDefault="00475C3F" w:rsidP="00475C3F">
      <w:pPr>
        <w:kinsoku w:val="0"/>
        <w:overflowPunct w:val="0"/>
        <w:autoSpaceDE/>
        <w:autoSpaceDN/>
        <w:adjustRightInd/>
        <w:spacing w:before="249" w:after="576" w:line="291" w:lineRule="exact"/>
        <w:ind w:right="576"/>
        <w:jc w:val="both"/>
        <w:textAlignment w:val="baseline"/>
        <w:rPr>
          <w:rFonts w:ascii="Tahoma" w:hAnsi="Tahoma" w:cs="Tahoma"/>
          <w:spacing w:val="3"/>
          <w:sz w:val="22"/>
          <w:szCs w:val="22"/>
          <w:lang w:val="es-ES" w:eastAsia="es-ES"/>
        </w:rPr>
      </w:pPr>
    </w:p>
    <w:sectPr w:rsidR="00475C3F">
      <w:pgSz w:w="12307" w:h="15811"/>
      <w:pgMar w:top="1420" w:right="1090" w:bottom="245" w:left="1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AEC1"/>
    <w:multiLevelType w:val="singleLevel"/>
    <w:tmpl w:val="6E7DBB59"/>
    <w:lvl w:ilvl="0">
      <w:start w:val="2"/>
      <w:numFmt w:val="lowerLetter"/>
      <w:lvlText w:val="%1)"/>
      <w:lvlJc w:val="left"/>
      <w:pPr>
        <w:tabs>
          <w:tab w:val="num" w:pos="1224"/>
        </w:tabs>
        <w:ind w:left="720" w:firstLine="216"/>
      </w:pPr>
      <w:rPr>
        <w:rFonts w:ascii="Verdana" w:hAnsi="Verdana" w:cs="Verdana"/>
        <w:i/>
        <w:iCs/>
        <w:snapToGrid/>
        <w:sz w:val="16"/>
        <w:szCs w:val="16"/>
      </w:rPr>
    </w:lvl>
  </w:abstractNum>
  <w:abstractNum w:abstractNumId="1" w15:restartNumberingAfterBreak="0">
    <w:nsid w:val="05F1E365"/>
    <w:multiLevelType w:val="singleLevel"/>
    <w:tmpl w:val="3BAC460D"/>
    <w:lvl w:ilvl="0">
      <w:start w:val="1"/>
      <w:numFmt w:val="upperRoman"/>
      <w:lvlText w:val="%1.-"/>
      <w:lvlJc w:val="left"/>
      <w:pPr>
        <w:tabs>
          <w:tab w:val="num" w:pos="576"/>
        </w:tabs>
      </w:pPr>
      <w:rPr>
        <w:rFonts w:ascii="Tahoma" w:hAnsi="Tahoma" w:cs="Tahoma"/>
        <w:snapToGrid/>
        <w:sz w:val="22"/>
        <w:szCs w:val="22"/>
      </w:rPr>
    </w:lvl>
  </w:abstractNum>
  <w:abstractNum w:abstractNumId="2" w15:restartNumberingAfterBreak="0">
    <w:nsid w:val="061B5823"/>
    <w:multiLevelType w:val="singleLevel"/>
    <w:tmpl w:val="15BC1CFE"/>
    <w:lvl w:ilvl="0">
      <w:start w:val="2"/>
      <w:numFmt w:val="upperLetter"/>
      <w:lvlText w:val="%1).-"/>
      <w:lvlJc w:val="left"/>
      <w:pPr>
        <w:tabs>
          <w:tab w:val="num" w:pos="648"/>
        </w:tabs>
        <w:ind w:left="144"/>
      </w:pPr>
      <w:rPr>
        <w:rFonts w:ascii="Verdana" w:hAnsi="Verdana" w:cs="Verdana"/>
        <w:b/>
        <w:snapToGrid/>
        <w:spacing w:val="-6"/>
        <w:sz w:val="22"/>
        <w:szCs w:val="22"/>
      </w:rPr>
    </w:lvl>
  </w:abstractNum>
  <w:num w:numId="1">
    <w:abstractNumId w:val="2"/>
  </w:num>
  <w:num w:numId="2">
    <w:abstractNumId w:val="0"/>
  </w:num>
  <w:num w:numId="3">
    <w:abstractNumId w:val="1"/>
  </w:num>
  <w:num w:numId="4">
    <w:abstractNumId w:val="1"/>
    <w:lvlOverride w:ilvl="0">
      <w:lvl w:ilvl="0">
        <w:numFmt w:val="upperRoman"/>
        <w:lvlText w:val="%1.-"/>
        <w:lvlJc w:val="left"/>
        <w:pPr>
          <w:tabs>
            <w:tab w:val="num" w:pos="648"/>
          </w:tabs>
        </w:pPr>
        <w:rPr>
          <w:rFonts w:ascii="Tahoma" w:hAnsi="Tahoma" w:cs="Tahoma"/>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3F"/>
    <w:rsid w:val="00475C3F"/>
    <w:rsid w:val="004F6AE8"/>
    <w:rsid w:val="00AF2D1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68A8A-10A4-4B09-BA60-5ED545C6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475C3F"/>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5C3F"/>
    <w:rPr>
      <w:rFonts w:ascii="Arial" w:eastAsia="Times New Roman" w:hAnsi="Arial" w:cs="Times New Roman"/>
      <w:b/>
      <w:bCs/>
      <w:sz w:val="24"/>
      <w:szCs w:val="24"/>
      <w:lang w:eastAsia="es-ES"/>
    </w:rPr>
  </w:style>
  <w:style w:type="paragraph" w:styleId="Sinespaciado">
    <w:name w:val="No Spacing"/>
    <w:link w:val="SinespaciadoCar"/>
    <w:uiPriority w:val="1"/>
    <w:qFormat/>
    <w:rsid w:val="00475C3F"/>
    <w:pPr>
      <w:spacing w:after="0" w:line="240" w:lineRule="auto"/>
    </w:pPr>
    <w:rPr>
      <w:rFonts w:ascii="Calibri" w:eastAsia="Calibri" w:hAnsi="Calibri" w:cs="Times New Roman"/>
      <w:lang w:eastAsia="en-US"/>
    </w:rPr>
  </w:style>
  <w:style w:type="character" w:customStyle="1" w:styleId="SinespaciadoCar">
    <w:name w:val="Sin espaciado Car"/>
    <w:link w:val="Sinespaciado"/>
    <w:uiPriority w:val="1"/>
    <w:rsid w:val="00475C3F"/>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2019-04-25T17:02:00Z</dcterms:created>
  <dcterms:modified xsi:type="dcterms:W3CDTF">2019-04-25T17:02:00Z</dcterms:modified>
</cp:coreProperties>
</file>