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681" w:rsidRDefault="00147D7B">
      <w:pPr>
        <w:kinsoku w:val="0"/>
        <w:overflowPunct w:val="0"/>
        <w:autoSpaceDE/>
        <w:autoSpaceDN/>
        <w:adjustRightInd/>
        <w:spacing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TAT-3391-2018</w:t>
      </w:r>
      <w:bookmarkEnd w:id="0"/>
    </w:p>
    <w:p w:rsidR="00544681" w:rsidRDefault="00147D7B">
      <w:pPr>
        <w:kinsoku w:val="0"/>
        <w:overflowPunct w:val="0"/>
        <w:autoSpaceDE/>
        <w:autoSpaceDN/>
        <w:adjustRightInd/>
        <w:spacing w:before="542" w:line="269"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treinta minutos del veintidós de febrero del dos mil dieciocho. -</w:t>
      </w:r>
    </w:p>
    <w:p w:rsidR="00544681" w:rsidRDefault="00147D7B">
      <w:pPr>
        <w:kinsoku w:val="0"/>
        <w:overflowPunct w:val="0"/>
        <w:autoSpaceDE/>
        <w:autoSpaceDN/>
        <w:adjustRightInd/>
        <w:spacing w:before="260" w:line="269" w:lineRule="exact"/>
        <w:ind w:right="144"/>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 xml:space="preserve">Recurso de Apelación en subsidio e incidente de Nulidad, </w:t>
      </w:r>
      <w:r>
        <w:rPr>
          <w:rFonts w:ascii="Verdana" w:hAnsi="Verdana" w:cs="Verdana"/>
          <w:spacing w:val="-4"/>
          <w:sz w:val="22"/>
          <w:szCs w:val="22"/>
          <w:lang w:val="es-ES" w:eastAsia="es-ES"/>
        </w:rPr>
        <w:t xml:space="preserve">interpuesto por </w:t>
      </w:r>
      <w:r>
        <w:rPr>
          <w:rFonts w:ascii="Verdana" w:hAnsi="Verdana" w:cs="Verdana"/>
          <w:b/>
          <w:bCs/>
          <w:spacing w:val="-4"/>
          <w:sz w:val="22"/>
          <w:szCs w:val="22"/>
          <w:lang w:val="es-ES" w:eastAsia="es-ES"/>
        </w:rPr>
        <w:t xml:space="preserve">J.C.C.Q., cédula de identidad número …, </w:t>
      </w:r>
      <w:r>
        <w:rPr>
          <w:rFonts w:ascii="Verdana" w:hAnsi="Verdana" w:cs="Verdana"/>
          <w:spacing w:val="-4"/>
          <w:sz w:val="22"/>
          <w:szCs w:val="22"/>
          <w:lang w:val="es-ES" w:eastAsia="es-ES"/>
        </w:rPr>
        <w:t xml:space="preserve">contra el </w:t>
      </w:r>
      <w:r>
        <w:rPr>
          <w:rFonts w:ascii="Verdana" w:hAnsi="Verdana" w:cs="Verdana"/>
          <w:b/>
          <w:bCs/>
          <w:spacing w:val="-4"/>
          <w:sz w:val="22"/>
          <w:szCs w:val="22"/>
          <w:lang w:val="es-ES" w:eastAsia="es-ES"/>
        </w:rPr>
        <w:t xml:space="preserve">artículo 6.10.1 de la Sesión Ordinaria 55-2011 de 4 de agosto de 2011, </w:t>
      </w:r>
      <w:r>
        <w:rPr>
          <w:rFonts w:ascii="Verdana" w:hAnsi="Verdana" w:cs="Verdana"/>
          <w:spacing w:val="-4"/>
          <w:sz w:val="22"/>
          <w:szCs w:val="22"/>
          <w:lang w:val="es-ES" w:eastAsia="es-ES"/>
        </w:rPr>
        <w:t xml:space="preserve">dictado por la Junta Directiva del Consejo de Transporte Público. El caso es tramitado en este despacho bajo </w:t>
      </w:r>
      <w:r>
        <w:rPr>
          <w:rFonts w:ascii="Verdana" w:hAnsi="Verdana" w:cs="Verdana"/>
          <w:b/>
          <w:bCs/>
          <w:spacing w:val="-4"/>
          <w:sz w:val="22"/>
          <w:szCs w:val="22"/>
          <w:lang w:val="es-ES" w:eastAsia="es-ES"/>
        </w:rPr>
        <w:t>Expediente Administrativo No. TAT-149-17.</w:t>
      </w:r>
    </w:p>
    <w:p w:rsidR="00544681" w:rsidRDefault="00147D7B">
      <w:pPr>
        <w:kinsoku w:val="0"/>
        <w:overflowPunct w:val="0"/>
        <w:autoSpaceDE/>
        <w:autoSpaceDN/>
        <w:adjustRightInd/>
        <w:spacing w:before="529" w:line="264"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544681" w:rsidRDefault="00147D7B">
      <w:pPr>
        <w:kinsoku w:val="0"/>
        <w:overflowPunct w:val="0"/>
        <w:autoSpaceDE/>
        <w:autoSpaceDN/>
        <w:adjustRightInd/>
        <w:spacing w:before="269" w:line="269"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6.10.1 de la Sesión Ordinaria 55-2011 de 4 de agosto de 2011, </w:t>
      </w:r>
      <w:r>
        <w:rPr>
          <w:rFonts w:ascii="Verdana" w:hAnsi="Verdana" w:cs="Verdana"/>
          <w:sz w:val="22"/>
          <w:szCs w:val="22"/>
          <w:lang w:val="es-ES" w:eastAsia="es-ES"/>
        </w:rPr>
        <w:t xml:space="preserve">acuerda cancelar el derecho de concesión otorgado a </w:t>
      </w:r>
      <w:r>
        <w:rPr>
          <w:rFonts w:ascii="Verdana" w:hAnsi="Verdana" w:cs="Verdana"/>
          <w:b/>
          <w:bCs/>
          <w:sz w:val="22"/>
          <w:szCs w:val="22"/>
          <w:lang w:val="es-ES" w:eastAsia="es-ES"/>
        </w:rPr>
        <w:t xml:space="preserve">J.C.C.Q., </w:t>
      </w:r>
      <w:r>
        <w:rPr>
          <w:rFonts w:ascii="Verdana" w:hAnsi="Verdana" w:cs="Verdana"/>
          <w:sz w:val="22"/>
          <w:szCs w:val="22"/>
          <w:lang w:val="es-ES" w:eastAsia="es-ES"/>
        </w:rPr>
        <w:t xml:space="preserve">al tener por demostrado el incumplimiento contractual al otorgar la administración completa de la concesión de la placa de taxi </w:t>
      </w:r>
      <w:r>
        <w:rPr>
          <w:rFonts w:ascii="Verdana" w:hAnsi="Verdana" w:cs="Verdana"/>
          <w:b/>
          <w:bCs/>
          <w:sz w:val="22"/>
          <w:szCs w:val="22"/>
          <w:lang w:val="es-ES" w:eastAsia="es-ES"/>
        </w:rPr>
        <w:t xml:space="preserve">TSJ-XXX, </w:t>
      </w:r>
      <w:r>
        <w:rPr>
          <w:rFonts w:ascii="Verdana" w:hAnsi="Verdana" w:cs="Verdana"/>
          <w:sz w:val="22"/>
          <w:szCs w:val="22"/>
          <w:lang w:val="es-ES" w:eastAsia="es-ES"/>
        </w:rPr>
        <w:t>desde el año 200.5 a un tercero y sin autorización del CTP. (Léanse folios 24 y 25 del expediente administrativo)</w:t>
      </w:r>
    </w:p>
    <w:p w:rsidR="00544681" w:rsidRDefault="00147D7B">
      <w:pPr>
        <w:kinsoku w:val="0"/>
        <w:overflowPunct w:val="0"/>
        <w:autoSpaceDE/>
        <w:autoSpaceDN/>
        <w:adjustRightInd/>
        <w:spacing w:before="260" w:after="643" w:line="269"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El recurrente en su libelo manifiesta en resumen que denunció ante el Tribunal Penal del Segundo Circuito Judicial de San José falsificación de documentos referentes a su concesión. El 21 de junio de 2011 solicitó cambio de unidad ante el Departamento de Administración de Concesiones y señaló para recibir notificaciones el fax XXXXXXX. El Consejo mediante el acuerdo impugnado cancela su derecho de concesión, no notificándosele en el medio indicado argumentando que no fue posible notificarlo en diversos medios y no se le pudo localizar, pero lo cierto indica el recurrente, es que no se le notificó al medio señalado. El 26 de noviembre de 2014 presentó todos los requisitos para la renovación de su concesión TSJ-XXX y le fue debidamente renovada, pero el 4 de noviembre de 2016 el CTP, mediante oficio DACP-PT-2016-1159, le solicita a RITEVE no realizar la respectiva revisión, pero este hecho no se le notificó, sino que se fue hasta el 27 de enero de 2017 que se presenta a RITEVE y se le comunica que su concesión le fue cancelada. En cuanto al procedimiento indica que modificó su lugar para escuchar </w:t>
      </w:r>
      <w:proofErr w:type="gramStart"/>
      <w:r>
        <w:rPr>
          <w:rFonts w:ascii="Verdana" w:hAnsi="Verdana" w:cs="Verdana"/>
          <w:spacing w:val="-2"/>
          <w:sz w:val="22"/>
          <w:szCs w:val="22"/>
          <w:lang w:val="es-ES" w:eastAsia="es-ES"/>
        </w:rPr>
        <w:t>notificaciones</w:t>
      </w:r>
      <w:proofErr w:type="gramEnd"/>
      <w:r>
        <w:rPr>
          <w:rFonts w:ascii="Verdana" w:hAnsi="Verdana" w:cs="Verdana"/>
          <w:spacing w:val="-2"/>
          <w:sz w:val="22"/>
          <w:szCs w:val="22"/>
          <w:lang w:val="es-ES" w:eastAsia="es-ES"/>
        </w:rPr>
        <w:t xml:space="preserve"> pero esto no fue atendido por el Órgano Director del procedimiento, por los que los actos no le fueron notificados violentándose en su perjuicio derechos elementales como el</w:t>
      </w:r>
    </w:p>
    <w:p w:rsidR="00544681" w:rsidRDefault="00544681">
      <w:pPr>
        <w:widowControl/>
        <w:rPr>
          <w:sz w:val="24"/>
          <w:szCs w:val="24"/>
        </w:rPr>
        <w:sectPr w:rsidR="00544681">
          <w:pgSz w:w="12302" w:h="15758"/>
          <w:pgMar w:top="1500" w:right="1422" w:bottom="219" w:left="1701" w:header="720" w:footer="720" w:gutter="0"/>
          <w:cols w:space="720"/>
          <w:noEndnote/>
        </w:sectPr>
      </w:pPr>
    </w:p>
    <w:p w:rsidR="00544681" w:rsidRDefault="00147D7B">
      <w:pPr>
        <w:tabs>
          <w:tab w:val="right" w:pos="3024"/>
        </w:tabs>
        <w:kinsoku w:val="0"/>
        <w:overflowPunct w:val="0"/>
        <w:autoSpaceDE/>
        <w:autoSpaceDN/>
        <w:adjustRightInd/>
        <w:spacing w:line="255" w:lineRule="exact"/>
        <w:textAlignment w:val="baseline"/>
        <w:rPr>
          <w:sz w:val="24"/>
          <w:szCs w:val="24"/>
          <w:lang w:val="es-ES" w:eastAsia="es-ES"/>
        </w:rPr>
      </w:pPr>
      <w:r>
        <w:rPr>
          <w:sz w:val="24"/>
          <w:szCs w:val="24"/>
          <w:lang w:val="es-ES" w:eastAsia="es-ES"/>
        </w:rPr>
        <w:tab/>
      </w:r>
    </w:p>
    <w:p w:rsidR="00544681" w:rsidRDefault="00544681">
      <w:pPr>
        <w:widowControl/>
        <w:rPr>
          <w:sz w:val="24"/>
          <w:szCs w:val="24"/>
        </w:rPr>
        <w:sectPr w:rsidR="00544681">
          <w:type w:val="continuous"/>
          <w:pgSz w:w="12302" w:h="15758"/>
          <w:pgMar w:top="1500" w:right="1591" w:bottom="219" w:left="7651" w:header="720" w:footer="720" w:gutter="0"/>
          <w:cols w:space="720"/>
          <w:noEndnote/>
        </w:sectPr>
      </w:pPr>
    </w:p>
    <w:p w:rsidR="00544681" w:rsidRDefault="00147D7B">
      <w:pPr>
        <w:kinsoku w:val="0"/>
        <w:overflowPunct w:val="0"/>
        <w:autoSpaceDE/>
        <w:autoSpaceDN/>
        <w:adjustRightInd/>
        <w:spacing w:line="269" w:lineRule="exact"/>
        <w:ind w:left="216"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defensa, indica que el acto es nulo extemporáneo y caducó, pues han transcurrido muchos años en los que la Administración ha tolerado que él continúe prestando el servicio y además el mismo procedimiento dilató mucho tiempo y además en casos similares se ha resuelto en favor de los concesionarios, solicita se revoque y se anule el acuerdo impugnado. (Léanse folios del 7 al 14 del expediente administrativo.)</w:t>
      </w:r>
    </w:p>
    <w:p w:rsidR="00544681" w:rsidRDefault="00147D7B">
      <w:pPr>
        <w:kinsoku w:val="0"/>
        <w:overflowPunct w:val="0"/>
        <w:autoSpaceDE/>
        <w:autoSpaceDN/>
        <w:adjustRightInd/>
        <w:spacing w:before="254" w:line="269" w:lineRule="exact"/>
        <w:ind w:left="216" w:right="216"/>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TERCERO: </w:t>
      </w: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acuerdo 7.2.1 de la Sesión Ordinaria 46-2017 de 29 de noviembre de 2017, </w:t>
      </w:r>
      <w:r>
        <w:rPr>
          <w:rFonts w:ascii="Verdana" w:hAnsi="Verdana" w:cs="Verdana"/>
          <w:spacing w:val="-3"/>
          <w:sz w:val="22"/>
          <w:szCs w:val="22"/>
          <w:lang w:val="es-ES" w:eastAsia="es-ES"/>
        </w:rPr>
        <w:t xml:space="preserve">conoce y avala el informe de la Dirección Asuntos Jurídicos el </w:t>
      </w:r>
      <w:r>
        <w:rPr>
          <w:rFonts w:ascii="Verdana" w:hAnsi="Verdana" w:cs="Verdana"/>
          <w:b/>
          <w:bCs/>
          <w:spacing w:val="-3"/>
          <w:sz w:val="22"/>
          <w:szCs w:val="22"/>
          <w:lang w:val="es-ES" w:eastAsia="es-ES"/>
        </w:rPr>
        <w:t xml:space="preserve">DAJ-2017-002829 de 21 de noviembre de 2017 y rechaza el recurso de Revocatoria y la Nulidad invocadas por improcedentes y extemporáneos. </w:t>
      </w:r>
      <w:r>
        <w:rPr>
          <w:rFonts w:ascii="Verdana" w:hAnsi="Verdana" w:cs="Verdana"/>
          <w:spacing w:val="-3"/>
          <w:sz w:val="22"/>
          <w:szCs w:val="22"/>
          <w:lang w:val="es-ES" w:eastAsia="es-ES"/>
        </w:rPr>
        <w:t>(Léanse folios del 2 al 5 del expediente administrativo)</w:t>
      </w:r>
    </w:p>
    <w:p w:rsidR="00544681" w:rsidRDefault="00147D7B">
      <w:pPr>
        <w:kinsoku w:val="0"/>
        <w:overflowPunct w:val="0"/>
        <w:autoSpaceDE/>
        <w:autoSpaceDN/>
        <w:adjustRightInd/>
        <w:spacing w:before="258" w:line="270" w:lineRule="exact"/>
        <w:ind w:left="216"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Mediante prevención que realizara este Tribunal Administrativo de Transporte al Consejo de Transporte Público, éste eleva la notificación que hiciera del acuerdo impugnado al recurrente mediante publicación en el Diario Oficial la Gaceta número 215 del 9 de noviembre de 2011, no constando más notificaciones. (Léanse folios 55 y del 68 al 78 del expediente administrativo)</w:t>
      </w:r>
    </w:p>
    <w:p w:rsidR="00544681" w:rsidRDefault="00147D7B">
      <w:pPr>
        <w:kinsoku w:val="0"/>
        <w:overflowPunct w:val="0"/>
        <w:autoSpaceDE/>
        <w:autoSpaceDN/>
        <w:adjustRightInd/>
        <w:spacing w:before="261" w:line="270" w:lineRule="exact"/>
        <w:ind w:left="216" w:right="21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544681" w:rsidRDefault="00147D7B">
      <w:pPr>
        <w:kinsoku w:val="0"/>
        <w:overflowPunct w:val="0"/>
        <w:autoSpaceDE/>
        <w:autoSpaceDN/>
        <w:adjustRightInd/>
        <w:spacing w:before="532" w:line="270" w:lineRule="exact"/>
        <w:ind w:left="216"/>
        <w:textAlignment w:val="baseline"/>
        <w:rPr>
          <w:rFonts w:ascii="Verdana" w:hAnsi="Verdana" w:cs="Verdana"/>
          <w:sz w:val="22"/>
          <w:szCs w:val="22"/>
          <w:lang w:val="es-ES" w:eastAsia="es-ES"/>
        </w:rPr>
      </w:pPr>
      <w:r>
        <w:rPr>
          <w:rFonts w:ascii="Verdana" w:hAnsi="Verdana" w:cs="Verdana"/>
          <w:sz w:val="22"/>
          <w:szCs w:val="22"/>
          <w:lang w:val="es-ES" w:eastAsia="es-ES"/>
        </w:rPr>
        <w:t>Redacta la Jueza Villegas Herrera; y,</w:t>
      </w:r>
    </w:p>
    <w:p w:rsidR="00544681" w:rsidRDefault="00147D7B">
      <w:pPr>
        <w:kinsoku w:val="0"/>
        <w:overflowPunct w:val="0"/>
        <w:autoSpaceDE/>
        <w:autoSpaceDN/>
        <w:adjustRightInd/>
        <w:spacing w:before="523" w:line="26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rsidR="00544681" w:rsidRDefault="00147D7B">
      <w:pPr>
        <w:kinsoku w:val="0"/>
        <w:overflowPunct w:val="0"/>
        <w:autoSpaceDE/>
        <w:autoSpaceDN/>
        <w:adjustRightInd/>
        <w:spacing w:before="242" w:line="270" w:lineRule="exact"/>
        <w:ind w:left="216"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Al analizar las piezas del presente expediente, es claro que al señor </w:t>
      </w:r>
      <w:r>
        <w:rPr>
          <w:rFonts w:ascii="Verdana" w:hAnsi="Verdana" w:cs="Verdana"/>
          <w:b/>
          <w:bCs/>
          <w:sz w:val="22"/>
          <w:szCs w:val="22"/>
          <w:lang w:val="es-ES" w:eastAsia="es-ES"/>
        </w:rPr>
        <w:t xml:space="preserve">J.C.C.Q., cédula de identidad número …, </w:t>
      </w:r>
      <w:r>
        <w:rPr>
          <w:rFonts w:ascii="Verdana" w:hAnsi="Verdana" w:cs="Verdana"/>
          <w:sz w:val="22"/>
          <w:szCs w:val="22"/>
          <w:lang w:val="es-ES" w:eastAsia="es-ES"/>
        </w:rPr>
        <w:t>no se le notificó en los términos de la Ley el acuerdo impugnado y por tal razón, distinto a lo indicado por el Consejo de Transporte Público el recurso de Revocatoria no fue presentado de manera extemporánea, por lo que más adelante se indicará.</w:t>
      </w:r>
    </w:p>
    <w:p w:rsidR="00544681" w:rsidRDefault="00147D7B">
      <w:pPr>
        <w:kinsoku w:val="0"/>
        <w:overflowPunct w:val="0"/>
        <w:autoSpaceDE/>
        <w:autoSpaceDN/>
        <w:adjustRightInd/>
        <w:spacing w:before="272" w:line="270" w:lineRule="exact"/>
        <w:ind w:left="216" w:right="216"/>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La JUNTA DIRECTIVA DEL CONSEJO DE TRANSPORTE PÚBLICO, mediante </w:t>
      </w:r>
      <w:r>
        <w:rPr>
          <w:rFonts w:ascii="Verdana" w:hAnsi="Verdana" w:cs="Verdana"/>
          <w:b/>
          <w:bCs/>
          <w:spacing w:val="-4"/>
          <w:sz w:val="22"/>
          <w:szCs w:val="22"/>
          <w:lang w:val="es-ES" w:eastAsia="es-ES"/>
        </w:rPr>
        <w:t xml:space="preserve">artículo 6.10.1 de la Sesión Ordinaria 55-2011 de 4 de agosto de 2011, </w:t>
      </w:r>
      <w:r>
        <w:rPr>
          <w:rFonts w:ascii="Verdana" w:hAnsi="Verdana" w:cs="Verdana"/>
          <w:spacing w:val="-4"/>
          <w:sz w:val="22"/>
          <w:szCs w:val="22"/>
          <w:lang w:val="es-ES" w:eastAsia="es-ES"/>
        </w:rPr>
        <w:t xml:space="preserve">acuerda cancelar el derecho de concesión otorgado a </w:t>
      </w:r>
      <w:r>
        <w:rPr>
          <w:rFonts w:ascii="Verdana" w:hAnsi="Verdana" w:cs="Verdana"/>
          <w:b/>
          <w:bCs/>
          <w:spacing w:val="-4"/>
          <w:sz w:val="22"/>
          <w:szCs w:val="22"/>
          <w:lang w:val="es-ES" w:eastAsia="es-ES"/>
        </w:rPr>
        <w:t xml:space="preserve">J.C.C.Q., </w:t>
      </w:r>
      <w:r>
        <w:rPr>
          <w:rFonts w:ascii="Verdana" w:hAnsi="Verdana" w:cs="Verdana"/>
          <w:spacing w:val="-4"/>
          <w:sz w:val="22"/>
          <w:szCs w:val="22"/>
          <w:lang w:val="es-ES" w:eastAsia="es-ES"/>
        </w:rPr>
        <w:t xml:space="preserve">al tener por demostrado el incumplimiento contractual al otorgar la administración completa de la concesión de la placa de taxi </w:t>
      </w:r>
      <w:r>
        <w:rPr>
          <w:rFonts w:ascii="Verdana" w:hAnsi="Verdana" w:cs="Verdana"/>
          <w:b/>
          <w:bCs/>
          <w:spacing w:val="-4"/>
          <w:sz w:val="22"/>
          <w:szCs w:val="22"/>
          <w:lang w:val="es-ES" w:eastAsia="es-ES"/>
        </w:rPr>
        <w:t xml:space="preserve">TSJ-XXX, </w:t>
      </w:r>
      <w:r>
        <w:rPr>
          <w:rFonts w:ascii="Verdana" w:hAnsi="Verdana" w:cs="Verdana"/>
          <w:spacing w:val="-4"/>
          <w:sz w:val="22"/>
          <w:szCs w:val="22"/>
          <w:lang w:val="es-ES" w:eastAsia="es-ES"/>
        </w:rPr>
        <w:t>desde el año 2005 a un tercero y sin autorización del CTP. Este acto debe ser debidamente notificado al recurrente, para que éste ejerza las acciones recursivas que considere pertinentes dado lo gravoso para sus intereses, por ser un acto que le suprime derechos como es la concesión de taxi que se le había otorgado.</w:t>
      </w:r>
    </w:p>
    <w:p w:rsidR="00544681" w:rsidRDefault="00147D7B">
      <w:pPr>
        <w:kinsoku w:val="0"/>
        <w:overflowPunct w:val="0"/>
        <w:autoSpaceDE/>
        <w:autoSpaceDN/>
        <w:adjustRightInd/>
        <w:spacing w:before="274" w:after="595" w:line="270" w:lineRule="exact"/>
        <w:jc w:val="center"/>
        <w:textAlignment w:val="baseline"/>
        <w:rPr>
          <w:rFonts w:ascii="Verdana" w:hAnsi="Verdana" w:cs="Verdana"/>
          <w:sz w:val="22"/>
          <w:szCs w:val="22"/>
          <w:lang w:val="es-ES" w:eastAsia="es-ES"/>
        </w:rPr>
      </w:pPr>
      <w:r>
        <w:rPr>
          <w:rFonts w:ascii="Verdana" w:hAnsi="Verdana" w:cs="Verdana"/>
          <w:sz w:val="22"/>
          <w:szCs w:val="22"/>
          <w:lang w:val="es-ES" w:eastAsia="es-ES"/>
        </w:rPr>
        <w:t>De las piezas del Expediente se tiene que, la Administración al no contar con un</w:t>
      </w:r>
      <w:r>
        <w:rPr>
          <w:rFonts w:ascii="Verdana" w:hAnsi="Verdana" w:cs="Verdana"/>
          <w:sz w:val="22"/>
          <w:szCs w:val="22"/>
          <w:lang w:val="es-ES" w:eastAsia="es-ES"/>
        </w:rPr>
        <w:br/>
        <w:t>lugar cierto para notificar el acto que se recurre, opta por comunicarlo a través</w:t>
      </w:r>
    </w:p>
    <w:p w:rsidR="00544681" w:rsidRDefault="00544681">
      <w:pPr>
        <w:widowControl/>
        <w:rPr>
          <w:sz w:val="24"/>
          <w:szCs w:val="24"/>
        </w:rPr>
        <w:sectPr w:rsidR="00544681">
          <w:pgSz w:w="12302" w:h="15758"/>
          <w:pgMar w:top="1300" w:right="1504" w:bottom="302" w:left="1438" w:header="720" w:footer="720" w:gutter="0"/>
          <w:cols w:space="720"/>
          <w:noEndnote/>
        </w:sectPr>
      </w:pPr>
    </w:p>
    <w:p w:rsidR="00544681" w:rsidRDefault="00147D7B">
      <w:pPr>
        <w:tabs>
          <w:tab w:val="right" w:pos="3096"/>
        </w:tabs>
        <w:kinsoku w:val="0"/>
        <w:overflowPunct w:val="0"/>
        <w:autoSpaceDE/>
        <w:autoSpaceDN/>
        <w:adjustRightInd/>
        <w:spacing w:line="276" w:lineRule="exact"/>
        <w:textAlignment w:val="baseline"/>
        <w:rPr>
          <w:sz w:val="24"/>
          <w:szCs w:val="24"/>
          <w:lang w:val="es-ES" w:eastAsia="es-ES"/>
        </w:rPr>
      </w:pPr>
      <w:r>
        <w:rPr>
          <w:sz w:val="24"/>
          <w:szCs w:val="24"/>
          <w:lang w:val="es-ES" w:eastAsia="es-ES"/>
        </w:rPr>
        <w:tab/>
      </w:r>
    </w:p>
    <w:p w:rsidR="00544681" w:rsidRDefault="00544681">
      <w:pPr>
        <w:widowControl/>
        <w:rPr>
          <w:sz w:val="24"/>
          <w:szCs w:val="24"/>
        </w:rPr>
        <w:sectPr w:rsidR="00544681">
          <w:type w:val="continuous"/>
          <w:pgSz w:w="12302" w:h="15758"/>
          <w:pgMar w:top="1300" w:right="1700" w:bottom="302" w:left="7502" w:header="720" w:footer="720" w:gutter="0"/>
          <w:cols w:space="720"/>
          <w:noEndnote/>
        </w:sectPr>
      </w:pPr>
    </w:p>
    <w:p w:rsidR="00544681" w:rsidRDefault="00147D7B">
      <w:pPr>
        <w:kinsoku w:val="0"/>
        <w:overflowPunct w:val="0"/>
        <w:autoSpaceDE/>
        <w:autoSpaceDN/>
        <w:adjustRightInd/>
        <w:spacing w:before="16" w:line="261"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la publicación y lo hace en el Diario Oficial la Gaceta número 215 del 9 de noviembre de 2011.</w:t>
      </w:r>
    </w:p>
    <w:p w:rsidR="00544681" w:rsidRDefault="00147D7B">
      <w:pPr>
        <w:kinsoku w:val="0"/>
        <w:overflowPunct w:val="0"/>
        <w:autoSpaceDE/>
        <w:autoSpaceDN/>
        <w:adjustRightInd/>
        <w:spacing w:before="279"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No obstante, lo anterior, por imperio de Ley debió hacerlo en tres ocasiones consecutivas para que la notificación por publicación surtiera el efecto esperado, pero no lo hizo, pues solo lo publicó en una ocasión.</w:t>
      </w:r>
    </w:p>
    <w:p w:rsidR="00544681" w:rsidRDefault="00147D7B">
      <w:pPr>
        <w:kinsoku w:val="0"/>
        <w:overflowPunct w:val="0"/>
        <w:autoSpaceDE/>
        <w:autoSpaceDN/>
        <w:adjustRightInd/>
        <w:spacing w:before="550"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Por lo anterior debe acogerse el argumento del recurrente que no le fue notificado el acto impugnado y tenerse por presentado en tiempo el líbelo.</w:t>
      </w:r>
    </w:p>
    <w:p w:rsidR="00544681" w:rsidRDefault="00147D7B">
      <w:pPr>
        <w:kinsoku w:val="0"/>
        <w:overflowPunct w:val="0"/>
        <w:autoSpaceDE/>
        <w:autoSpaceDN/>
        <w:adjustRightInd/>
        <w:spacing w:before="264" w:line="264" w:lineRule="exact"/>
        <w:textAlignment w:val="baseline"/>
        <w:rPr>
          <w:rFonts w:ascii="Verdana" w:hAnsi="Verdana" w:cs="Verdana"/>
          <w:sz w:val="22"/>
          <w:szCs w:val="22"/>
          <w:lang w:val="es-ES" w:eastAsia="es-ES"/>
        </w:rPr>
      </w:pPr>
      <w:r>
        <w:rPr>
          <w:rFonts w:ascii="Verdana" w:hAnsi="Verdana" w:cs="Verdana"/>
          <w:sz w:val="22"/>
          <w:szCs w:val="22"/>
          <w:lang w:val="es-ES" w:eastAsia="es-ES"/>
        </w:rPr>
        <w:t>La Ley General de la Administración Pública, en su numeral 241 indica:</w:t>
      </w:r>
    </w:p>
    <w:p w:rsidR="00544681" w:rsidRDefault="00147D7B">
      <w:pPr>
        <w:kinsoku w:val="0"/>
        <w:overflowPunct w:val="0"/>
        <w:autoSpaceDE/>
        <w:autoSpaceDN/>
        <w:adjustRightInd/>
        <w:spacing w:before="262" w:line="267" w:lineRule="exact"/>
        <w:ind w:left="360"/>
        <w:textAlignment w:val="baseline"/>
        <w:rPr>
          <w:rFonts w:ascii="Verdana" w:hAnsi="Verdana" w:cs="Verdana"/>
          <w:sz w:val="24"/>
          <w:szCs w:val="24"/>
          <w:lang w:eastAsia="en-US"/>
        </w:rPr>
      </w:pPr>
      <w:r>
        <w:rPr>
          <w:rFonts w:ascii="Verdana" w:hAnsi="Verdana" w:cs="Verdana"/>
          <w:b/>
          <w:bCs/>
          <w:i/>
          <w:iCs/>
          <w:spacing w:val="-1"/>
          <w:sz w:val="22"/>
          <w:szCs w:val="22"/>
          <w:lang w:val="es-ES" w:eastAsia="es-ES"/>
        </w:rPr>
        <w:t xml:space="preserve">"Artículo </w:t>
      </w:r>
      <w:proofErr w:type="gramStart"/>
      <w:r>
        <w:rPr>
          <w:rFonts w:ascii="Verdana" w:hAnsi="Verdana" w:cs="Verdana"/>
          <w:b/>
          <w:bCs/>
          <w:i/>
          <w:iCs/>
          <w:spacing w:val="-1"/>
          <w:sz w:val="22"/>
          <w:szCs w:val="22"/>
          <w:lang w:val="es-ES" w:eastAsia="es-ES"/>
        </w:rPr>
        <w:t>241.</w:t>
      </w:r>
      <w:r>
        <w:rPr>
          <w:rFonts w:ascii="Verdana" w:hAnsi="Verdana" w:cs="Verdana"/>
          <w:b/>
          <w:bCs/>
          <w:i/>
          <w:iCs/>
          <w:spacing w:val="-1"/>
          <w:sz w:val="22"/>
          <w:szCs w:val="22"/>
          <w:lang w:val="es-ES" w:eastAsia="es-ES"/>
        </w:rPr>
        <w:noBreakHyphen/>
      </w:r>
      <w:proofErr w:type="gramEnd"/>
    </w:p>
    <w:p w:rsidR="00544681" w:rsidRDefault="00147D7B">
      <w:pPr>
        <w:numPr>
          <w:ilvl w:val="0"/>
          <w:numId w:val="1"/>
        </w:numPr>
        <w:kinsoku w:val="0"/>
        <w:overflowPunct w:val="0"/>
        <w:autoSpaceDE/>
        <w:autoSpaceDN/>
        <w:adjustRightInd/>
        <w:spacing w:before="9" w:line="268"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t>La publicación no puede normalmente suplir la notificación.</w:t>
      </w:r>
    </w:p>
    <w:p w:rsidR="00544681" w:rsidRDefault="00147D7B">
      <w:pPr>
        <w:numPr>
          <w:ilvl w:val="0"/>
          <w:numId w:val="1"/>
        </w:numPr>
        <w:kinsoku w:val="0"/>
        <w:overflowPunct w:val="0"/>
        <w:autoSpaceDE/>
        <w:autoSpaceDN/>
        <w:adjustRightInd/>
        <w:spacing w:line="267"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Cuando se ignore o esté equivocado el lugar para notificaciones al interesado por culpa de éste, deberá comunicársele el acto por publicación, en cuyo caso la comunicación se tendrá por hecha cinco días después de ésta última.</w:t>
      </w:r>
    </w:p>
    <w:p w:rsidR="00544681" w:rsidRDefault="00147D7B">
      <w:pPr>
        <w:numPr>
          <w:ilvl w:val="0"/>
          <w:numId w:val="1"/>
        </w:numPr>
        <w:kinsoku w:val="0"/>
        <w:overflowPunct w:val="0"/>
        <w:autoSpaceDE/>
        <w:autoSpaceDN/>
        <w:adjustRightInd/>
        <w:spacing w:before="17" w:line="268" w:lineRule="exact"/>
        <w:ind w:right="360"/>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Igual regla se aplicará para la primera notificación en un procedimiento, si no constan en el expediente la residencia, lugar de trabajo o cualquier otra dirección exacta del interesado, por indicación de la Administración o de una cualquiera de las partes; caso opuesto, deberá notificarse.</w:t>
      </w:r>
    </w:p>
    <w:p w:rsidR="00544681" w:rsidRDefault="00147D7B">
      <w:pPr>
        <w:numPr>
          <w:ilvl w:val="0"/>
          <w:numId w:val="2"/>
        </w:numPr>
        <w:kinsoku w:val="0"/>
        <w:overflowPunct w:val="0"/>
        <w:autoSpaceDE/>
        <w:autoSpaceDN/>
        <w:adjustRightInd/>
        <w:spacing w:before="9" w:line="269" w:lineRule="exact"/>
        <w:ind w:right="360"/>
        <w:jc w:val="both"/>
        <w:textAlignment w:val="baseline"/>
        <w:rPr>
          <w:rFonts w:ascii="Verdana" w:hAnsi="Verdana" w:cs="Verdana"/>
          <w:sz w:val="22"/>
          <w:szCs w:val="22"/>
          <w:lang w:val="es-ES" w:eastAsia="es-ES"/>
        </w:rPr>
      </w:pPr>
      <w:r>
        <w:rPr>
          <w:rFonts w:ascii="Verdana" w:hAnsi="Verdana" w:cs="Verdana"/>
          <w:b/>
          <w:bCs/>
          <w:i/>
          <w:iCs/>
          <w:sz w:val="22"/>
          <w:szCs w:val="22"/>
          <w:u w:val="single"/>
          <w:lang w:val="es-ES" w:eastAsia="es-ES"/>
        </w:rPr>
        <w:t>La publicación que suple la notificación se hará por tres veces consecutivas en el Diario Oficial y los términos se contarán a partir de la última."</w:t>
      </w:r>
      <w:r>
        <w:rPr>
          <w:rFonts w:ascii="Verdana" w:hAnsi="Verdana" w:cs="Verdana"/>
          <w:sz w:val="22"/>
          <w:szCs w:val="22"/>
          <w:lang w:val="es-ES" w:eastAsia="es-ES"/>
        </w:rPr>
        <w:t xml:space="preserve"> (La negrita con el subrayado no es del original)</w:t>
      </w:r>
    </w:p>
    <w:p w:rsidR="00544681" w:rsidRDefault="00147D7B">
      <w:pPr>
        <w:kinsoku w:val="0"/>
        <w:overflowPunct w:val="0"/>
        <w:autoSpaceDE/>
        <w:autoSpaceDN/>
        <w:adjustRightInd/>
        <w:spacing w:before="259" w:line="26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aprecia de lo anterior, nunca corrió el plazo para impugnar en contra del recurrente, pues este debió darse, a partir de la última publicación, misma que nunca se </w:t>
      </w:r>
      <w:proofErr w:type="spellStart"/>
      <w:r>
        <w:rPr>
          <w:rFonts w:ascii="Verdana" w:hAnsi="Verdana" w:cs="Verdana"/>
          <w:sz w:val="22"/>
          <w:szCs w:val="22"/>
          <w:lang w:val="es-ES" w:eastAsia="es-ES"/>
        </w:rPr>
        <w:t>dió</w:t>
      </w:r>
      <w:proofErr w:type="spellEnd"/>
      <w:r>
        <w:rPr>
          <w:rFonts w:ascii="Verdana" w:hAnsi="Verdana" w:cs="Verdana"/>
          <w:sz w:val="22"/>
          <w:szCs w:val="22"/>
          <w:lang w:val="es-ES" w:eastAsia="es-ES"/>
        </w:rPr>
        <w:t>, con lo que se estaría violentando la garantía del Debido Proceso en perjuicio del Recurrente.</w:t>
      </w:r>
    </w:p>
    <w:p w:rsidR="00544681" w:rsidRDefault="00147D7B">
      <w:pPr>
        <w:kinsoku w:val="0"/>
        <w:overflowPunct w:val="0"/>
        <w:autoSpaceDE/>
        <w:autoSpaceDN/>
        <w:adjustRightInd/>
        <w:spacing w:before="289" w:line="25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anteriormente, es criterio de este Tribunal que debe anularse el acto que rechaza la revocatoria y el incidente de nulidad y eleva la Apelación en Subsidio, para que el Consejo de Transporte Público conozca en primera instancia del recurso de Revocatoria por el fondo y de rechazarlo proceda según corresponda.</w:t>
      </w:r>
    </w:p>
    <w:p w:rsidR="00544681" w:rsidRDefault="00147D7B">
      <w:pPr>
        <w:kinsoku w:val="0"/>
        <w:overflowPunct w:val="0"/>
        <w:autoSpaceDE/>
        <w:autoSpaceDN/>
        <w:adjustRightInd/>
        <w:spacing w:before="555" w:line="261"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En cuanto a los demás argumentos presentados por el Recurrente, este Tribunal omite referirse a ellos, por cuanto eventualmente, podría conocer de ellos nuevamente.</w:t>
      </w:r>
    </w:p>
    <w:p w:rsidR="00544681" w:rsidRDefault="00147D7B">
      <w:pPr>
        <w:kinsoku w:val="0"/>
        <w:overflowPunct w:val="0"/>
        <w:autoSpaceDE/>
        <w:autoSpaceDN/>
        <w:adjustRightInd/>
        <w:spacing w:before="303" w:after="1186"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Una vez conocido el Recurso de Revocatoria, y si el mismo es desestimado por el CTP, se procederá a elevar la Apelación a este Tribunal, por lo que en este momento no se hace referencia alguna al fondo del Recurso.</w:t>
      </w:r>
    </w:p>
    <w:p w:rsidR="00544681" w:rsidRDefault="00544681">
      <w:pPr>
        <w:widowControl/>
        <w:rPr>
          <w:sz w:val="24"/>
          <w:szCs w:val="24"/>
        </w:rPr>
        <w:sectPr w:rsidR="00544681">
          <w:pgSz w:w="12302" w:h="15830"/>
          <w:pgMar w:top="1500" w:right="1579" w:bottom="215" w:left="1843" w:header="720" w:footer="720" w:gutter="0"/>
          <w:cols w:space="720"/>
          <w:noEndnote/>
        </w:sectPr>
      </w:pPr>
    </w:p>
    <w:p w:rsidR="00544681" w:rsidRDefault="00147D7B">
      <w:pPr>
        <w:tabs>
          <w:tab w:val="right" w:pos="3024"/>
        </w:tabs>
        <w:kinsoku w:val="0"/>
        <w:overflowPunct w:val="0"/>
        <w:autoSpaceDE/>
        <w:autoSpaceDN/>
        <w:adjustRightInd/>
        <w:spacing w:line="275" w:lineRule="exact"/>
        <w:textAlignment w:val="baseline"/>
        <w:rPr>
          <w:sz w:val="24"/>
          <w:szCs w:val="24"/>
          <w:lang w:val="es-ES" w:eastAsia="es-ES"/>
        </w:rPr>
      </w:pPr>
      <w:r>
        <w:rPr>
          <w:sz w:val="24"/>
          <w:szCs w:val="24"/>
          <w:lang w:val="es-ES" w:eastAsia="es-ES"/>
        </w:rPr>
        <w:tab/>
      </w:r>
    </w:p>
    <w:p w:rsidR="00544681" w:rsidRDefault="00544681">
      <w:pPr>
        <w:widowControl/>
        <w:rPr>
          <w:sz w:val="24"/>
          <w:szCs w:val="24"/>
        </w:rPr>
        <w:sectPr w:rsidR="00544681">
          <w:type w:val="continuous"/>
          <w:pgSz w:w="12302" w:h="15830"/>
          <w:pgMar w:top="1500" w:right="1615" w:bottom="215" w:left="7627" w:header="720" w:footer="720" w:gutter="0"/>
          <w:cols w:space="720"/>
          <w:noEndnote/>
        </w:sectPr>
      </w:pPr>
    </w:p>
    <w:p w:rsidR="00544681" w:rsidRDefault="00147D7B">
      <w:pPr>
        <w:kinsoku w:val="0"/>
        <w:overflowPunct w:val="0"/>
        <w:autoSpaceDE/>
        <w:autoSpaceDN/>
        <w:adjustRightInd/>
        <w:spacing w:before="6" w:line="261" w:lineRule="exact"/>
        <w:ind w:left="72"/>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lastRenderedPageBreak/>
        <w:t>POR TANTO</w:t>
      </w:r>
    </w:p>
    <w:p w:rsidR="00544681" w:rsidRDefault="00147D7B">
      <w:pPr>
        <w:numPr>
          <w:ilvl w:val="0"/>
          <w:numId w:val="3"/>
        </w:numPr>
        <w:kinsoku w:val="0"/>
        <w:overflowPunct w:val="0"/>
        <w:autoSpaceDE/>
        <w:autoSpaceDN/>
        <w:adjustRightInd/>
        <w:spacing w:before="272" w:line="270" w:lineRule="exact"/>
        <w:ind w:right="43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anula el </w:t>
      </w:r>
      <w:r>
        <w:rPr>
          <w:rFonts w:ascii="Verdana" w:hAnsi="Verdana" w:cs="Verdana"/>
          <w:b/>
          <w:bCs/>
          <w:sz w:val="21"/>
          <w:szCs w:val="21"/>
          <w:lang w:val="es-ES" w:eastAsia="es-ES"/>
        </w:rPr>
        <w:t xml:space="preserve">acuerdo 7.2.1 de la Sesión Ordinaria 46-2017 de 29 de noviembre de 2017, </w:t>
      </w:r>
      <w:r>
        <w:rPr>
          <w:rFonts w:ascii="Verdana" w:hAnsi="Verdana" w:cs="Verdana"/>
          <w:sz w:val="21"/>
          <w:szCs w:val="21"/>
          <w:lang w:val="es-ES" w:eastAsia="es-ES"/>
        </w:rPr>
        <w:t xml:space="preserve">y proceda el Consejo a conocer en primera instancia el </w:t>
      </w:r>
      <w:r>
        <w:rPr>
          <w:rFonts w:ascii="Verdana" w:hAnsi="Verdana" w:cs="Verdana"/>
          <w:b/>
          <w:bCs/>
          <w:sz w:val="21"/>
          <w:szCs w:val="21"/>
          <w:lang w:val="es-ES" w:eastAsia="es-ES"/>
        </w:rPr>
        <w:t xml:space="preserve">Recurso de Revocatoria y Nulidad concomitante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 xml:space="preserve">J.C.C.Q., cédula de identidad número …,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artículo 6.10.1 de la Sesión Ordinaria 55-2011 de 4 de agosto de 2011, </w:t>
      </w:r>
      <w:r>
        <w:rPr>
          <w:rFonts w:ascii="Verdana" w:hAnsi="Verdana" w:cs="Verdana"/>
          <w:sz w:val="21"/>
          <w:szCs w:val="21"/>
          <w:lang w:val="es-ES" w:eastAsia="es-ES"/>
        </w:rPr>
        <w:t>dictado por la Junta Directiva del Consejo de Transporte Público.</w:t>
      </w:r>
    </w:p>
    <w:p w:rsidR="00544681" w:rsidRPr="00147D7B" w:rsidRDefault="00147D7B" w:rsidP="00147D7B">
      <w:pPr>
        <w:numPr>
          <w:ilvl w:val="0"/>
          <w:numId w:val="4"/>
        </w:numPr>
        <w:kinsoku w:val="0"/>
        <w:overflowPunct w:val="0"/>
        <w:autoSpaceDE/>
        <w:autoSpaceDN/>
        <w:adjustRightInd/>
        <w:spacing w:before="274" w:after="657" w:line="264" w:lineRule="exact"/>
        <w:jc w:val="both"/>
        <w:textAlignment w:val="baseline"/>
        <w:rPr>
          <w:spacing w:val="-1"/>
          <w:sz w:val="24"/>
          <w:szCs w:val="24"/>
          <w:lang w:val="es-ES" w:eastAsia="es-ES"/>
        </w:rPr>
      </w:pPr>
      <w:r w:rsidRPr="00147D7B">
        <w:rPr>
          <w:rFonts w:ascii="Verdana" w:hAnsi="Verdana" w:cs="Verdana"/>
          <w:b/>
          <w:bCs/>
          <w:spacing w:val="4"/>
          <w:sz w:val="21"/>
          <w:szCs w:val="21"/>
          <w:lang w:val="es-ES" w:eastAsia="es-ES"/>
        </w:rPr>
        <w:t xml:space="preserve">NOTIFIQUESE. </w:t>
      </w:r>
      <w:r>
        <w:rPr>
          <w:rFonts w:ascii="Verdana" w:hAnsi="Verdana" w:cs="Verdana"/>
          <w:b/>
          <w:bCs/>
          <w:spacing w:val="4"/>
          <w:sz w:val="21"/>
          <w:szCs w:val="21"/>
          <w:lang w:val="es-ES" w:eastAsia="es-ES"/>
        </w:rPr>
        <w:t>–</w:t>
      </w:r>
    </w:p>
    <w:p w:rsidR="00147D7B" w:rsidRPr="00147D7B" w:rsidRDefault="00147D7B" w:rsidP="00147D7B">
      <w:pPr>
        <w:pStyle w:val="Ttulo1"/>
        <w:jc w:val="center"/>
        <w:rPr>
          <w:rFonts w:ascii="Times New Roman" w:hAnsi="Times New Roman"/>
          <w:b w:val="0"/>
          <w:color w:val="000000"/>
        </w:rPr>
      </w:pPr>
      <w:r w:rsidRPr="00147D7B">
        <w:rPr>
          <w:rFonts w:ascii="Times New Roman" w:hAnsi="Times New Roman"/>
          <w:b w:val="0"/>
          <w:color w:val="000000"/>
        </w:rPr>
        <w:t>Lic. Carlos Miguel Portuguez Méndez</w:t>
      </w:r>
    </w:p>
    <w:p w:rsidR="00147D7B" w:rsidRPr="00147D7B" w:rsidRDefault="00147D7B" w:rsidP="00147D7B">
      <w:pPr>
        <w:jc w:val="center"/>
        <w:rPr>
          <w:b/>
          <w:color w:val="000000"/>
        </w:rPr>
      </w:pPr>
      <w:proofErr w:type="spellStart"/>
      <w:r w:rsidRPr="00147D7B">
        <w:rPr>
          <w:b/>
          <w:color w:val="000000"/>
        </w:rPr>
        <w:t>Presidente</w:t>
      </w:r>
      <w:proofErr w:type="spellEnd"/>
    </w:p>
    <w:p w:rsidR="00147D7B" w:rsidRPr="00147D7B" w:rsidRDefault="00147D7B" w:rsidP="00147D7B">
      <w:pPr>
        <w:pStyle w:val="Sinespaciado"/>
        <w:jc w:val="both"/>
        <w:rPr>
          <w:rFonts w:ascii="Times New Roman" w:hAnsi="Times New Roman"/>
          <w:color w:val="000000"/>
          <w:sz w:val="24"/>
          <w:szCs w:val="24"/>
        </w:rPr>
      </w:pPr>
    </w:p>
    <w:p w:rsidR="00147D7B" w:rsidRPr="00147D7B" w:rsidRDefault="00147D7B" w:rsidP="00147D7B">
      <w:pPr>
        <w:pStyle w:val="Sinespaciado"/>
        <w:jc w:val="both"/>
        <w:rPr>
          <w:rFonts w:ascii="Times New Roman" w:hAnsi="Times New Roman"/>
          <w:color w:val="000000"/>
          <w:sz w:val="24"/>
          <w:szCs w:val="24"/>
        </w:rPr>
      </w:pPr>
    </w:p>
    <w:p w:rsidR="00147D7B" w:rsidRPr="00147D7B" w:rsidRDefault="00147D7B" w:rsidP="00147D7B">
      <w:pPr>
        <w:pStyle w:val="Sinespaciado"/>
        <w:jc w:val="both"/>
        <w:rPr>
          <w:rFonts w:ascii="Times New Roman" w:hAnsi="Times New Roman"/>
          <w:color w:val="000000"/>
          <w:sz w:val="24"/>
          <w:szCs w:val="24"/>
        </w:rPr>
      </w:pPr>
    </w:p>
    <w:p w:rsidR="00147D7B" w:rsidRPr="00147D7B" w:rsidRDefault="00147D7B" w:rsidP="00147D7B">
      <w:pPr>
        <w:pStyle w:val="Sinespaciado"/>
        <w:jc w:val="both"/>
        <w:rPr>
          <w:rFonts w:ascii="Times New Roman" w:hAnsi="Times New Roman"/>
          <w:color w:val="000000"/>
          <w:sz w:val="24"/>
          <w:szCs w:val="24"/>
        </w:rPr>
      </w:pPr>
    </w:p>
    <w:p w:rsidR="00147D7B" w:rsidRPr="00147D7B" w:rsidRDefault="00147D7B" w:rsidP="00147D7B">
      <w:pPr>
        <w:pStyle w:val="Sinespaciado"/>
        <w:jc w:val="both"/>
        <w:rPr>
          <w:rFonts w:ascii="Times New Roman" w:hAnsi="Times New Roman"/>
          <w:color w:val="000000"/>
          <w:sz w:val="24"/>
          <w:szCs w:val="24"/>
        </w:rPr>
      </w:pPr>
    </w:p>
    <w:p w:rsidR="00147D7B" w:rsidRPr="00147D7B" w:rsidRDefault="00147D7B" w:rsidP="00147D7B">
      <w:pPr>
        <w:pStyle w:val="Ttulo1"/>
        <w:rPr>
          <w:rFonts w:ascii="Times New Roman" w:hAnsi="Times New Roman"/>
          <w:b w:val="0"/>
          <w:color w:val="000000"/>
        </w:rPr>
      </w:pPr>
      <w:r w:rsidRPr="00147D7B">
        <w:rPr>
          <w:rFonts w:ascii="Times New Roman" w:hAnsi="Times New Roman"/>
          <w:b w:val="0"/>
          <w:color w:val="000000"/>
        </w:rPr>
        <w:t xml:space="preserve">          </w:t>
      </w:r>
      <w:r w:rsidRPr="00147D7B">
        <w:rPr>
          <w:rFonts w:ascii="Times New Roman" w:hAnsi="Times New Roman"/>
          <w:b w:val="0"/>
          <w:color w:val="000000"/>
        </w:rPr>
        <w:tab/>
        <w:t xml:space="preserve">Licda. Maricela Villegas Herrera </w:t>
      </w:r>
      <w:r w:rsidRPr="00147D7B">
        <w:rPr>
          <w:rFonts w:ascii="Times New Roman" w:hAnsi="Times New Roman"/>
          <w:b w:val="0"/>
          <w:color w:val="000000"/>
        </w:rPr>
        <w:tab/>
      </w:r>
      <w:r w:rsidRPr="00147D7B">
        <w:rPr>
          <w:rFonts w:ascii="Times New Roman" w:hAnsi="Times New Roman"/>
          <w:b w:val="0"/>
          <w:color w:val="000000"/>
        </w:rPr>
        <w:tab/>
        <w:t>Lic.  Mario Quesada Aguirre</w:t>
      </w:r>
      <w:r w:rsidRPr="00147D7B">
        <w:rPr>
          <w:rFonts w:ascii="Times New Roman" w:hAnsi="Times New Roman"/>
          <w:b w:val="0"/>
          <w:color w:val="000000"/>
        </w:rPr>
        <w:tab/>
      </w:r>
      <w:r w:rsidRPr="00147D7B">
        <w:rPr>
          <w:rFonts w:ascii="Times New Roman" w:hAnsi="Times New Roman"/>
          <w:b w:val="0"/>
          <w:color w:val="000000"/>
        </w:rPr>
        <w:tab/>
      </w:r>
    </w:p>
    <w:p w:rsidR="00147D7B" w:rsidRPr="00147D7B" w:rsidRDefault="00147D7B" w:rsidP="00147D7B">
      <w:pPr>
        <w:rPr>
          <w:b/>
          <w:color w:val="000000"/>
        </w:rPr>
      </w:pPr>
      <w:r>
        <w:rPr>
          <w:b/>
          <w:color w:val="000000"/>
        </w:rPr>
        <w:t xml:space="preserve">                         </w:t>
      </w:r>
      <w:proofErr w:type="spellStart"/>
      <w:r w:rsidRPr="00147D7B">
        <w:rPr>
          <w:b/>
          <w:color w:val="000000"/>
        </w:rPr>
        <w:t>Jueza</w:t>
      </w:r>
      <w:proofErr w:type="spellEnd"/>
      <w:r w:rsidRPr="00147D7B">
        <w:rPr>
          <w:b/>
          <w:color w:val="000000"/>
        </w:rPr>
        <w:t xml:space="preserve"> </w:t>
      </w:r>
      <w:r>
        <w:rPr>
          <w:b/>
          <w:color w:val="000000"/>
        </w:rPr>
        <w:t xml:space="preserve"> </w:t>
      </w:r>
      <w:proofErr w:type="spellStart"/>
      <w:r w:rsidRPr="00147D7B">
        <w:rPr>
          <w:b/>
          <w:color w:val="000000"/>
        </w:rPr>
        <w:t>Suplente</w:t>
      </w:r>
      <w:proofErr w:type="spellEnd"/>
      <w:r w:rsidRPr="00147D7B">
        <w:rPr>
          <w:b/>
          <w:color w:val="000000"/>
        </w:rPr>
        <w:tab/>
      </w:r>
      <w:r w:rsidRPr="00147D7B">
        <w:rPr>
          <w:b/>
          <w:color w:val="000000"/>
        </w:rPr>
        <w:tab/>
      </w:r>
      <w:r w:rsidRPr="00147D7B">
        <w:rPr>
          <w:b/>
          <w:color w:val="000000"/>
        </w:rPr>
        <w:tab/>
      </w:r>
      <w:r w:rsidRPr="00147D7B">
        <w:rPr>
          <w:b/>
          <w:color w:val="000000"/>
        </w:rPr>
        <w:tab/>
        <w:t xml:space="preserve">       </w:t>
      </w:r>
      <w:r>
        <w:rPr>
          <w:b/>
          <w:color w:val="000000"/>
        </w:rPr>
        <w:t xml:space="preserve">              </w:t>
      </w:r>
      <w:proofErr w:type="spellStart"/>
      <w:r w:rsidRPr="00147D7B">
        <w:rPr>
          <w:b/>
          <w:color w:val="000000"/>
        </w:rPr>
        <w:t>Juez</w:t>
      </w:r>
      <w:proofErr w:type="spellEnd"/>
    </w:p>
    <w:p w:rsidR="00147D7B" w:rsidRDefault="00147D7B" w:rsidP="00147D7B">
      <w:pPr>
        <w:kinsoku w:val="0"/>
        <w:overflowPunct w:val="0"/>
        <w:autoSpaceDE/>
        <w:autoSpaceDN/>
        <w:adjustRightInd/>
        <w:spacing w:before="274" w:after="657" w:line="264" w:lineRule="exact"/>
        <w:ind w:left="72"/>
        <w:jc w:val="both"/>
        <w:textAlignment w:val="baseline"/>
        <w:rPr>
          <w:spacing w:val="-1"/>
          <w:sz w:val="24"/>
          <w:szCs w:val="24"/>
          <w:lang w:val="es-ES" w:eastAsia="es-ES"/>
        </w:rPr>
      </w:pPr>
    </w:p>
    <w:sectPr w:rsidR="00147D7B">
      <w:pgSz w:w="12302" w:h="15830"/>
      <w:pgMar w:top="1340" w:right="1361" w:bottom="314" w:left="15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5B13"/>
    <w:multiLevelType w:val="singleLevel"/>
    <w:tmpl w:val="387C34CC"/>
    <w:lvl w:ilvl="0">
      <w:start w:val="1"/>
      <w:numFmt w:val="upperRoman"/>
      <w:lvlText w:val="%1.-"/>
      <w:lvlJc w:val="left"/>
      <w:pPr>
        <w:tabs>
          <w:tab w:val="num" w:pos="576"/>
        </w:tabs>
        <w:ind w:left="72"/>
      </w:pPr>
      <w:rPr>
        <w:rFonts w:ascii="Verdana" w:hAnsi="Verdana" w:cs="Verdana"/>
        <w:b/>
        <w:snapToGrid/>
        <w:sz w:val="21"/>
        <w:szCs w:val="21"/>
      </w:rPr>
    </w:lvl>
  </w:abstractNum>
  <w:abstractNum w:abstractNumId="1" w15:restartNumberingAfterBreak="0">
    <w:nsid w:val="071AFA11"/>
    <w:multiLevelType w:val="singleLevel"/>
    <w:tmpl w:val="1C17842E"/>
    <w:lvl w:ilvl="0">
      <w:start w:val="1"/>
      <w:numFmt w:val="decimal"/>
      <w:lvlText w:val="%1."/>
      <w:lvlJc w:val="left"/>
      <w:pPr>
        <w:tabs>
          <w:tab w:val="num" w:pos="648"/>
        </w:tabs>
        <w:ind w:left="360"/>
      </w:pPr>
      <w:rPr>
        <w:rFonts w:ascii="Verdana" w:hAnsi="Verdana" w:cs="Verdana"/>
        <w:i/>
        <w:iCs/>
        <w:snapToGrid/>
        <w:sz w:val="22"/>
        <w:szCs w:val="22"/>
      </w:rPr>
    </w:lvl>
  </w:abstractNum>
  <w:num w:numId="1">
    <w:abstractNumId w:val="1"/>
  </w:num>
  <w:num w:numId="2">
    <w:abstractNumId w:val="1"/>
    <w:lvlOverride w:ilvl="0">
      <w:lvl w:ilvl="0">
        <w:numFmt w:val="decimal"/>
        <w:lvlText w:val="%1."/>
        <w:lvlJc w:val="left"/>
        <w:pPr>
          <w:tabs>
            <w:tab w:val="num" w:pos="648"/>
          </w:tabs>
          <w:ind w:left="360"/>
        </w:pPr>
        <w:rPr>
          <w:rFonts w:ascii="Verdana" w:hAnsi="Verdana" w:cs="Verdana"/>
          <w:b/>
          <w:bCs/>
          <w:i/>
          <w:iCs/>
          <w:snapToGrid/>
          <w:sz w:val="22"/>
          <w:szCs w:val="22"/>
          <w:u w:val="single"/>
        </w:rPr>
      </w:lvl>
    </w:lvlOverride>
  </w:num>
  <w:num w:numId="3">
    <w:abstractNumId w:val="0"/>
  </w:num>
  <w:num w:numId="4">
    <w:abstractNumId w:val="0"/>
    <w:lvlOverride w:ilvl="0">
      <w:lvl w:ilvl="0">
        <w:numFmt w:val="upperRoman"/>
        <w:lvlText w:val="%1.-"/>
        <w:lvlJc w:val="left"/>
        <w:pPr>
          <w:tabs>
            <w:tab w:val="num" w:pos="648"/>
          </w:tabs>
          <w:ind w:left="72"/>
        </w:pPr>
        <w:rPr>
          <w:rFonts w:ascii="Verdana" w:hAnsi="Verdana" w:cs="Verdana"/>
          <w:b/>
          <w:bCs/>
          <w:snapToGrid/>
          <w:spacing w:val="4"/>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7B"/>
    <w:rsid w:val="00147D7B"/>
    <w:rsid w:val="001B141B"/>
    <w:rsid w:val="005446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68A8A-10A4-4B09-BA60-5ED545C6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147D7B"/>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7D7B"/>
    <w:rPr>
      <w:rFonts w:ascii="Arial" w:eastAsia="Times New Roman" w:hAnsi="Arial" w:cs="Times New Roman"/>
      <w:b/>
      <w:bCs/>
      <w:sz w:val="24"/>
      <w:szCs w:val="24"/>
      <w:lang w:eastAsia="es-ES"/>
    </w:rPr>
  </w:style>
  <w:style w:type="paragraph" w:styleId="Sinespaciado">
    <w:name w:val="No Spacing"/>
    <w:link w:val="SinespaciadoCar"/>
    <w:uiPriority w:val="1"/>
    <w:qFormat/>
    <w:rsid w:val="00147D7B"/>
    <w:pPr>
      <w:spacing w:after="0" w:line="240" w:lineRule="auto"/>
    </w:pPr>
    <w:rPr>
      <w:rFonts w:ascii="Calibri" w:eastAsia="Calibri" w:hAnsi="Calibri" w:cs="Times New Roman"/>
      <w:lang w:eastAsia="en-US"/>
    </w:rPr>
  </w:style>
  <w:style w:type="character" w:customStyle="1" w:styleId="SinespaciadoCar">
    <w:name w:val="Sin espaciado Car"/>
    <w:link w:val="Sinespaciado"/>
    <w:uiPriority w:val="1"/>
    <w:rsid w:val="00147D7B"/>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6531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2019-04-25T17:03:00Z</dcterms:created>
  <dcterms:modified xsi:type="dcterms:W3CDTF">2019-04-25T17:03:00Z</dcterms:modified>
</cp:coreProperties>
</file>