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EF6" w:rsidRDefault="00354EF6">
      <w:pPr>
        <w:kinsoku w:val="0"/>
        <w:overflowPunct w:val="0"/>
        <w:autoSpaceDE/>
        <w:autoSpaceDN/>
        <w:adjustRightInd/>
        <w:spacing w:after="748" w:line="20" w:lineRule="exact"/>
        <w:textAlignment w:val="baseline"/>
        <w:rPr>
          <w:sz w:val="24"/>
          <w:szCs w:val="24"/>
        </w:rPr>
      </w:pPr>
    </w:p>
    <w:p w:rsidR="00354EF6" w:rsidRDefault="0069745F">
      <w:pPr>
        <w:kinsoku w:val="0"/>
        <w:overflowPunct w:val="0"/>
        <w:autoSpaceDE/>
        <w:autoSpaceDN/>
        <w:adjustRightInd/>
        <w:spacing w:line="29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RESOLUCION No. </w:t>
      </w:r>
      <w:bookmarkStart w:id="0" w:name="_GoBack"/>
      <w:r>
        <w:rPr>
          <w:rFonts w:ascii="Verdana" w:hAnsi="Verdana" w:cs="Verdana"/>
          <w:b/>
          <w:bCs/>
          <w:sz w:val="24"/>
          <w:szCs w:val="24"/>
          <w:lang w:val="es-ES" w:eastAsia="es-ES"/>
        </w:rPr>
        <w:t>TAT-3406-2018</w:t>
      </w:r>
      <w:bookmarkEnd w:id="0"/>
    </w:p>
    <w:p w:rsidR="00354EF6" w:rsidRDefault="0069745F">
      <w:pPr>
        <w:kinsoku w:val="0"/>
        <w:overflowPunct w:val="0"/>
        <w:autoSpaceDE/>
        <w:autoSpaceDN/>
        <w:adjustRightInd/>
        <w:spacing w:before="355" w:line="296" w:lineRule="exact"/>
        <w:ind w:left="144"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veinticinco minutos del tres de mayo de dos mil dieciocho.</w:t>
      </w:r>
    </w:p>
    <w:p w:rsidR="00354EF6" w:rsidRDefault="0069745F">
      <w:pPr>
        <w:kinsoku w:val="0"/>
        <w:overflowPunct w:val="0"/>
        <w:autoSpaceDE/>
        <w:autoSpaceDN/>
        <w:adjustRightInd/>
        <w:spacing w:before="264" w:line="294" w:lineRule="exact"/>
        <w:ind w:left="144" w:right="72"/>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EN SUBSIDIO, INTERPUESTO </w:t>
      </w:r>
      <w:r>
        <w:rPr>
          <w:rFonts w:ascii="Verdana" w:hAnsi="Verdana" w:cs="Verdana"/>
          <w:sz w:val="24"/>
          <w:szCs w:val="24"/>
          <w:lang w:val="es-ES" w:eastAsia="es-ES"/>
        </w:rPr>
        <w:t xml:space="preserve">por </w:t>
      </w:r>
      <w:r>
        <w:rPr>
          <w:rFonts w:ascii="Verdana" w:hAnsi="Verdana" w:cs="Verdana"/>
          <w:b/>
          <w:bCs/>
          <w:sz w:val="24"/>
          <w:szCs w:val="24"/>
          <w:lang w:val="es-ES" w:eastAsia="es-ES"/>
        </w:rPr>
        <w:t>La empresa T</w:t>
      </w:r>
      <w:r w:rsidR="00CF3FE2">
        <w:rPr>
          <w:rFonts w:ascii="Verdana" w:hAnsi="Verdana" w:cs="Verdana"/>
          <w:b/>
          <w:bCs/>
          <w:sz w:val="24"/>
          <w:szCs w:val="24"/>
          <w:lang w:val="es-ES" w:eastAsia="es-ES"/>
        </w:rPr>
        <w:t>.F.S.A.</w:t>
      </w:r>
      <w:r>
        <w:rPr>
          <w:rFonts w:ascii="Verdana" w:hAnsi="Verdana" w:cs="Verdana"/>
          <w:b/>
          <w:bCs/>
          <w:sz w:val="24"/>
          <w:szCs w:val="24"/>
          <w:lang w:val="es-ES" w:eastAsia="es-ES"/>
        </w:rPr>
        <w:t xml:space="preserve"> cédula Jurídica </w:t>
      </w:r>
      <w:r w:rsidR="00CF3FE2">
        <w:rPr>
          <w:rFonts w:ascii="Verdana" w:hAnsi="Verdana" w:cs="Verdana"/>
          <w:b/>
          <w:bCs/>
          <w:sz w:val="24"/>
          <w:szCs w:val="24"/>
          <w:lang w:val="es-ES" w:eastAsia="es-ES"/>
        </w:rPr>
        <w:t>…</w:t>
      </w:r>
      <w:r>
        <w:rPr>
          <w:rFonts w:ascii="Verdana" w:hAnsi="Verdana" w:cs="Verdana"/>
          <w:b/>
          <w:bCs/>
          <w:sz w:val="24"/>
          <w:szCs w:val="24"/>
          <w:lang w:val="es-ES" w:eastAsia="es-ES"/>
        </w:rPr>
        <w:t>, representada por G</w:t>
      </w:r>
      <w:r w:rsidR="00CF3FE2">
        <w:rPr>
          <w:rFonts w:ascii="Verdana" w:hAnsi="Verdana" w:cs="Verdana"/>
          <w:b/>
          <w:bCs/>
          <w:sz w:val="24"/>
          <w:szCs w:val="24"/>
          <w:lang w:val="es-ES" w:eastAsia="es-ES"/>
        </w:rPr>
        <w:t>.F.S.</w:t>
      </w:r>
      <w:r>
        <w:rPr>
          <w:rFonts w:ascii="Verdana" w:hAnsi="Verdana" w:cs="Verdana"/>
          <w:b/>
          <w:bCs/>
          <w:sz w:val="24"/>
          <w:szCs w:val="24"/>
          <w:lang w:val="es-ES" w:eastAsia="es-ES"/>
        </w:rPr>
        <w:t xml:space="preserve">, cédula de identidad número </w:t>
      </w:r>
      <w:r w:rsidR="00CF3FE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Apoderado Generalísimo sin límite de suma y el señor </w:t>
      </w:r>
      <w:r>
        <w:rPr>
          <w:rFonts w:ascii="Verdana" w:hAnsi="Verdana" w:cs="Verdana"/>
          <w:b/>
          <w:bCs/>
          <w:sz w:val="24"/>
          <w:szCs w:val="24"/>
          <w:lang w:val="es-ES" w:eastAsia="es-ES"/>
        </w:rPr>
        <w:t>J</w:t>
      </w:r>
      <w:r w:rsidR="00CF3FE2">
        <w:rPr>
          <w:rFonts w:ascii="Verdana" w:hAnsi="Verdana" w:cs="Verdana"/>
          <w:b/>
          <w:bCs/>
          <w:sz w:val="24"/>
          <w:szCs w:val="24"/>
          <w:lang w:val="es-ES" w:eastAsia="es-ES"/>
        </w:rPr>
        <w:t>.L.M.E.</w:t>
      </w:r>
      <w:r>
        <w:rPr>
          <w:rFonts w:ascii="Verdana" w:hAnsi="Verdana" w:cs="Verdana"/>
          <w:b/>
          <w:bCs/>
          <w:sz w:val="24"/>
          <w:szCs w:val="24"/>
          <w:lang w:val="es-ES" w:eastAsia="es-ES"/>
        </w:rPr>
        <w:t xml:space="preserve">, cédula de identidad número </w:t>
      </w:r>
      <w:r w:rsidR="00CF3FE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concesionario de la </w:t>
      </w:r>
      <w:r>
        <w:rPr>
          <w:rFonts w:ascii="Verdana" w:hAnsi="Verdana" w:cs="Verdana"/>
          <w:b/>
          <w:bCs/>
          <w:sz w:val="24"/>
          <w:szCs w:val="24"/>
          <w:lang w:val="es-ES" w:eastAsia="es-ES"/>
        </w:rPr>
        <w:t xml:space="preserve">Ruta No. 669, contra el artículo 7.9 de la Sesión Ordinaria 44-2017 de 15 de noviembre de 2017, </w:t>
      </w:r>
      <w:r>
        <w:rPr>
          <w:rFonts w:ascii="Verdana" w:hAnsi="Verdana" w:cs="Verdana"/>
          <w:sz w:val="24"/>
          <w:szCs w:val="24"/>
          <w:lang w:val="es-ES" w:eastAsia="es-ES"/>
        </w:rPr>
        <w:t xml:space="preserve">adoptado por La Junta Directiva del Consejo de Transporte Público. El caso es tramitado en este </w:t>
      </w:r>
      <w:r>
        <w:rPr>
          <w:rFonts w:ascii="Verdana" w:hAnsi="Verdana" w:cs="Verdana"/>
          <w:b/>
          <w:bCs/>
          <w:sz w:val="24"/>
          <w:szCs w:val="24"/>
          <w:lang w:val="es-ES" w:eastAsia="es-ES"/>
        </w:rPr>
        <w:t>Despacho bajo Expediente Administrativo No. TAT-021-18.</w:t>
      </w:r>
    </w:p>
    <w:p w:rsidR="00354EF6" w:rsidRDefault="0069745F">
      <w:pPr>
        <w:kinsoku w:val="0"/>
        <w:overflowPunct w:val="0"/>
        <w:autoSpaceDE/>
        <w:autoSpaceDN/>
        <w:adjustRightInd/>
        <w:spacing w:before="532" w:line="284" w:lineRule="exact"/>
        <w:jc w:val="center"/>
        <w:textAlignment w:val="baseline"/>
        <w:rPr>
          <w:rFonts w:ascii="Verdana" w:hAnsi="Verdana" w:cs="Verdana"/>
          <w:b/>
          <w:bCs/>
          <w:i/>
          <w:iCs/>
          <w:sz w:val="24"/>
          <w:szCs w:val="24"/>
          <w:lang w:val="es-ES" w:eastAsia="es-ES"/>
        </w:rPr>
      </w:pPr>
      <w:r>
        <w:rPr>
          <w:rFonts w:ascii="Verdana" w:hAnsi="Verdana" w:cs="Verdana"/>
          <w:b/>
          <w:bCs/>
          <w:i/>
          <w:iCs/>
          <w:sz w:val="24"/>
          <w:szCs w:val="24"/>
          <w:lang w:val="es-ES" w:eastAsia="es-ES"/>
        </w:rPr>
        <w:t>RESULTANDO</w:t>
      </w:r>
    </w:p>
    <w:p w:rsidR="00354EF6" w:rsidRDefault="0069745F" w:rsidP="00CF3FE2">
      <w:pPr>
        <w:kinsoku w:val="0"/>
        <w:overflowPunct w:val="0"/>
        <w:autoSpaceDE/>
        <w:autoSpaceDN/>
        <w:adjustRightInd/>
        <w:spacing w:before="318" w:line="291" w:lineRule="exact"/>
        <w:ind w:left="144" w:right="72"/>
        <w:jc w:val="both"/>
        <w:textAlignment w:val="baseline"/>
        <w:rPr>
          <w:rFonts w:ascii="Verdana" w:hAnsi="Verdana" w:cs="Verdana"/>
          <w:i/>
          <w:iCs/>
          <w:spacing w:val="-2"/>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el artículo 7.9 de la Sesión Ordinaria 44-2017 de 15 de noviembre de 2017, </w:t>
      </w:r>
      <w:r>
        <w:rPr>
          <w:rFonts w:ascii="Verdana" w:hAnsi="Verdana" w:cs="Verdana"/>
          <w:sz w:val="24"/>
          <w:szCs w:val="24"/>
          <w:lang w:val="es-ES" w:eastAsia="es-ES"/>
        </w:rPr>
        <w:t xml:space="preserve">acoge el informe </w:t>
      </w:r>
      <w:r>
        <w:rPr>
          <w:rFonts w:ascii="Verdana" w:hAnsi="Verdana" w:cs="Verdana"/>
          <w:b/>
          <w:bCs/>
          <w:sz w:val="24"/>
          <w:szCs w:val="24"/>
          <w:lang w:val="es-ES" w:eastAsia="es-ES"/>
        </w:rPr>
        <w:t>D</w:t>
      </w:r>
      <w:r w:rsidR="00CF3FE2">
        <w:rPr>
          <w:rFonts w:ascii="Verdana" w:hAnsi="Verdana" w:cs="Verdana"/>
          <w:b/>
          <w:bCs/>
          <w:sz w:val="24"/>
          <w:szCs w:val="24"/>
          <w:lang w:val="es-ES" w:eastAsia="es-ES"/>
        </w:rPr>
        <w:t>AJ</w:t>
      </w:r>
      <w:r>
        <w:rPr>
          <w:rFonts w:ascii="Verdana" w:hAnsi="Verdana" w:cs="Verdana"/>
          <w:b/>
          <w:bCs/>
          <w:sz w:val="24"/>
          <w:szCs w:val="24"/>
          <w:lang w:val="es-ES" w:eastAsia="es-ES"/>
        </w:rPr>
        <w:t xml:space="preserve">- 2017002696 de 31 de octubre de 2017, </w:t>
      </w:r>
      <w:r>
        <w:rPr>
          <w:rFonts w:ascii="Verdana" w:hAnsi="Verdana" w:cs="Verdana"/>
          <w:sz w:val="24"/>
          <w:szCs w:val="24"/>
          <w:lang w:val="es-ES" w:eastAsia="es-ES"/>
        </w:rPr>
        <w:t xml:space="preserve">de la Dirección de Asuntos Jurídicos y determina: </w:t>
      </w:r>
      <w:r>
        <w:rPr>
          <w:rFonts w:ascii="Verdana" w:hAnsi="Verdana" w:cs="Verdana"/>
          <w:i/>
          <w:iCs/>
          <w:sz w:val="24"/>
          <w:szCs w:val="24"/>
          <w:lang w:val="es-ES" w:eastAsia="es-ES"/>
        </w:rPr>
        <w:t xml:space="preserve">"2. Iniciar Procedimiento Administrativo de Cancelación para verificar la verdad real de los hechos, en relación a la cesión sin autorización por parte del Consejo de Transporte Público, del señor </w:t>
      </w:r>
      <w:r>
        <w:rPr>
          <w:rFonts w:ascii="Verdana" w:hAnsi="Verdana" w:cs="Verdana"/>
          <w:b/>
          <w:bCs/>
          <w:i/>
          <w:iCs/>
          <w:sz w:val="24"/>
          <w:szCs w:val="24"/>
          <w:lang w:val="es-ES" w:eastAsia="es-ES"/>
        </w:rPr>
        <w:t>J</w:t>
      </w:r>
      <w:r w:rsidR="00CF3FE2">
        <w:rPr>
          <w:rFonts w:ascii="Verdana" w:hAnsi="Verdana" w:cs="Verdana"/>
          <w:b/>
          <w:bCs/>
          <w:i/>
          <w:iCs/>
          <w:sz w:val="24"/>
          <w:szCs w:val="24"/>
          <w:lang w:val="es-ES" w:eastAsia="es-ES"/>
        </w:rPr>
        <w:t>.L.M.E.</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concesionario de la ruta </w:t>
      </w:r>
      <w:proofErr w:type="spellStart"/>
      <w:r>
        <w:rPr>
          <w:rFonts w:ascii="Verdana" w:hAnsi="Verdana" w:cs="Verdana"/>
          <w:i/>
          <w:iCs/>
          <w:sz w:val="24"/>
          <w:szCs w:val="24"/>
          <w:lang w:val="es-ES" w:eastAsia="es-ES"/>
        </w:rPr>
        <w:t>N°</w:t>
      </w:r>
      <w:proofErr w:type="spellEnd"/>
      <w:r>
        <w:rPr>
          <w:rFonts w:ascii="Verdana" w:hAnsi="Verdana" w:cs="Verdana"/>
          <w:i/>
          <w:iCs/>
          <w:sz w:val="24"/>
          <w:szCs w:val="24"/>
          <w:lang w:val="es-ES" w:eastAsia="es-ES"/>
        </w:rPr>
        <w:t xml:space="preserve"> 669, descrita como Buenos Aires </w:t>
      </w:r>
      <w:r>
        <w:rPr>
          <w:rFonts w:ascii="Verdana" w:hAnsi="Verdana" w:cs="Verdana"/>
          <w:i/>
          <w:iCs/>
          <w:sz w:val="24"/>
          <w:szCs w:val="24"/>
          <w:lang w:val="es-ES" w:eastAsia="es-ES"/>
        </w:rPr>
        <w:softHyphen/>
        <w:t xml:space="preserve">Brujo - Térraba - San Antonio- Bella Vista -Boruca -Chamba -Ojo de Agua -Maíz -Colina y viceversa, y la empresa Transportes Fátima S.A., concesionaria de la ruta </w:t>
      </w:r>
      <w:proofErr w:type="spellStart"/>
      <w:r>
        <w:rPr>
          <w:rFonts w:ascii="Verdana" w:hAnsi="Verdana" w:cs="Verdana"/>
          <w:i/>
          <w:iCs/>
          <w:sz w:val="24"/>
          <w:szCs w:val="24"/>
          <w:lang w:val="es-ES" w:eastAsia="es-ES"/>
        </w:rPr>
        <w:t>N°</w:t>
      </w:r>
      <w:proofErr w:type="spellEnd"/>
      <w:r>
        <w:rPr>
          <w:rFonts w:ascii="Verdana" w:hAnsi="Verdana" w:cs="Verdana"/>
          <w:i/>
          <w:iCs/>
          <w:sz w:val="24"/>
          <w:szCs w:val="24"/>
          <w:lang w:val="es-ES" w:eastAsia="es-ES"/>
        </w:rPr>
        <w:t xml:space="preserve"> 179, descrita como San isidro de El General </w:t>
      </w:r>
      <w:r>
        <w:rPr>
          <w:rFonts w:ascii="Verdana" w:hAnsi="Verdana" w:cs="Verdana"/>
          <w:i/>
          <w:iCs/>
          <w:sz w:val="24"/>
          <w:szCs w:val="24"/>
          <w:lang w:val="es-ES" w:eastAsia="es-ES"/>
        </w:rPr>
        <w:softHyphen/>
        <w:t>San Pedro -Tambor -San Rafael -La Guaria -Santiago -La Colonia -Zapotal -San Jerónimo y viceversa. Para los efectos del desarrollo del procedimiento se comisiona a la Dirección de Asuntos Jurídicos. 3.</w:t>
      </w:r>
      <w:r w:rsidR="00CF3FE2">
        <w:rPr>
          <w:rFonts w:ascii="Verdana" w:hAnsi="Verdana" w:cs="Verdana"/>
          <w:i/>
          <w:iCs/>
          <w:sz w:val="24"/>
          <w:szCs w:val="24"/>
          <w:lang w:val="es-ES" w:eastAsia="es-ES"/>
        </w:rPr>
        <w:t xml:space="preserve"> </w:t>
      </w:r>
      <w:r>
        <w:rPr>
          <w:rFonts w:ascii="Verdana" w:hAnsi="Verdana" w:cs="Verdana"/>
          <w:i/>
          <w:iCs/>
          <w:spacing w:val="-2"/>
          <w:sz w:val="24"/>
          <w:szCs w:val="24"/>
          <w:vertAlign w:val="superscript"/>
          <w:lang w:val="es-ES" w:eastAsia="es-ES"/>
        </w:rPr>
        <w:t>-</w:t>
      </w:r>
      <w:r>
        <w:rPr>
          <w:rFonts w:ascii="Verdana" w:hAnsi="Verdana" w:cs="Verdana"/>
          <w:i/>
          <w:iCs/>
          <w:spacing w:val="-2"/>
          <w:sz w:val="24"/>
          <w:szCs w:val="24"/>
          <w:lang w:val="es-ES" w:eastAsia="es-ES"/>
        </w:rPr>
        <w:t xml:space="preserve">Suspender el conocimiento de la solicitud de la cesión de las rutas </w:t>
      </w:r>
      <w:proofErr w:type="spellStart"/>
      <w:r>
        <w:rPr>
          <w:rFonts w:ascii="Verdana" w:hAnsi="Verdana" w:cs="Verdana"/>
          <w:i/>
          <w:iCs/>
          <w:spacing w:val="-2"/>
          <w:sz w:val="24"/>
          <w:szCs w:val="24"/>
          <w:lang w:val="es-ES" w:eastAsia="es-ES"/>
        </w:rPr>
        <w:t>N°</w:t>
      </w:r>
      <w:proofErr w:type="spellEnd"/>
      <w:r>
        <w:rPr>
          <w:rFonts w:ascii="Verdana" w:hAnsi="Verdana" w:cs="Verdana"/>
          <w:i/>
          <w:iCs/>
          <w:spacing w:val="-2"/>
          <w:sz w:val="24"/>
          <w:szCs w:val="24"/>
          <w:lang w:val="es-ES" w:eastAsia="es-ES"/>
        </w:rPr>
        <w:t xml:space="preserve"> 669 y .179 requerida por </w:t>
      </w:r>
      <w:proofErr w:type="spellStart"/>
      <w:r>
        <w:rPr>
          <w:rFonts w:ascii="Verdana" w:hAnsi="Verdana" w:cs="Verdana"/>
          <w:i/>
          <w:iCs/>
          <w:spacing w:val="-2"/>
          <w:sz w:val="24"/>
          <w:szCs w:val="24"/>
          <w:lang w:val="es-ES" w:eastAsia="es-ES"/>
        </w:rPr>
        <w:t>el</w:t>
      </w:r>
      <w:proofErr w:type="spellEnd"/>
      <w:r>
        <w:rPr>
          <w:rFonts w:ascii="Verdana" w:hAnsi="Verdana" w:cs="Verdana"/>
          <w:i/>
          <w:iCs/>
          <w:spacing w:val="-2"/>
          <w:sz w:val="24"/>
          <w:szCs w:val="24"/>
          <w:vertAlign w:val="superscript"/>
          <w:lang w:val="es-ES" w:eastAsia="es-ES"/>
        </w:rPr>
        <w:t>.</w:t>
      </w:r>
      <w:r>
        <w:rPr>
          <w:rFonts w:ascii="Verdana" w:hAnsi="Verdana" w:cs="Verdana"/>
          <w:i/>
          <w:iCs/>
          <w:spacing w:val="-2"/>
          <w:sz w:val="24"/>
          <w:szCs w:val="24"/>
          <w:lang w:val="es-ES" w:eastAsia="es-ES"/>
        </w:rPr>
        <w:t xml:space="preserve"> señor </w:t>
      </w:r>
      <w:r>
        <w:rPr>
          <w:rFonts w:ascii="Verdana" w:hAnsi="Verdana" w:cs="Verdana"/>
          <w:b/>
          <w:bCs/>
          <w:i/>
          <w:iCs/>
          <w:spacing w:val="-2"/>
          <w:sz w:val="24"/>
          <w:szCs w:val="24"/>
          <w:lang w:val="es-ES" w:eastAsia="es-ES"/>
        </w:rPr>
        <w:t>J</w:t>
      </w:r>
      <w:r w:rsidR="00CF3FE2">
        <w:rPr>
          <w:rFonts w:ascii="Verdana" w:hAnsi="Verdana" w:cs="Verdana"/>
          <w:b/>
          <w:bCs/>
          <w:i/>
          <w:iCs/>
          <w:spacing w:val="-2"/>
          <w:sz w:val="24"/>
          <w:szCs w:val="24"/>
          <w:lang w:val="es-ES" w:eastAsia="es-ES"/>
        </w:rPr>
        <w:t>.L.M.E.</w:t>
      </w:r>
      <w:r>
        <w:rPr>
          <w:rFonts w:ascii="Verdana" w:hAnsi="Verdana" w:cs="Verdana"/>
          <w:b/>
          <w:bCs/>
          <w:i/>
          <w:iCs/>
          <w:spacing w:val="-2"/>
          <w:sz w:val="24"/>
          <w:szCs w:val="24"/>
          <w:lang w:val="es-ES" w:eastAsia="es-ES"/>
        </w:rPr>
        <w:t xml:space="preserve"> </w:t>
      </w:r>
      <w:r>
        <w:rPr>
          <w:rFonts w:ascii="Verdana" w:hAnsi="Verdana" w:cs="Verdana"/>
          <w:i/>
          <w:iCs/>
          <w:spacing w:val="-2"/>
          <w:sz w:val="24"/>
          <w:szCs w:val="24"/>
          <w:lang w:val="es-ES" w:eastAsia="es-ES"/>
        </w:rPr>
        <w:t xml:space="preserve">y la empresa </w:t>
      </w:r>
      <w:r>
        <w:rPr>
          <w:rFonts w:ascii="Verdana" w:hAnsi="Verdana" w:cs="Verdana"/>
          <w:b/>
          <w:bCs/>
          <w:i/>
          <w:iCs/>
          <w:spacing w:val="-2"/>
          <w:sz w:val="24"/>
          <w:szCs w:val="24"/>
          <w:lang w:val="es-ES" w:eastAsia="es-ES"/>
        </w:rPr>
        <w:t>T</w:t>
      </w:r>
      <w:r w:rsidR="00CF3FE2">
        <w:rPr>
          <w:rFonts w:ascii="Verdana" w:hAnsi="Verdana" w:cs="Verdana"/>
          <w:b/>
          <w:bCs/>
          <w:i/>
          <w:iCs/>
          <w:spacing w:val="-2"/>
          <w:sz w:val="24"/>
          <w:szCs w:val="24"/>
          <w:lang w:val="es-ES" w:eastAsia="es-ES"/>
        </w:rPr>
        <w:t>.F.S.A.</w:t>
      </w:r>
      <w:r>
        <w:rPr>
          <w:rFonts w:ascii="Verdana" w:hAnsi="Verdana" w:cs="Verdana"/>
          <w:b/>
          <w:bCs/>
          <w:i/>
          <w:iCs/>
          <w:spacing w:val="-2"/>
          <w:sz w:val="24"/>
          <w:szCs w:val="24"/>
          <w:lang w:val="es-ES" w:eastAsia="es-ES"/>
        </w:rPr>
        <w:t xml:space="preserve">, </w:t>
      </w:r>
      <w:r>
        <w:rPr>
          <w:rFonts w:ascii="Verdana" w:hAnsi="Verdana" w:cs="Verdana"/>
          <w:i/>
          <w:iCs/>
          <w:spacing w:val="-2"/>
          <w:sz w:val="24"/>
          <w:szCs w:val="24"/>
          <w:lang w:val="es-ES" w:eastAsia="es-ES"/>
        </w:rPr>
        <w:t xml:space="preserve">en los expedientes </w:t>
      </w:r>
      <w:proofErr w:type="spellStart"/>
      <w:r>
        <w:rPr>
          <w:rFonts w:ascii="Verdana" w:hAnsi="Verdana" w:cs="Verdana"/>
          <w:i/>
          <w:iCs/>
          <w:spacing w:val="-2"/>
          <w:sz w:val="24"/>
          <w:szCs w:val="24"/>
          <w:lang w:val="es-ES" w:eastAsia="es-ES"/>
        </w:rPr>
        <w:t>N°</w:t>
      </w:r>
      <w:proofErr w:type="spellEnd"/>
      <w:r>
        <w:rPr>
          <w:rFonts w:ascii="Verdana" w:hAnsi="Verdana" w:cs="Verdana"/>
          <w:i/>
          <w:iCs/>
          <w:spacing w:val="-2"/>
          <w:sz w:val="24"/>
          <w:szCs w:val="24"/>
          <w:lang w:val="es-ES" w:eastAsia="es-ES"/>
        </w:rPr>
        <w:t xml:space="preserve"> 337479, 337480 y</w:t>
      </w:r>
    </w:p>
    <w:p w:rsidR="00354EF6" w:rsidRDefault="00354EF6">
      <w:pPr>
        <w:widowControl/>
        <w:rPr>
          <w:sz w:val="24"/>
          <w:szCs w:val="24"/>
        </w:rPr>
        <w:sectPr w:rsidR="00354EF6">
          <w:pgSz w:w="12288" w:h="15763"/>
          <w:pgMar w:top="1760" w:right="1488" w:bottom="211" w:left="1680" w:header="720" w:footer="720" w:gutter="0"/>
          <w:cols w:space="720"/>
          <w:noEndnote/>
        </w:sectPr>
      </w:pPr>
    </w:p>
    <w:p w:rsidR="00354EF6" w:rsidRDefault="00354EF6">
      <w:pPr>
        <w:widowControl/>
        <w:rPr>
          <w:sz w:val="24"/>
          <w:szCs w:val="24"/>
        </w:rPr>
        <w:sectPr w:rsidR="00354EF6">
          <w:type w:val="continuous"/>
          <w:pgSz w:w="12288" w:h="15763"/>
          <w:pgMar w:top="1760" w:right="1591" w:bottom="211" w:left="8117" w:header="720" w:footer="720" w:gutter="0"/>
          <w:cols w:space="720"/>
          <w:noEndnote/>
        </w:sectPr>
      </w:pPr>
    </w:p>
    <w:p w:rsidR="00354EF6" w:rsidRDefault="0069745F">
      <w:pPr>
        <w:kinsoku w:val="0"/>
        <w:overflowPunct w:val="0"/>
        <w:autoSpaceDE/>
        <w:autoSpaceDN/>
        <w:adjustRightInd/>
        <w:spacing w:before="57" w:line="278" w:lineRule="exact"/>
        <w:ind w:left="144" w:right="144"/>
        <w:jc w:val="both"/>
        <w:textAlignment w:val="baseline"/>
        <w:rPr>
          <w:rFonts w:ascii="Verdana" w:hAnsi="Verdana" w:cs="Verdana"/>
          <w:sz w:val="24"/>
          <w:szCs w:val="24"/>
          <w:lang w:val="es-ES" w:eastAsia="es-ES"/>
        </w:rPr>
      </w:pPr>
      <w:r>
        <w:rPr>
          <w:rFonts w:ascii="Verdana" w:hAnsi="Verdana" w:cs="Verdana"/>
          <w:i/>
          <w:iCs/>
          <w:sz w:val="24"/>
          <w:szCs w:val="24"/>
          <w:lang w:val="es-ES" w:eastAsia="es-ES"/>
        </w:rPr>
        <w:lastRenderedPageBreak/>
        <w:t xml:space="preserve">337481 a favor de la empresa </w:t>
      </w:r>
      <w:r>
        <w:rPr>
          <w:rFonts w:ascii="Verdana" w:hAnsi="Verdana" w:cs="Verdana"/>
          <w:b/>
          <w:bCs/>
          <w:i/>
          <w:iCs/>
          <w:sz w:val="24"/>
          <w:szCs w:val="24"/>
          <w:lang w:val="es-ES" w:eastAsia="es-ES"/>
        </w:rPr>
        <w:t>G</w:t>
      </w:r>
      <w:r w:rsidR="00CF3FE2">
        <w:rPr>
          <w:rFonts w:ascii="Verdana" w:hAnsi="Verdana" w:cs="Verdana"/>
          <w:b/>
          <w:bCs/>
          <w:i/>
          <w:iCs/>
          <w:sz w:val="24"/>
          <w:szCs w:val="24"/>
          <w:lang w:val="es-ES" w:eastAsia="es-ES"/>
        </w:rPr>
        <w:t xml:space="preserve">.S.A. </w:t>
      </w:r>
      <w:r>
        <w:rPr>
          <w:rFonts w:ascii="Verdana" w:hAnsi="Verdana" w:cs="Verdana"/>
          <w:b/>
          <w:bCs/>
          <w:i/>
          <w:iCs/>
          <w:sz w:val="24"/>
          <w:szCs w:val="24"/>
          <w:lang w:val="es-ES" w:eastAsia="es-ES"/>
        </w:rPr>
        <w:t xml:space="preserve">" </w:t>
      </w:r>
      <w:r>
        <w:rPr>
          <w:rFonts w:ascii="Verdana" w:hAnsi="Verdana" w:cs="Verdana"/>
          <w:sz w:val="24"/>
          <w:szCs w:val="24"/>
          <w:lang w:val="es-ES" w:eastAsia="es-ES"/>
        </w:rPr>
        <w:t>(Léanse folios del 22 al 25 del expediente administrativo)</w:t>
      </w:r>
    </w:p>
    <w:p w:rsidR="00354EF6" w:rsidRDefault="0069745F">
      <w:pPr>
        <w:kinsoku w:val="0"/>
        <w:overflowPunct w:val="0"/>
        <w:autoSpaceDE/>
        <w:autoSpaceDN/>
        <w:adjustRightInd/>
        <w:spacing w:before="307" w:line="290"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SEGUNDO: La empresa T</w:t>
      </w:r>
      <w:r w:rsidR="00CF3FE2">
        <w:rPr>
          <w:rFonts w:ascii="Verdana" w:hAnsi="Verdana" w:cs="Verdana"/>
          <w:b/>
          <w:bCs/>
          <w:sz w:val="24"/>
          <w:szCs w:val="24"/>
          <w:lang w:val="es-ES" w:eastAsia="es-ES"/>
        </w:rPr>
        <w:t>.F.S.A.</w:t>
      </w:r>
      <w:r>
        <w:rPr>
          <w:rFonts w:ascii="Verdana" w:hAnsi="Verdana" w:cs="Verdana"/>
          <w:b/>
          <w:bCs/>
          <w:sz w:val="24"/>
          <w:szCs w:val="24"/>
          <w:lang w:val="es-ES" w:eastAsia="es-ES"/>
        </w:rPr>
        <w:t xml:space="preserve"> cédula Jurídica </w:t>
      </w:r>
      <w:r w:rsidR="00CF3FE2">
        <w:rPr>
          <w:rFonts w:ascii="Verdana" w:hAnsi="Verdana" w:cs="Verdana"/>
          <w:b/>
          <w:bCs/>
          <w:sz w:val="24"/>
          <w:szCs w:val="24"/>
          <w:lang w:val="es-ES" w:eastAsia="es-ES"/>
        </w:rPr>
        <w:t>…</w:t>
      </w:r>
      <w:r>
        <w:rPr>
          <w:rFonts w:ascii="Verdana" w:hAnsi="Verdana" w:cs="Verdana"/>
          <w:b/>
          <w:bCs/>
          <w:sz w:val="24"/>
          <w:szCs w:val="24"/>
          <w:lang w:val="es-ES" w:eastAsia="es-ES"/>
        </w:rPr>
        <w:t>, representada por G</w:t>
      </w:r>
      <w:r w:rsidR="00CF3FE2">
        <w:rPr>
          <w:rFonts w:ascii="Verdana" w:hAnsi="Verdana" w:cs="Verdana"/>
          <w:b/>
          <w:bCs/>
          <w:sz w:val="24"/>
          <w:szCs w:val="24"/>
          <w:lang w:val="es-ES" w:eastAsia="es-ES"/>
        </w:rPr>
        <w:t>.F.S.</w:t>
      </w:r>
      <w:r>
        <w:rPr>
          <w:rFonts w:ascii="Verdana" w:hAnsi="Verdana" w:cs="Verdana"/>
          <w:b/>
          <w:bCs/>
          <w:sz w:val="24"/>
          <w:szCs w:val="24"/>
          <w:lang w:val="es-ES" w:eastAsia="es-ES"/>
        </w:rPr>
        <w:t xml:space="preserve">, cédula de identidad número </w:t>
      </w:r>
      <w:r w:rsidR="00CF3FE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Apoderado Generalísimo sin límite de suma y el señor </w:t>
      </w:r>
      <w:r>
        <w:rPr>
          <w:rFonts w:ascii="Verdana" w:hAnsi="Verdana" w:cs="Verdana"/>
          <w:b/>
          <w:bCs/>
          <w:sz w:val="24"/>
          <w:szCs w:val="24"/>
          <w:lang w:val="es-ES" w:eastAsia="es-ES"/>
        </w:rPr>
        <w:t>J</w:t>
      </w:r>
      <w:r w:rsidR="00CF3FE2">
        <w:rPr>
          <w:rFonts w:ascii="Verdana" w:hAnsi="Verdana" w:cs="Verdana"/>
          <w:b/>
          <w:bCs/>
          <w:sz w:val="24"/>
          <w:szCs w:val="24"/>
          <w:lang w:val="es-ES" w:eastAsia="es-ES"/>
        </w:rPr>
        <w:t>.L.M.E.</w:t>
      </w:r>
      <w:r>
        <w:rPr>
          <w:rFonts w:ascii="Verdana" w:hAnsi="Verdana" w:cs="Verdana"/>
          <w:b/>
          <w:bCs/>
          <w:sz w:val="24"/>
          <w:szCs w:val="24"/>
          <w:lang w:val="es-ES" w:eastAsia="es-ES"/>
        </w:rPr>
        <w:t xml:space="preserve"> cédula de identidad número </w:t>
      </w:r>
      <w:r w:rsidR="00CF3FE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concesionario de la </w:t>
      </w:r>
      <w:r>
        <w:rPr>
          <w:rFonts w:ascii="Verdana" w:hAnsi="Verdana" w:cs="Verdana"/>
          <w:b/>
          <w:bCs/>
          <w:sz w:val="24"/>
          <w:szCs w:val="24"/>
          <w:lang w:val="es-ES" w:eastAsia="es-ES"/>
        </w:rPr>
        <w:t xml:space="preserve">Ruta </w:t>
      </w:r>
      <w:proofErr w:type="spellStart"/>
      <w:r>
        <w:rPr>
          <w:rFonts w:ascii="Verdana" w:hAnsi="Verdana" w:cs="Verdana"/>
          <w:b/>
          <w:bCs/>
          <w:sz w:val="24"/>
          <w:szCs w:val="24"/>
          <w:lang w:val="es-ES" w:eastAsia="es-ES"/>
        </w:rPr>
        <w:t>N°</w:t>
      </w:r>
      <w:proofErr w:type="spellEnd"/>
      <w:r>
        <w:rPr>
          <w:rFonts w:ascii="Verdana" w:hAnsi="Verdana" w:cs="Verdana"/>
          <w:b/>
          <w:bCs/>
          <w:sz w:val="24"/>
          <w:szCs w:val="24"/>
          <w:lang w:val="es-ES" w:eastAsia="es-ES"/>
        </w:rPr>
        <w:t xml:space="preserve"> 669, </w:t>
      </w:r>
      <w:r>
        <w:rPr>
          <w:rFonts w:ascii="Verdana" w:hAnsi="Verdana" w:cs="Verdana"/>
          <w:sz w:val="24"/>
          <w:szCs w:val="24"/>
          <w:lang w:val="es-ES" w:eastAsia="es-ES"/>
        </w:rPr>
        <w:t xml:space="preserve">presentan recurso </w:t>
      </w:r>
      <w:r>
        <w:rPr>
          <w:rFonts w:ascii="Verdana" w:hAnsi="Verdana" w:cs="Verdana"/>
          <w:b/>
          <w:bCs/>
          <w:sz w:val="24"/>
          <w:szCs w:val="24"/>
          <w:lang w:val="es-ES" w:eastAsia="es-ES"/>
        </w:rPr>
        <w:t xml:space="preserve">contra el artículo 7.9 de la Sesión Ordinaria 44-2017 de 15 de noviembre de 2017, </w:t>
      </w:r>
      <w:r>
        <w:rPr>
          <w:rFonts w:ascii="Verdana" w:hAnsi="Verdana" w:cs="Verdana"/>
          <w:sz w:val="24"/>
          <w:szCs w:val="24"/>
          <w:lang w:val="es-ES" w:eastAsia="es-ES"/>
        </w:rPr>
        <w:t>adoptado por La Junta Directiva del Consejo de Transporte Público, por considerar que su actuación se enmarco dentro de lo dispuesto por la Ley y por ende no se ha transgredido la autoridad del CTP, solicitando se revoque el acto. (Léanse folios del 7 vuelto al 13 del expediente administrativo)</w:t>
      </w:r>
    </w:p>
    <w:p w:rsidR="00354EF6" w:rsidRDefault="0069745F">
      <w:pPr>
        <w:kinsoku w:val="0"/>
        <w:overflowPunct w:val="0"/>
        <w:autoSpaceDE/>
        <w:autoSpaceDN/>
        <w:adjustRightInd/>
        <w:spacing w:before="298" w:line="292"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7.11 de la Sesión Ordinaria 12-2018 de 4 de abril de 2018, </w:t>
      </w:r>
      <w:r>
        <w:rPr>
          <w:rFonts w:ascii="Verdana" w:hAnsi="Verdana" w:cs="Verdana"/>
          <w:sz w:val="24"/>
          <w:szCs w:val="24"/>
          <w:lang w:val="es-ES" w:eastAsia="es-ES"/>
        </w:rPr>
        <w:t xml:space="preserve">conoce el informe de la Dirección de Asuntos Jurídicos </w:t>
      </w:r>
      <w:r>
        <w:rPr>
          <w:rFonts w:ascii="Verdana" w:hAnsi="Verdana" w:cs="Verdana"/>
          <w:b/>
          <w:bCs/>
          <w:sz w:val="24"/>
          <w:szCs w:val="24"/>
          <w:lang w:val="es-ES" w:eastAsia="es-ES"/>
        </w:rPr>
        <w:t xml:space="preserve">DAJ-2018-00516 de 22 de marzo de 2018 </w:t>
      </w:r>
      <w:r>
        <w:rPr>
          <w:rFonts w:ascii="Verdana" w:hAnsi="Verdana" w:cs="Verdana"/>
          <w:sz w:val="24"/>
          <w:szCs w:val="24"/>
          <w:lang w:val="es-ES" w:eastAsia="es-ES"/>
        </w:rPr>
        <w:t>lo avala y acuerda rechazar el recurso de Revocatoria presentado, por ser improcedente. (Léanse folios del 2 al 6 del expediente administrativo)</w:t>
      </w:r>
    </w:p>
    <w:p w:rsidR="00354EF6" w:rsidRDefault="0069745F">
      <w:pPr>
        <w:kinsoku w:val="0"/>
        <w:overflowPunct w:val="0"/>
        <w:autoSpaceDE/>
        <w:autoSpaceDN/>
        <w:adjustRightInd/>
        <w:spacing w:before="289" w:line="292"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354EF6" w:rsidRDefault="0069745F">
      <w:pPr>
        <w:kinsoku w:val="0"/>
        <w:overflowPunct w:val="0"/>
        <w:autoSpaceDE/>
        <w:autoSpaceDN/>
        <w:adjustRightInd/>
        <w:spacing w:before="289" w:line="292" w:lineRule="exact"/>
        <w:ind w:left="144"/>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Redacta el Juez Muñoz Corea; y,</w:t>
      </w:r>
    </w:p>
    <w:p w:rsidR="00354EF6" w:rsidRDefault="0069745F">
      <w:pPr>
        <w:kinsoku w:val="0"/>
        <w:overflowPunct w:val="0"/>
        <w:autoSpaceDE/>
        <w:autoSpaceDN/>
        <w:adjustRightInd/>
        <w:spacing w:before="574" w:line="287"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ÚNICO</w:t>
      </w:r>
    </w:p>
    <w:p w:rsidR="00354EF6" w:rsidRDefault="0069745F">
      <w:pPr>
        <w:kinsoku w:val="0"/>
        <w:overflowPunct w:val="0"/>
        <w:autoSpaceDE/>
        <w:autoSpaceDN/>
        <w:adjustRightInd/>
        <w:spacing w:before="610" w:line="291" w:lineRule="exact"/>
        <w:ind w:left="144" w:right="144"/>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El recurso planteado por </w:t>
      </w:r>
      <w:r>
        <w:rPr>
          <w:rFonts w:ascii="Verdana" w:hAnsi="Verdana" w:cs="Verdana"/>
          <w:b/>
          <w:bCs/>
          <w:spacing w:val="-3"/>
          <w:sz w:val="24"/>
          <w:szCs w:val="24"/>
          <w:lang w:val="es-ES" w:eastAsia="es-ES"/>
        </w:rPr>
        <w:t>La empresa T</w:t>
      </w:r>
      <w:r w:rsidR="00CF3FE2">
        <w:rPr>
          <w:rFonts w:ascii="Verdana" w:hAnsi="Verdana" w:cs="Verdana"/>
          <w:b/>
          <w:bCs/>
          <w:spacing w:val="-3"/>
          <w:sz w:val="24"/>
          <w:szCs w:val="24"/>
          <w:lang w:val="es-ES" w:eastAsia="es-ES"/>
        </w:rPr>
        <w:t>.F.S.A.</w:t>
      </w:r>
      <w:r>
        <w:rPr>
          <w:rFonts w:ascii="Verdana" w:hAnsi="Verdana" w:cs="Verdana"/>
          <w:b/>
          <w:bCs/>
          <w:spacing w:val="-3"/>
          <w:sz w:val="24"/>
          <w:szCs w:val="24"/>
          <w:lang w:val="es-ES" w:eastAsia="es-ES"/>
        </w:rPr>
        <w:t xml:space="preserve"> cédula Jurídica </w:t>
      </w:r>
      <w:r w:rsidR="00CF3FE2">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representada por G</w:t>
      </w:r>
      <w:r w:rsidR="00CF3FE2">
        <w:rPr>
          <w:rFonts w:ascii="Verdana" w:hAnsi="Verdana" w:cs="Verdana"/>
          <w:b/>
          <w:bCs/>
          <w:spacing w:val="-3"/>
          <w:sz w:val="24"/>
          <w:szCs w:val="24"/>
          <w:lang w:val="es-ES" w:eastAsia="es-ES"/>
        </w:rPr>
        <w:t>.F.S.</w:t>
      </w:r>
      <w:r>
        <w:rPr>
          <w:rFonts w:ascii="Verdana" w:hAnsi="Verdana" w:cs="Verdana"/>
          <w:b/>
          <w:bCs/>
          <w:spacing w:val="-3"/>
          <w:sz w:val="24"/>
          <w:szCs w:val="24"/>
          <w:lang w:val="es-ES" w:eastAsia="es-ES"/>
        </w:rPr>
        <w:t xml:space="preserve">, cédula de identidad número </w:t>
      </w:r>
      <w:r w:rsidR="00CF3FE2">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en su condición de Apoderado Generalísimo sin límite de suma y el señor </w:t>
      </w:r>
      <w:r>
        <w:rPr>
          <w:rFonts w:ascii="Verdana" w:hAnsi="Verdana" w:cs="Verdana"/>
          <w:b/>
          <w:bCs/>
          <w:spacing w:val="-3"/>
          <w:sz w:val="24"/>
          <w:szCs w:val="24"/>
          <w:lang w:val="es-ES" w:eastAsia="es-ES"/>
        </w:rPr>
        <w:t>J</w:t>
      </w:r>
      <w:r w:rsidR="00CF3FE2">
        <w:rPr>
          <w:rFonts w:ascii="Verdana" w:hAnsi="Verdana" w:cs="Verdana"/>
          <w:b/>
          <w:bCs/>
          <w:spacing w:val="-3"/>
          <w:sz w:val="24"/>
          <w:szCs w:val="24"/>
          <w:lang w:val="es-ES" w:eastAsia="es-ES"/>
        </w:rPr>
        <w:t>.L.M.E.</w:t>
      </w:r>
      <w:r>
        <w:rPr>
          <w:rFonts w:ascii="Verdana" w:hAnsi="Verdana" w:cs="Verdana"/>
          <w:b/>
          <w:bCs/>
          <w:spacing w:val="-3"/>
          <w:sz w:val="24"/>
          <w:szCs w:val="24"/>
          <w:lang w:val="es-ES" w:eastAsia="es-ES"/>
        </w:rPr>
        <w:t xml:space="preserve">, cédula de identidad número </w:t>
      </w:r>
      <w:r w:rsidR="00CF3FE2">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en su condición de concesionario de la </w:t>
      </w:r>
      <w:r>
        <w:rPr>
          <w:rFonts w:ascii="Verdana" w:hAnsi="Verdana" w:cs="Verdana"/>
          <w:b/>
          <w:bCs/>
          <w:spacing w:val="-3"/>
          <w:sz w:val="24"/>
          <w:szCs w:val="24"/>
          <w:lang w:val="es-ES" w:eastAsia="es-ES"/>
        </w:rPr>
        <w:t xml:space="preserve">Ruta </w:t>
      </w:r>
      <w:proofErr w:type="spellStart"/>
      <w:r>
        <w:rPr>
          <w:rFonts w:ascii="Verdana" w:hAnsi="Verdana" w:cs="Verdana"/>
          <w:b/>
          <w:bCs/>
          <w:spacing w:val="-3"/>
          <w:sz w:val="24"/>
          <w:szCs w:val="24"/>
          <w:lang w:val="es-ES" w:eastAsia="es-ES"/>
        </w:rPr>
        <w:t>N°</w:t>
      </w:r>
      <w:proofErr w:type="spellEnd"/>
      <w:r>
        <w:rPr>
          <w:rFonts w:ascii="Verdana" w:hAnsi="Verdana" w:cs="Verdana"/>
          <w:b/>
          <w:bCs/>
          <w:spacing w:val="-3"/>
          <w:sz w:val="24"/>
          <w:szCs w:val="24"/>
          <w:lang w:val="es-ES" w:eastAsia="es-ES"/>
        </w:rPr>
        <w:t xml:space="preserve"> 669, contra el artículo 7.9 de la Sesión Ordinaria 44-2017 de 15 de noviembre de 2017, </w:t>
      </w:r>
      <w:r>
        <w:rPr>
          <w:rFonts w:ascii="Verdana" w:hAnsi="Verdana" w:cs="Verdana"/>
          <w:spacing w:val="-3"/>
          <w:sz w:val="24"/>
          <w:szCs w:val="24"/>
          <w:lang w:val="es-ES" w:eastAsia="es-ES"/>
        </w:rPr>
        <w:t>adoptado por La Junta Directiva del Consejo de Transporte Público, es improcedente y así debe de ser declarado.</w:t>
      </w:r>
    </w:p>
    <w:p w:rsidR="00354EF6" w:rsidRDefault="0069745F">
      <w:pPr>
        <w:kinsoku w:val="0"/>
        <w:overflowPunct w:val="0"/>
        <w:autoSpaceDE/>
        <w:autoSpaceDN/>
        <w:adjustRightInd/>
        <w:spacing w:before="284" w:after="658" w:line="292"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Este Tribunal Administrativo de Transporte, ha podido verificar, que el acuerdo recurrido, lo que dispone es iniciar un procedimiento</w:t>
      </w:r>
    </w:p>
    <w:p w:rsidR="00354EF6" w:rsidRDefault="00354EF6">
      <w:pPr>
        <w:widowControl/>
        <w:rPr>
          <w:sz w:val="24"/>
          <w:szCs w:val="24"/>
        </w:rPr>
        <w:sectPr w:rsidR="00354EF6">
          <w:pgSz w:w="12288" w:h="15763"/>
          <w:pgMar w:top="1240" w:right="1577" w:bottom="367" w:left="1591" w:header="720" w:footer="720" w:gutter="0"/>
          <w:cols w:space="720"/>
          <w:noEndnote/>
        </w:sectPr>
      </w:pPr>
    </w:p>
    <w:p w:rsidR="00354EF6" w:rsidRDefault="00354EF6">
      <w:pPr>
        <w:widowControl/>
        <w:rPr>
          <w:sz w:val="24"/>
          <w:szCs w:val="24"/>
        </w:rPr>
        <w:sectPr w:rsidR="00354EF6">
          <w:type w:val="continuous"/>
          <w:pgSz w:w="12288" w:h="15763"/>
          <w:pgMar w:top="1240" w:right="1667" w:bottom="367" w:left="8021" w:header="720" w:footer="720" w:gutter="0"/>
          <w:cols w:space="720"/>
          <w:noEndnote/>
        </w:sectPr>
      </w:pPr>
    </w:p>
    <w:p w:rsidR="00354EF6" w:rsidRDefault="0069745F">
      <w:pPr>
        <w:kinsoku w:val="0"/>
        <w:overflowPunct w:val="0"/>
        <w:autoSpaceDE/>
        <w:autoSpaceDN/>
        <w:adjustRightInd/>
        <w:spacing w:before="19" w:line="291" w:lineRule="exact"/>
        <w:ind w:left="144"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lastRenderedPageBreak/>
        <w:t xml:space="preserve">administrativo para averiguar la verdad real de los hechos respecto de una posible cesión previa sin autorización de la Administración de las </w:t>
      </w:r>
      <w:r>
        <w:rPr>
          <w:rFonts w:ascii="Tahoma" w:hAnsi="Tahoma" w:cs="Tahoma"/>
          <w:b/>
          <w:bCs/>
          <w:spacing w:val="8"/>
          <w:sz w:val="25"/>
          <w:szCs w:val="25"/>
          <w:lang w:val="es-ES" w:eastAsia="es-ES"/>
        </w:rPr>
        <w:t>rutas Nos. 669 y 179 a favor de la empresa G</w:t>
      </w:r>
      <w:r w:rsidR="00CF3FE2">
        <w:rPr>
          <w:rFonts w:ascii="Tahoma" w:hAnsi="Tahoma" w:cs="Tahoma"/>
          <w:b/>
          <w:bCs/>
          <w:spacing w:val="8"/>
          <w:sz w:val="25"/>
          <w:szCs w:val="25"/>
          <w:lang w:val="es-ES" w:eastAsia="es-ES"/>
        </w:rPr>
        <w:t>.S.A.</w:t>
      </w:r>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lo que a toda luz constituye un acto Administrativo de Mero Trámite que no afecta a los recurrentes en su esfera personal en cuanto a los intereses o Derechos Legítimos en este momento; pues lo que dispone es el inicio de un procedimiento administrativo, que procure la verificación de la verdad real de los hechos y en cuyo desarrollo los recurrentes tendrán la oportunidad de aportar las pruebas necesarias que sustenten sus argumentos y será el órgano director del procedimiento quien en la búsqueda de aquella verdad determine mediante su conclusión final, si se ha presentado o no alguna anomalía; es precisamente el procedimiento el medio idóneo para la protección de los derechos de los administrados y el ejercicio de la Defensa Real.</w:t>
      </w:r>
    </w:p>
    <w:p w:rsidR="00354EF6" w:rsidRDefault="0069745F">
      <w:pPr>
        <w:kinsoku w:val="0"/>
        <w:overflowPunct w:val="0"/>
        <w:autoSpaceDE/>
        <w:autoSpaceDN/>
        <w:adjustRightInd/>
        <w:spacing w:before="872" w:line="291" w:lineRule="exact"/>
        <w:ind w:left="144"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rFonts w:ascii="Tahoma" w:hAnsi="Tahoma" w:cs="Tahoma"/>
          <w:spacing w:val="8"/>
          <w:sz w:val="25"/>
          <w:szCs w:val="25"/>
          <w:u w:val="single"/>
          <w:lang w:val="es-ES" w:eastAsia="es-ES"/>
        </w:rPr>
        <w:t>(Diccionario de Derecho Público,</w:t>
      </w:r>
      <w:r>
        <w:rPr>
          <w:rFonts w:ascii="Tahoma" w:hAnsi="Tahoma" w:cs="Tahoma"/>
          <w:spacing w:val="8"/>
          <w:sz w:val="25"/>
          <w:szCs w:val="25"/>
          <w:lang w:val="es-ES" w:eastAsia="es-ES"/>
        </w:rPr>
        <w:t xml:space="preserve"> Editorial Astrea de Alfredo y Ricardo </w:t>
      </w:r>
      <w:proofErr w:type="spellStart"/>
      <w:r>
        <w:rPr>
          <w:rFonts w:ascii="Tahoma" w:hAnsi="Tahoma" w:cs="Tahoma"/>
          <w:spacing w:val="8"/>
          <w:sz w:val="25"/>
          <w:szCs w:val="25"/>
          <w:lang w:val="es-ES" w:eastAsia="es-ES"/>
        </w:rPr>
        <w:t>Depalma</w:t>
      </w:r>
      <w:proofErr w:type="spellEnd"/>
      <w:r>
        <w:rPr>
          <w:rFonts w:ascii="Tahoma" w:hAnsi="Tahoma" w:cs="Tahoma"/>
          <w:spacing w:val="8"/>
          <w:sz w:val="25"/>
          <w:szCs w:val="25"/>
          <w:lang w:val="es-ES" w:eastAsia="es-ES"/>
        </w:rPr>
        <w:t>, Buenos Aires, 1981, Pág.23)</w:t>
      </w:r>
    </w:p>
    <w:p w:rsidR="00354EF6" w:rsidRDefault="0069745F">
      <w:pPr>
        <w:kinsoku w:val="0"/>
        <w:overflowPunct w:val="0"/>
        <w:autoSpaceDE/>
        <w:autoSpaceDN/>
        <w:adjustRightInd/>
        <w:spacing w:before="851" w:line="284" w:lineRule="exact"/>
        <w:ind w:left="144"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El </w:t>
      </w:r>
      <w:r>
        <w:rPr>
          <w:rFonts w:ascii="Tahoma" w:hAnsi="Tahoma" w:cs="Tahoma"/>
          <w:b/>
          <w:bCs/>
          <w:spacing w:val="10"/>
          <w:sz w:val="25"/>
          <w:szCs w:val="25"/>
          <w:lang w:val="es-ES" w:eastAsia="es-ES"/>
        </w:rPr>
        <w:t xml:space="preserve">Tribunal Contencioso Administrativo, Sección IV, </w:t>
      </w:r>
      <w:r>
        <w:rPr>
          <w:rFonts w:ascii="Tahoma" w:hAnsi="Tahoma" w:cs="Tahoma"/>
          <w:spacing w:val="10"/>
          <w:sz w:val="25"/>
          <w:szCs w:val="25"/>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354EF6" w:rsidRDefault="0069745F">
      <w:pPr>
        <w:kinsoku w:val="0"/>
        <w:overflowPunct w:val="0"/>
        <w:autoSpaceDE/>
        <w:autoSpaceDN/>
        <w:adjustRightInd/>
        <w:spacing w:before="841" w:after="600" w:line="244" w:lineRule="exact"/>
        <w:ind w:left="648" w:right="720"/>
        <w:jc w:val="both"/>
        <w:textAlignment w:val="baseline"/>
        <w:rPr>
          <w:rFonts w:ascii="Tahoma" w:hAnsi="Tahoma" w:cs="Tahoma"/>
          <w:spacing w:val="10"/>
          <w:sz w:val="21"/>
          <w:szCs w:val="21"/>
          <w:lang w:val="es-ES" w:eastAsia="es-ES"/>
        </w:rPr>
      </w:pPr>
      <w:r>
        <w:rPr>
          <w:rFonts w:ascii="Tahoma" w:hAnsi="Tahoma" w:cs="Tahoma"/>
          <w:b/>
          <w:bCs/>
          <w:spacing w:val="10"/>
          <w:sz w:val="21"/>
          <w:szCs w:val="21"/>
          <w:lang w:val="es-ES" w:eastAsia="es-ES"/>
        </w:rPr>
        <w:t xml:space="preserve">"El </w:t>
      </w:r>
      <w:r>
        <w:rPr>
          <w:rFonts w:ascii="Tahoma" w:hAnsi="Tahoma" w:cs="Tahoma"/>
          <w:spacing w:val="10"/>
          <w:sz w:val="21"/>
          <w:szCs w:val="21"/>
          <w:lang w:val="es-ES" w:eastAsia="es-ES"/>
        </w:rPr>
        <w:t xml:space="preserve">representante del codemandado G.S.M. a, alega que constituye un </w:t>
      </w:r>
      <w:r>
        <w:rPr>
          <w:rFonts w:ascii="Tahoma" w:hAnsi="Tahoma" w:cs="Tahoma"/>
          <w:b/>
          <w:bCs/>
          <w:spacing w:val="10"/>
          <w:sz w:val="21"/>
          <w:szCs w:val="21"/>
          <w:lang w:val="es-ES" w:eastAsia="es-ES"/>
        </w:rPr>
        <w:t xml:space="preserve">acto </w:t>
      </w:r>
      <w:r>
        <w:rPr>
          <w:rFonts w:ascii="Tahoma" w:hAnsi="Tahoma" w:cs="Tahoma"/>
          <w:spacing w:val="10"/>
          <w:sz w:val="21"/>
          <w:szCs w:val="21"/>
          <w:lang w:val="es-ES" w:eastAsia="es-ES"/>
        </w:rPr>
        <w:t>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w:t>
      </w:r>
    </w:p>
    <w:p w:rsidR="00354EF6" w:rsidRDefault="00354EF6">
      <w:pPr>
        <w:widowControl/>
        <w:rPr>
          <w:sz w:val="24"/>
          <w:szCs w:val="24"/>
        </w:rPr>
        <w:sectPr w:rsidR="00354EF6">
          <w:pgSz w:w="12288" w:h="15763"/>
          <w:pgMar w:top="1480" w:right="1464" w:bottom="211" w:left="1704" w:header="720" w:footer="720" w:gutter="0"/>
          <w:cols w:space="720"/>
          <w:noEndnote/>
        </w:sectPr>
      </w:pPr>
    </w:p>
    <w:p w:rsidR="00354EF6" w:rsidRDefault="00354EF6">
      <w:pPr>
        <w:widowControl/>
        <w:rPr>
          <w:sz w:val="24"/>
          <w:szCs w:val="24"/>
        </w:rPr>
        <w:sectPr w:rsidR="00354EF6">
          <w:type w:val="continuous"/>
          <w:pgSz w:w="12288" w:h="15763"/>
          <w:pgMar w:top="1480" w:right="1621" w:bottom="211" w:left="8067" w:header="720" w:footer="720" w:gutter="0"/>
          <w:cols w:space="720"/>
          <w:noEndnote/>
        </w:sectPr>
      </w:pPr>
    </w:p>
    <w:p w:rsidR="00354EF6" w:rsidRDefault="0069745F">
      <w:pPr>
        <w:kinsoku w:val="0"/>
        <w:overflowPunct w:val="0"/>
        <w:autoSpaceDE/>
        <w:autoSpaceDN/>
        <w:adjustRightInd/>
        <w:spacing w:before="52" w:line="238" w:lineRule="exact"/>
        <w:ind w:left="648" w:right="720"/>
        <w:jc w:val="both"/>
        <w:textAlignment w:val="baseline"/>
        <w:rPr>
          <w:rFonts w:ascii="Verdana" w:hAnsi="Verdana" w:cs="Verdana"/>
          <w:lang w:val="es-ES" w:eastAsia="es-ES"/>
        </w:rPr>
      </w:pPr>
      <w:r>
        <w:rPr>
          <w:rFonts w:ascii="Verdana" w:hAnsi="Verdana" w:cs="Verdana"/>
          <w:b/>
          <w:bCs/>
          <w:lang w:val="es-ES" w:eastAsia="es-ES"/>
        </w:rPr>
        <w:lastRenderedPageBreak/>
        <w:t xml:space="preserve">un acto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sin que cause por sí mismo, un efecto propio. Respecto a los </w:t>
      </w:r>
      <w:r>
        <w:rPr>
          <w:rFonts w:ascii="Verdana" w:hAnsi="Verdana" w:cs="Verdana"/>
          <w:b/>
          <w:bCs/>
          <w:lang w:val="es-ES" w:eastAsia="es-ES"/>
        </w:rPr>
        <w:t xml:space="preserve">actos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el Tribunal de Casación de lo Contencioso </w:t>
      </w:r>
      <w:r>
        <w:rPr>
          <w:rFonts w:ascii="Verdana" w:hAnsi="Verdana" w:cs="Verdana"/>
          <w:b/>
          <w:bCs/>
          <w:lang w:val="es-ES" w:eastAsia="es-ES"/>
        </w:rPr>
        <w:t xml:space="preserve">Administrativo </w:t>
      </w:r>
      <w:r>
        <w:rPr>
          <w:rFonts w:ascii="Verdana" w:hAnsi="Verdana" w:cs="Verdana"/>
          <w:lang w:val="es-ES" w:eastAsia="es-ES"/>
        </w:rPr>
        <w:t>ha dispuesto:</w:t>
      </w:r>
    </w:p>
    <w:p w:rsidR="00354EF6" w:rsidRDefault="0069745F">
      <w:pPr>
        <w:kinsoku w:val="0"/>
        <w:overflowPunct w:val="0"/>
        <w:autoSpaceDE/>
        <w:autoSpaceDN/>
        <w:adjustRightInd/>
        <w:spacing w:before="491" w:line="238" w:lineRule="exact"/>
        <w:ind w:left="648"/>
        <w:textAlignment w:val="baseline"/>
        <w:rPr>
          <w:rFonts w:ascii="Verdana" w:hAnsi="Verdana" w:cs="Verdana"/>
          <w:lang w:val="es-ES" w:eastAsia="es-ES"/>
        </w:rPr>
      </w:pPr>
      <w:r>
        <w:rPr>
          <w:rFonts w:ascii="Verdana" w:hAnsi="Verdana" w:cs="Verdana"/>
          <w:lang w:val="es-ES" w:eastAsia="es-ES"/>
        </w:rPr>
        <w:t xml:space="preserve">En lo tocante a la diferencia entre los </w:t>
      </w:r>
      <w:r>
        <w:rPr>
          <w:rFonts w:ascii="Verdana" w:hAnsi="Verdana" w:cs="Verdana"/>
          <w:b/>
          <w:bCs/>
          <w:lang w:val="es-ES" w:eastAsia="es-ES"/>
        </w:rPr>
        <w:t xml:space="preserve">actos </w:t>
      </w:r>
      <w:r>
        <w:rPr>
          <w:rFonts w:ascii="Verdana" w:hAnsi="Verdana" w:cs="Verdana"/>
          <w:lang w:val="es-ES" w:eastAsia="es-ES"/>
        </w:rPr>
        <w:t xml:space="preserve">preparatorios y los </w:t>
      </w:r>
      <w:r>
        <w:rPr>
          <w:rFonts w:ascii="Verdana" w:hAnsi="Verdana" w:cs="Verdana"/>
          <w:b/>
          <w:bCs/>
          <w:lang w:val="es-ES" w:eastAsia="es-ES"/>
        </w:rPr>
        <w:t xml:space="preserve">actos </w:t>
      </w:r>
      <w:r>
        <w:rPr>
          <w:rFonts w:ascii="Verdana" w:hAnsi="Verdana" w:cs="Verdana"/>
          <w:lang w:val="es-ES" w:eastAsia="es-ES"/>
        </w:rPr>
        <w:t>finales</w:t>
      </w:r>
    </w:p>
    <w:p w:rsidR="00354EF6" w:rsidRDefault="0069745F">
      <w:pPr>
        <w:numPr>
          <w:ilvl w:val="0"/>
          <w:numId w:val="1"/>
        </w:numPr>
        <w:kinsoku w:val="0"/>
        <w:overflowPunct w:val="0"/>
        <w:autoSpaceDE/>
        <w:autoSpaceDN/>
        <w:adjustRightInd/>
        <w:spacing w:before="23" w:line="238" w:lineRule="exact"/>
        <w:ind w:right="720"/>
        <w:jc w:val="both"/>
        <w:textAlignment w:val="baseline"/>
        <w:rPr>
          <w:rFonts w:ascii="Verdana" w:hAnsi="Verdana" w:cs="Verdana"/>
          <w:lang w:val="es-ES" w:eastAsia="es-ES"/>
        </w:rPr>
      </w:pPr>
      <w:r>
        <w:rPr>
          <w:rFonts w:ascii="Verdana" w:hAnsi="Verdana" w:cs="Verdana"/>
          <w:lang w:val="es-ES" w:eastAsia="es-ES"/>
        </w:rPr>
        <w:t xml:space="preserve">con efectos propios este Tribunal de Casación expresó: "Para que un </w:t>
      </w:r>
      <w:r>
        <w:rPr>
          <w:rFonts w:ascii="Verdana" w:hAnsi="Verdana" w:cs="Verdana"/>
          <w:b/>
          <w:bCs/>
          <w:lang w:val="es-ES" w:eastAsia="es-ES"/>
        </w:rPr>
        <w:t xml:space="preserve">acto administrativo </w:t>
      </w:r>
      <w:r>
        <w:rPr>
          <w:rFonts w:ascii="Verdana" w:hAnsi="Verdana" w:cs="Verdana"/>
          <w:lang w:val="es-ES" w:eastAsia="es-ES"/>
        </w:rPr>
        <w:t xml:space="preserve">posea efectos jurídicos propios no debe estar subordinado a ningún otro posterior. Ha de generar efectos sobre los administrados, a diferencia de los de </w:t>
      </w:r>
      <w:r>
        <w:rPr>
          <w:rFonts w:ascii="Verdana" w:hAnsi="Verdana" w:cs="Verdana"/>
          <w:b/>
          <w:bCs/>
          <w:lang w:val="es-ES" w:eastAsia="es-ES"/>
        </w:rPr>
        <w:t xml:space="preserve">trámite </w:t>
      </w:r>
      <w:r>
        <w:rPr>
          <w:rFonts w:ascii="Verdana" w:hAnsi="Verdana" w:cs="Verdana"/>
          <w:lang w:val="es-ES" w:eastAsia="es-ES"/>
        </w:rPr>
        <w:t>o preparatorios que informan</w:t>
      </w:r>
    </w:p>
    <w:p w:rsidR="00354EF6" w:rsidRDefault="0069745F">
      <w:pPr>
        <w:numPr>
          <w:ilvl w:val="0"/>
          <w:numId w:val="2"/>
        </w:numPr>
        <w:kinsoku w:val="0"/>
        <w:overflowPunct w:val="0"/>
        <w:autoSpaceDE/>
        <w:autoSpaceDN/>
        <w:adjustRightInd/>
        <w:spacing w:before="5" w:line="243" w:lineRule="exact"/>
        <w:ind w:right="720"/>
        <w:jc w:val="both"/>
        <w:textAlignment w:val="baseline"/>
        <w:rPr>
          <w:rFonts w:ascii="Verdana" w:hAnsi="Verdana" w:cs="Verdana"/>
          <w:spacing w:val="-4"/>
          <w:lang w:val="es-ES" w:eastAsia="es-ES"/>
        </w:rPr>
      </w:pPr>
      <w:r>
        <w:rPr>
          <w:rFonts w:ascii="Verdana" w:hAnsi="Verdana" w:cs="Verdana"/>
          <w:spacing w:val="-4"/>
          <w:lang w:val="es-ES" w:eastAsia="es-ES"/>
        </w:rPr>
        <w:t xml:space="preserve">preparan la emisión del </w:t>
      </w:r>
      <w:r>
        <w:rPr>
          <w:rFonts w:ascii="Verdana" w:hAnsi="Verdana" w:cs="Verdana"/>
          <w:b/>
          <w:bCs/>
          <w:spacing w:val="-4"/>
          <w:lang w:val="es-ES" w:eastAsia="es-ES"/>
        </w:rPr>
        <w:t xml:space="preserve">acto administrativo </w:t>
      </w:r>
      <w:r>
        <w:rPr>
          <w:rFonts w:ascii="Verdana" w:hAnsi="Verdana" w:cs="Verdana"/>
          <w:spacing w:val="-4"/>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Pr>
          <w:rFonts w:ascii="Verdana" w:hAnsi="Verdana" w:cs="Verdana"/>
          <w:b/>
          <w:bCs/>
          <w:spacing w:val="-4"/>
          <w:lang w:val="es-ES" w:eastAsia="es-ES"/>
        </w:rPr>
        <w:t xml:space="preserve">actos </w:t>
      </w:r>
      <w:r>
        <w:rPr>
          <w:rFonts w:ascii="Verdana" w:hAnsi="Verdana" w:cs="Verdana"/>
          <w:spacing w:val="-4"/>
          <w:lang w:val="es-ES" w:eastAsia="es-ES"/>
        </w:rPr>
        <w:t xml:space="preserve">previos no sean impugnables, sino que deben serlo junto con el </w:t>
      </w:r>
      <w:r>
        <w:rPr>
          <w:rFonts w:ascii="Verdana" w:hAnsi="Verdana" w:cs="Verdana"/>
          <w:b/>
          <w:bCs/>
          <w:spacing w:val="-4"/>
          <w:lang w:val="es-ES" w:eastAsia="es-ES"/>
        </w:rPr>
        <w:t xml:space="preserve">acto </w:t>
      </w:r>
      <w:r>
        <w:rPr>
          <w:rFonts w:ascii="Verdana" w:hAnsi="Verdana" w:cs="Verdana"/>
          <w:spacing w:val="-4"/>
          <w:lang w:val="es-ES" w:eastAsia="es-ES"/>
        </w:rPr>
        <w:t xml:space="preserve">final, que posee efectos jurídicos propios (no. 4075 de las 10 horas con 36 minutos de 1995)". </w:t>
      </w:r>
      <w:proofErr w:type="spellStart"/>
      <w:r>
        <w:rPr>
          <w:rFonts w:ascii="Verdana" w:hAnsi="Verdana" w:cs="Verdana"/>
          <w:spacing w:val="-4"/>
          <w:lang w:val="es-ES" w:eastAsia="es-ES"/>
        </w:rPr>
        <w:t>N°</w:t>
      </w:r>
      <w:proofErr w:type="spellEnd"/>
      <w:r>
        <w:rPr>
          <w:rFonts w:ascii="Verdana" w:hAnsi="Verdana" w:cs="Verdana"/>
          <w:spacing w:val="-4"/>
          <w:lang w:val="es-ES" w:eastAsia="es-ES"/>
        </w:rPr>
        <w:t xml:space="preserve"> 104 de las 11 horas 10 minutos del primero de junio de 2009.) (Sentencia: 00014 Expediente: 10-001549-1027-CA Fecha: 22/03/2012 Hora: 08:30)"</w:t>
      </w:r>
    </w:p>
    <w:p w:rsidR="00354EF6" w:rsidRDefault="0069745F">
      <w:pPr>
        <w:kinsoku w:val="0"/>
        <w:overflowPunct w:val="0"/>
        <w:autoSpaceDE/>
        <w:autoSpaceDN/>
        <w:adjustRightInd/>
        <w:spacing w:before="468"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Por lo indicado, debe recordarse que en el procedimiento administrativo ordinario los actos que pueden impugnarse son:</w:t>
      </w:r>
    </w:p>
    <w:p w:rsidR="00354EF6" w:rsidRDefault="0069745F">
      <w:pPr>
        <w:kinsoku w:val="0"/>
        <w:overflowPunct w:val="0"/>
        <w:autoSpaceDE/>
        <w:autoSpaceDN/>
        <w:adjustRightInd/>
        <w:spacing w:before="284"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Artículo 345.-1. En el procedimiento ordinario cabrán los recursos ordinarios únicamente contra el acto que lo inicie, contra el que deniega la comparecencia oral o cualquier prueba y contra el acto final.</w:t>
      </w:r>
    </w:p>
    <w:p w:rsidR="00354EF6" w:rsidRDefault="0069745F">
      <w:pPr>
        <w:kinsoku w:val="0"/>
        <w:overflowPunct w:val="0"/>
        <w:autoSpaceDE/>
        <w:autoSpaceDN/>
        <w:adjustRightInd/>
        <w:spacing w:line="292"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"2. La revocatoria contra el acto final del jerarca se regirá por las reglas de la reposición de la reposición del Código Procesal Contencioso Administrativo."</w:t>
      </w:r>
    </w:p>
    <w:p w:rsidR="00354EF6" w:rsidRDefault="0069745F">
      <w:pPr>
        <w:kinsoku w:val="0"/>
        <w:overflowPunct w:val="0"/>
        <w:autoSpaceDE/>
        <w:autoSpaceDN/>
        <w:adjustRightInd/>
        <w:spacing w:before="1" w:line="286" w:lineRule="exact"/>
        <w:ind w:left="144" w:right="144"/>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3. Se considerará como final también el acto de tramitación que suspenda indefinidamente o haga imposible la continuación del procedimiento.</w:t>
      </w:r>
    </w:p>
    <w:p w:rsidR="00354EF6" w:rsidRDefault="0069745F">
      <w:pPr>
        <w:kinsoku w:val="0"/>
        <w:overflowPunct w:val="0"/>
        <w:autoSpaceDE/>
        <w:autoSpaceDN/>
        <w:adjustRightInd/>
        <w:spacing w:before="568"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Al ser el acto impugnado una disposición de mero trámite y por su naturaleza inimpugnable, el recurso debe ser desestimado por improcedente.</w:t>
      </w:r>
    </w:p>
    <w:p w:rsidR="00354EF6" w:rsidRDefault="0069745F">
      <w:pPr>
        <w:kinsoku w:val="0"/>
        <w:overflowPunct w:val="0"/>
        <w:autoSpaceDE/>
        <w:autoSpaceDN/>
        <w:adjustRightInd/>
        <w:spacing w:before="599"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Ahora bien, en cuanto al fondo del asunto, este Tribunal se abstiene de emitir criterio alguno, pues eventualmente podría este órgano tener que entrar a conocer de los mismos una vez concluido el procedimiento administrativo que se ha ordenado y por ende podría incurrir en adelantamiento de criterio en este momento.</w:t>
      </w:r>
    </w:p>
    <w:p w:rsidR="00354EF6" w:rsidRDefault="00354EF6">
      <w:pPr>
        <w:widowControl/>
        <w:rPr>
          <w:sz w:val="24"/>
          <w:szCs w:val="24"/>
        </w:rPr>
        <w:sectPr w:rsidR="00354EF6">
          <w:pgSz w:w="12288" w:h="15763"/>
          <w:pgMar w:top="1260" w:right="1564" w:bottom="327" w:left="1604" w:header="720" w:footer="720" w:gutter="0"/>
          <w:cols w:space="720"/>
          <w:noEndnote/>
        </w:sectPr>
      </w:pPr>
    </w:p>
    <w:p w:rsidR="00354EF6" w:rsidRDefault="0069745F">
      <w:pPr>
        <w:kinsoku w:val="0"/>
        <w:overflowPunct w:val="0"/>
        <w:autoSpaceDE/>
        <w:autoSpaceDN/>
        <w:adjustRightInd/>
        <w:spacing w:after="563" w:line="284"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lastRenderedPageBreak/>
        <w:t>POR TANTO</w:t>
      </w:r>
    </w:p>
    <w:p w:rsidR="00354EF6" w:rsidRDefault="0069745F">
      <w:pPr>
        <w:numPr>
          <w:ilvl w:val="0"/>
          <w:numId w:val="3"/>
        </w:numPr>
        <w:kinsoku w:val="0"/>
        <w:overflowPunct w:val="0"/>
        <w:autoSpaceDE/>
        <w:autoSpaceDN/>
        <w:adjustRightInd/>
        <w:spacing w:before="56" w:line="289" w:lineRule="exact"/>
        <w:ind w:right="43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rechaza por Improcedente </w:t>
      </w:r>
      <w:r>
        <w:rPr>
          <w:rFonts w:ascii="Verdana" w:hAnsi="Verdana" w:cs="Verdana"/>
          <w:b/>
          <w:bCs/>
          <w:sz w:val="24"/>
          <w:szCs w:val="24"/>
          <w:lang w:val="es-ES" w:eastAsia="es-ES"/>
        </w:rPr>
        <w:t xml:space="preserve">Recurso de Apelación en subsidio, presentado por La empresa T.F.S.A. cédula Jurídica …, representada por G.F.S., cédula de identidad número …, </w:t>
      </w:r>
      <w:r>
        <w:rPr>
          <w:rFonts w:ascii="Verdana" w:hAnsi="Verdana" w:cs="Verdana"/>
          <w:sz w:val="24"/>
          <w:szCs w:val="24"/>
          <w:lang w:val="es-ES" w:eastAsia="es-ES"/>
        </w:rPr>
        <w:t xml:space="preserve">en su condición de Apoderado Generalísimo sin límite de suma y el señor </w:t>
      </w:r>
      <w:r>
        <w:rPr>
          <w:rFonts w:ascii="Verdana" w:hAnsi="Verdana" w:cs="Verdana"/>
          <w:b/>
          <w:bCs/>
          <w:sz w:val="24"/>
          <w:szCs w:val="24"/>
          <w:lang w:val="es-ES" w:eastAsia="es-ES"/>
        </w:rPr>
        <w:t xml:space="preserve">J.L.M.E. cédula de identidad número …, </w:t>
      </w:r>
      <w:r>
        <w:rPr>
          <w:rFonts w:ascii="Verdana" w:hAnsi="Verdana" w:cs="Verdana"/>
          <w:sz w:val="24"/>
          <w:szCs w:val="24"/>
          <w:lang w:val="es-ES" w:eastAsia="es-ES"/>
        </w:rPr>
        <w:t xml:space="preserve">en su condición de concesionario de la </w:t>
      </w:r>
      <w:r>
        <w:rPr>
          <w:rFonts w:ascii="Verdana" w:hAnsi="Verdana" w:cs="Verdana"/>
          <w:b/>
          <w:bCs/>
          <w:sz w:val="24"/>
          <w:szCs w:val="24"/>
          <w:lang w:val="es-ES" w:eastAsia="es-ES"/>
        </w:rPr>
        <w:t xml:space="preserve">Ruta </w:t>
      </w:r>
      <w:proofErr w:type="spellStart"/>
      <w:r>
        <w:rPr>
          <w:rFonts w:ascii="Verdana" w:hAnsi="Verdana" w:cs="Verdana"/>
          <w:b/>
          <w:bCs/>
          <w:sz w:val="24"/>
          <w:szCs w:val="24"/>
          <w:lang w:val="es-ES" w:eastAsia="es-ES"/>
        </w:rPr>
        <w:t>N°</w:t>
      </w:r>
      <w:proofErr w:type="spellEnd"/>
      <w:r>
        <w:rPr>
          <w:rFonts w:ascii="Verdana" w:hAnsi="Verdana" w:cs="Verdana"/>
          <w:b/>
          <w:bCs/>
          <w:sz w:val="24"/>
          <w:szCs w:val="24"/>
          <w:lang w:val="es-ES" w:eastAsia="es-ES"/>
        </w:rPr>
        <w:t xml:space="preserve"> 669, contra el artículo 7.9 de la Sesión Ordinaria 44-2017 de 15 de noviembre de 2017, </w:t>
      </w:r>
      <w:r>
        <w:rPr>
          <w:rFonts w:ascii="Verdana" w:hAnsi="Verdana" w:cs="Verdana"/>
          <w:sz w:val="24"/>
          <w:szCs w:val="24"/>
          <w:lang w:val="es-ES" w:eastAsia="es-ES"/>
        </w:rPr>
        <w:t>adoptado por La Junta Directiva del Consejo de Transporte Público.</w:t>
      </w:r>
    </w:p>
    <w:p w:rsidR="0069745F" w:rsidRDefault="0069745F" w:rsidP="00837554">
      <w:pPr>
        <w:numPr>
          <w:ilvl w:val="0"/>
          <w:numId w:val="4"/>
        </w:numPr>
        <w:kinsoku w:val="0"/>
        <w:overflowPunct w:val="0"/>
        <w:autoSpaceDE/>
        <w:autoSpaceDN/>
        <w:adjustRightInd/>
        <w:spacing w:before="1161" w:after="618" w:line="289" w:lineRule="exact"/>
        <w:jc w:val="both"/>
        <w:textAlignment w:val="baseline"/>
        <w:rPr>
          <w:sz w:val="24"/>
          <w:szCs w:val="24"/>
        </w:rPr>
      </w:pPr>
      <w:proofErr w:type="gramStart"/>
      <w:r w:rsidRPr="0069745F">
        <w:rPr>
          <w:rFonts w:ascii="Verdana" w:hAnsi="Verdana" w:cs="Verdana"/>
          <w:b/>
          <w:bCs/>
          <w:sz w:val="24"/>
          <w:szCs w:val="24"/>
          <w:lang w:val="es-ES" w:eastAsia="es-ES"/>
        </w:rPr>
        <w:t>NOTIFIQUESE.</w:t>
      </w:r>
      <w:r w:rsidRPr="0069745F">
        <w:rPr>
          <w:rFonts w:ascii="Verdana" w:hAnsi="Verdana" w:cs="Verdana"/>
          <w:b/>
          <w:bCs/>
          <w:sz w:val="24"/>
          <w:szCs w:val="24"/>
          <w:lang w:val="es-ES" w:eastAsia="es-ES"/>
        </w:rPr>
        <w:noBreakHyphen/>
      </w:r>
      <w:proofErr w:type="gramEnd"/>
      <w:r w:rsidRPr="0069745F">
        <w:rPr>
          <w:sz w:val="24"/>
          <w:szCs w:val="24"/>
        </w:rPr>
        <w:t xml:space="preserve"> </w:t>
      </w:r>
    </w:p>
    <w:p w:rsidR="0069745F" w:rsidRPr="00C07DA7" w:rsidRDefault="0069745F" w:rsidP="0069745F">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Lic. Carlos Miguel Portuguez Méndez</w:t>
      </w:r>
    </w:p>
    <w:p w:rsidR="0069745F" w:rsidRDefault="0069745F" w:rsidP="0069745F">
      <w:pPr>
        <w:spacing w:before="100" w:beforeAutospacing="1" w:after="100" w:afterAutospacing="1"/>
        <w:jc w:val="center"/>
        <w:rPr>
          <w:b/>
          <w:color w:val="000000"/>
        </w:rPr>
      </w:pPr>
      <w:r w:rsidRPr="00C07DA7">
        <w:rPr>
          <w:b/>
          <w:color w:val="000000"/>
        </w:rPr>
        <w:t>P</w:t>
      </w:r>
      <w:r>
        <w:rPr>
          <w:b/>
          <w:color w:val="000000"/>
        </w:rPr>
        <w:t>RESIDENTE</w:t>
      </w:r>
    </w:p>
    <w:p w:rsidR="0069745F" w:rsidRPr="00C07DA7" w:rsidRDefault="0069745F" w:rsidP="0069745F">
      <w:pPr>
        <w:spacing w:before="100" w:beforeAutospacing="1" w:after="100" w:afterAutospacing="1"/>
        <w:jc w:val="center"/>
        <w:rPr>
          <w:color w:val="000000"/>
          <w:sz w:val="24"/>
          <w:szCs w:val="24"/>
        </w:rPr>
      </w:pPr>
    </w:p>
    <w:p w:rsidR="0069745F" w:rsidRPr="00C07DA7" w:rsidRDefault="0069745F" w:rsidP="0069745F">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69745F" w:rsidRDefault="0069745F" w:rsidP="0069745F">
      <w:pPr>
        <w:kinsoku w:val="0"/>
        <w:overflowPunct w:val="0"/>
        <w:autoSpaceDE/>
        <w:autoSpaceDN/>
        <w:adjustRightInd/>
        <w:spacing w:line="316" w:lineRule="exact"/>
        <w:ind w:left="288" w:right="72"/>
        <w:jc w:val="center"/>
        <w:textAlignment w:val="baseline"/>
        <w:rPr>
          <w:b/>
          <w:bCs/>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w:t>
      </w:r>
      <w:r>
        <w:rPr>
          <w:b/>
          <w:color w:val="000000"/>
        </w:rPr>
        <w:t>UEZ</w:t>
      </w:r>
      <w:proofErr w:type="spellEnd"/>
    </w:p>
    <w:p w:rsidR="0069745F" w:rsidRDefault="0069745F" w:rsidP="0069745F">
      <w:pPr>
        <w:widowControl/>
        <w:rPr>
          <w:sz w:val="24"/>
          <w:szCs w:val="24"/>
        </w:rPr>
      </w:pPr>
    </w:p>
    <w:p w:rsidR="0069745F" w:rsidRDefault="0069745F" w:rsidP="0069745F">
      <w:pPr>
        <w:widowControl/>
        <w:rPr>
          <w:sz w:val="24"/>
          <w:szCs w:val="24"/>
        </w:rPr>
      </w:pPr>
    </w:p>
    <w:p w:rsidR="0069745F" w:rsidRDefault="0069745F" w:rsidP="0069745F">
      <w:pPr>
        <w:kinsoku w:val="0"/>
        <w:overflowPunct w:val="0"/>
        <w:autoSpaceDE/>
        <w:autoSpaceDN/>
        <w:adjustRightInd/>
        <w:spacing w:before="1161" w:after="618" w:line="289" w:lineRule="exact"/>
        <w:jc w:val="both"/>
        <w:textAlignment w:val="baseline"/>
        <w:rPr>
          <w:sz w:val="24"/>
          <w:szCs w:val="24"/>
        </w:rPr>
        <w:sectPr w:rsidR="0069745F">
          <w:type w:val="continuous"/>
          <w:pgSz w:w="12312" w:h="15802"/>
          <w:pgMar w:top="1500" w:right="1133" w:bottom="211" w:left="1716" w:header="720" w:footer="720" w:gutter="0"/>
          <w:cols w:space="720"/>
          <w:noEndnote/>
        </w:sectPr>
      </w:pPr>
    </w:p>
    <w:p w:rsidR="00354EF6" w:rsidRDefault="00354EF6" w:rsidP="0069745F">
      <w:pPr>
        <w:tabs>
          <w:tab w:val="right" w:pos="2592"/>
        </w:tabs>
        <w:kinsoku w:val="0"/>
        <w:overflowPunct w:val="0"/>
        <w:autoSpaceDE/>
        <w:autoSpaceDN/>
        <w:adjustRightInd/>
        <w:spacing w:before="5" w:line="235" w:lineRule="exact"/>
        <w:textAlignment w:val="baseline"/>
        <w:rPr>
          <w:sz w:val="21"/>
          <w:szCs w:val="21"/>
          <w:lang w:val="es-ES" w:eastAsia="es-ES"/>
        </w:rPr>
      </w:pPr>
    </w:p>
    <w:sectPr w:rsidR="00354EF6">
      <w:type w:val="continuous"/>
      <w:pgSz w:w="12312" w:h="15802"/>
      <w:pgMar w:top="1500" w:right="1630" w:bottom="211" w:left="81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F7A2"/>
    <w:multiLevelType w:val="singleLevel"/>
    <w:tmpl w:val="3A6A4680"/>
    <w:lvl w:ilvl="0">
      <w:start w:val="1"/>
      <w:numFmt w:val="upperRoman"/>
      <w:lvlText w:val="%1.-"/>
      <w:lvlJc w:val="left"/>
      <w:pPr>
        <w:tabs>
          <w:tab w:val="num" w:pos="648"/>
        </w:tabs>
        <w:ind w:left="144"/>
      </w:pPr>
      <w:rPr>
        <w:rFonts w:ascii="Verdana" w:hAnsi="Verdana" w:cs="Verdana"/>
        <w:b/>
        <w:snapToGrid/>
        <w:sz w:val="24"/>
        <w:szCs w:val="24"/>
      </w:rPr>
    </w:lvl>
  </w:abstractNum>
  <w:abstractNum w:abstractNumId="1" w15:restartNumberingAfterBreak="0">
    <w:nsid w:val="048D792B"/>
    <w:multiLevelType w:val="singleLevel"/>
    <w:tmpl w:val="5289E8A0"/>
    <w:lvl w:ilvl="0">
      <w:numFmt w:val="bullet"/>
      <w:lvlText w:val="o"/>
      <w:lvlJc w:val="left"/>
      <w:pPr>
        <w:tabs>
          <w:tab w:val="num" w:pos="936"/>
        </w:tabs>
        <w:ind w:left="648"/>
      </w:pPr>
      <w:rPr>
        <w:rFonts w:ascii="Courier New" w:hAnsi="Courier New" w:cs="Courier New"/>
        <w:snapToGrid/>
        <w:sz w:val="20"/>
        <w:szCs w:val="20"/>
      </w:rPr>
    </w:lvl>
  </w:abstractNum>
  <w:num w:numId="1">
    <w:abstractNumId w:val="1"/>
  </w:num>
  <w:num w:numId="2">
    <w:abstractNumId w:val="1"/>
    <w:lvlOverride w:ilvl="0">
      <w:lvl w:ilvl="0">
        <w:numFmt w:val="bullet"/>
        <w:lvlText w:val="o"/>
        <w:lvlJc w:val="left"/>
        <w:pPr>
          <w:tabs>
            <w:tab w:val="num" w:pos="864"/>
          </w:tabs>
          <w:ind w:left="648"/>
        </w:pPr>
        <w:rPr>
          <w:rFonts w:ascii="Courier New" w:hAnsi="Courier New" w:cs="Courier New"/>
          <w:snapToGrid/>
          <w:spacing w:val="-4"/>
          <w:sz w:val="20"/>
          <w:szCs w:val="20"/>
        </w:rPr>
      </w:lvl>
    </w:lvlOverride>
  </w:num>
  <w:num w:numId="3">
    <w:abstractNumId w:val="0"/>
  </w:num>
  <w:num w:numId="4">
    <w:abstractNumId w:val="0"/>
    <w:lvlOverride w:ilvl="0">
      <w:lvl w:ilvl="0">
        <w:numFmt w:val="upperRoman"/>
        <w:lvlText w:val="%1.-"/>
        <w:lvlJc w:val="left"/>
        <w:pPr>
          <w:tabs>
            <w:tab w:val="num" w:pos="648"/>
          </w:tabs>
          <w:ind w:left="144"/>
        </w:pPr>
        <w:rPr>
          <w:rFonts w:ascii="Verdana" w:hAnsi="Verdana" w:cs="Verdana"/>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3A"/>
    <w:rsid w:val="00192E3A"/>
    <w:rsid w:val="00354EF6"/>
    <w:rsid w:val="004E2AA8"/>
    <w:rsid w:val="0069745F"/>
    <w:rsid w:val="00CF3F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02C6D5-7A43-4144-A070-2611F70D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69745F"/>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45F"/>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2019-04-25T17:07:00Z</dcterms:created>
  <dcterms:modified xsi:type="dcterms:W3CDTF">2019-04-25T17:07:00Z</dcterms:modified>
</cp:coreProperties>
</file>