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297" w:rsidRDefault="00F6102E">
      <w:pPr>
        <w:kinsoku w:val="0"/>
        <w:overflowPunct w:val="0"/>
        <w:autoSpaceDE/>
        <w:autoSpaceDN/>
        <w:adjustRightInd/>
        <w:spacing w:line="259" w:lineRule="exact"/>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 xml:space="preserve">RESOLUCION No. </w:t>
      </w:r>
      <w:bookmarkStart w:id="0" w:name="_GoBack"/>
      <w:r>
        <w:rPr>
          <w:rFonts w:ascii="Tahoma" w:hAnsi="Tahoma" w:cs="Tahoma"/>
          <w:b/>
          <w:bCs/>
          <w:spacing w:val="10"/>
          <w:sz w:val="22"/>
          <w:szCs w:val="22"/>
          <w:lang w:val="es-ES" w:eastAsia="es-ES"/>
        </w:rPr>
        <w:t>TAT-3407-2018</w:t>
      </w:r>
      <w:bookmarkEnd w:id="0"/>
    </w:p>
    <w:p w:rsidR="00926297" w:rsidRDefault="00F6102E">
      <w:pPr>
        <w:kinsoku w:val="0"/>
        <w:overflowPunct w:val="0"/>
        <w:autoSpaceDE/>
        <w:autoSpaceDN/>
        <w:adjustRightInd/>
        <w:spacing w:before="522" w:line="265" w:lineRule="exact"/>
        <w:ind w:right="144"/>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TRIBUNAL ADMINISTRATIVO DE TRANSPORTE. </w:t>
      </w:r>
      <w:r>
        <w:rPr>
          <w:rFonts w:ascii="Tahoma" w:hAnsi="Tahoma" w:cs="Tahoma"/>
          <w:sz w:val="22"/>
          <w:szCs w:val="22"/>
          <w:lang w:val="es-ES" w:eastAsia="es-ES"/>
        </w:rPr>
        <w:t>San José, a las diez horas treinta minutos del tres de mayo de dos mil dieciocho. -</w:t>
      </w:r>
    </w:p>
    <w:p w:rsidR="00926297" w:rsidRDefault="00F6102E">
      <w:pPr>
        <w:kinsoku w:val="0"/>
        <w:overflowPunct w:val="0"/>
        <w:autoSpaceDE/>
        <w:autoSpaceDN/>
        <w:adjustRightInd/>
        <w:spacing w:before="229" w:line="265" w:lineRule="exact"/>
        <w:ind w:right="144"/>
        <w:jc w:val="both"/>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 xml:space="preserve">Recurso de Apelación en subsidio e incidente de Nulidad, </w:t>
      </w:r>
      <w:r>
        <w:rPr>
          <w:rFonts w:ascii="Tahoma" w:hAnsi="Tahoma" w:cs="Tahoma"/>
          <w:spacing w:val="9"/>
          <w:sz w:val="22"/>
          <w:szCs w:val="22"/>
          <w:lang w:val="es-ES" w:eastAsia="es-ES"/>
        </w:rPr>
        <w:t xml:space="preserve">interpuesto por </w:t>
      </w:r>
      <w:r>
        <w:rPr>
          <w:rFonts w:ascii="Tahoma" w:hAnsi="Tahoma" w:cs="Tahoma"/>
          <w:b/>
          <w:bCs/>
          <w:spacing w:val="9"/>
          <w:sz w:val="22"/>
          <w:szCs w:val="22"/>
          <w:lang w:val="es-ES" w:eastAsia="es-ES"/>
        </w:rPr>
        <w:t>C</w:t>
      </w:r>
      <w:r w:rsidR="008B184F">
        <w:rPr>
          <w:rFonts w:ascii="Tahoma" w:hAnsi="Tahoma" w:cs="Tahoma"/>
          <w:b/>
          <w:bCs/>
          <w:spacing w:val="9"/>
          <w:sz w:val="22"/>
          <w:szCs w:val="22"/>
          <w:lang w:val="es-ES" w:eastAsia="es-ES"/>
        </w:rPr>
        <w:t>.C.Z.</w:t>
      </w:r>
      <w:r>
        <w:rPr>
          <w:rFonts w:ascii="Tahoma" w:hAnsi="Tahoma" w:cs="Tahoma"/>
          <w:b/>
          <w:bCs/>
          <w:spacing w:val="9"/>
          <w:sz w:val="22"/>
          <w:szCs w:val="22"/>
          <w:lang w:val="es-ES" w:eastAsia="es-ES"/>
        </w:rPr>
        <w:t xml:space="preserve">, cédula de identidad número </w:t>
      </w:r>
      <w:r w:rsidR="008B184F">
        <w:rPr>
          <w:rFonts w:ascii="Tahoma" w:hAnsi="Tahoma" w:cs="Tahoma"/>
          <w:b/>
          <w:bCs/>
          <w:spacing w:val="9"/>
          <w:sz w:val="22"/>
          <w:szCs w:val="22"/>
          <w:lang w:val="es-ES" w:eastAsia="es-ES"/>
        </w:rPr>
        <w:t>…</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 xml:space="preserve">contra el </w:t>
      </w:r>
      <w:r>
        <w:rPr>
          <w:rFonts w:ascii="Tahoma" w:hAnsi="Tahoma" w:cs="Tahoma"/>
          <w:b/>
          <w:bCs/>
          <w:spacing w:val="9"/>
          <w:sz w:val="22"/>
          <w:szCs w:val="22"/>
          <w:lang w:val="es-ES" w:eastAsia="es-ES"/>
        </w:rPr>
        <w:t xml:space="preserve">artículo 7.11 de la Sesión Ordinaria 30-2017 de 27 de julio de 2017, </w:t>
      </w:r>
      <w:r>
        <w:rPr>
          <w:rFonts w:ascii="Tahoma" w:hAnsi="Tahoma" w:cs="Tahoma"/>
          <w:spacing w:val="9"/>
          <w:sz w:val="22"/>
          <w:szCs w:val="22"/>
          <w:lang w:val="es-ES" w:eastAsia="es-ES"/>
        </w:rPr>
        <w:t xml:space="preserve">dictado por la Junta Directiva del Consejo de Transporte Público. El caso es tramitado en este despacho bajo </w:t>
      </w:r>
      <w:r>
        <w:rPr>
          <w:rFonts w:ascii="Tahoma" w:hAnsi="Tahoma" w:cs="Tahoma"/>
          <w:b/>
          <w:bCs/>
          <w:spacing w:val="9"/>
          <w:sz w:val="22"/>
          <w:szCs w:val="22"/>
          <w:lang w:val="es-ES" w:eastAsia="es-ES"/>
        </w:rPr>
        <w:t>Expediente Administrativo No. TAT-018-18.</w:t>
      </w:r>
    </w:p>
    <w:p w:rsidR="00926297" w:rsidRDefault="00F6102E">
      <w:pPr>
        <w:kinsoku w:val="0"/>
        <w:overflowPunct w:val="0"/>
        <w:autoSpaceDE/>
        <w:autoSpaceDN/>
        <w:adjustRightInd/>
        <w:spacing w:before="522" w:line="259" w:lineRule="exact"/>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RESULTANDO</w:t>
      </w:r>
    </w:p>
    <w:p w:rsidR="00926297" w:rsidRDefault="00F6102E">
      <w:pPr>
        <w:kinsoku w:val="0"/>
        <w:overflowPunct w:val="0"/>
        <w:autoSpaceDE/>
        <w:autoSpaceDN/>
        <w:adjustRightInd/>
        <w:spacing w:before="242" w:line="262" w:lineRule="exact"/>
        <w:ind w:right="144"/>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PRIMERO: </w:t>
      </w:r>
      <w:r>
        <w:rPr>
          <w:rFonts w:ascii="Tahoma" w:hAnsi="Tahoma" w:cs="Tahoma"/>
          <w:sz w:val="22"/>
          <w:szCs w:val="22"/>
          <w:lang w:val="es-ES" w:eastAsia="es-ES"/>
        </w:rPr>
        <w:t xml:space="preserve">La JUNTA DIRECTIVA DEL CONSEJO DE TRANSPORTE PÚBLICO, mediante </w:t>
      </w:r>
      <w:r>
        <w:rPr>
          <w:rFonts w:ascii="Tahoma" w:hAnsi="Tahoma" w:cs="Tahoma"/>
          <w:b/>
          <w:bCs/>
          <w:sz w:val="22"/>
          <w:szCs w:val="22"/>
          <w:lang w:val="es-ES" w:eastAsia="es-ES"/>
        </w:rPr>
        <w:t xml:space="preserve">artículo 7.11 de la Sesión Ordinaria 30-2017 de 27 de julio de 2017, </w:t>
      </w:r>
      <w:r>
        <w:rPr>
          <w:rFonts w:ascii="Tahoma" w:hAnsi="Tahoma" w:cs="Tahoma"/>
          <w:sz w:val="22"/>
          <w:szCs w:val="22"/>
          <w:lang w:val="es-ES" w:eastAsia="es-ES"/>
        </w:rPr>
        <w:t xml:space="preserve">acuerda </w:t>
      </w:r>
      <w:r>
        <w:rPr>
          <w:rFonts w:ascii="Verdana" w:hAnsi="Verdana" w:cs="Verdana"/>
          <w:i/>
          <w:iCs/>
          <w:sz w:val="21"/>
          <w:szCs w:val="21"/>
          <w:lang w:val="es-ES" w:eastAsia="es-ES"/>
        </w:rPr>
        <w:t xml:space="preserve">"...2. Decretar la cancelación automática del derecho de concesión de taxi </w:t>
      </w:r>
      <w:r>
        <w:rPr>
          <w:rFonts w:ascii="Verdana" w:hAnsi="Verdana" w:cs="Verdana"/>
          <w:b/>
          <w:bCs/>
          <w:i/>
          <w:iCs/>
          <w:sz w:val="21"/>
          <w:szCs w:val="21"/>
          <w:lang w:val="es-ES" w:eastAsia="es-ES"/>
        </w:rPr>
        <w:t xml:space="preserve">TP </w:t>
      </w:r>
      <w:r w:rsidR="008B184F">
        <w:rPr>
          <w:rFonts w:ascii="Verdana" w:hAnsi="Verdana" w:cs="Verdana"/>
          <w:b/>
          <w:bCs/>
          <w:i/>
          <w:iCs/>
          <w:sz w:val="21"/>
          <w:szCs w:val="21"/>
          <w:lang w:val="es-ES" w:eastAsia="es-ES"/>
        </w:rPr>
        <w:t>XXX</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 xml:space="preserve">a nombre del señor </w:t>
      </w:r>
      <w:r>
        <w:rPr>
          <w:rFonts w:ascii="Verdana" w:hAnsi="Verdana" w:cs="Verdana"/>
          <w:b/>
          <w:bCs/>
          <w:i/>
          <w:iCs/>
          <w:sz w:val="21"/>
          <w:szCs w:val="21"/>
          <w:lang w:val="es-ES" w:eastAsia="es-ES"/>
        </w:rPr>
        <w:t>C</w:t>
      </w:r>
      <w:r w:rsidR="008B184F">
        <w:rPr>
          <w:rFonts w:ascii="Verdana" w:hAnsi="Verdana" w:cs="Verdana"/>
          <w:b/>
          <w:bCs/>
          <w:i/>
          <w:iCs/>
          <w:sz w:val="21"/>
          <w:szCs w:val="21"/>
          <w:lang w:val="es-ES" w:eastAsia="es-ES"/>
        </w:rPr>
        <w:t>.C.Z.</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 xml:space="preserve">dado que le (sic) mismo no renovó oportunamente dicho derecho, el plazo se tiene como vencido, y la solicitud de reprogramación de cita fue realizado de manera extemporánea y contrario a los presupuestos establecidos en el artículo 7.14 de la Sesión ordinaria 63-2014 del 29 de octubre del 2014, además de que no aporta fundamento alguno que justifique su omisión a la cita de renovación otorgada." </w:t>
      </w:r>
      <w:r>
        <w:rPr>
          <w:rFonts w:ascii="Tahoma" w:hAnsi="Tahoma" w:cs="Tahoma"/>
          <w:sz w:val="22"/>
          <w:szCs w:val="22"/>
          <w:lang w:val="es-ES" w:eastAsia="es-ES"/>
        </w:rPr>
        <w:t>(Léase folio 33 cara y vuelto del expediente administrativo)</w:t>
      </w:r>
    </w:p>
    <w:p w:rsidR="00926297" w:rsidRDefault="00F6102E">
      <w:pPr>
        <w:kinsoku w:val="0"/>
        <w:overflowPunct w:val="0"/>
        <w:autoSpaceDE/>
        <w:autoSpaceDN/>
        <w:adjustRightInd/>
        <w:spacing w:before="259" w:line="257" w:lineRule="exact"/>
        <w:ind w:right="144"/>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SEGUNDO: </w:t>
      </w:r>
      <w:r>
        <w:rPr>
          <w:rFonts w:ascii="Tahoma" w:hAnsi="Tahoma" w:cs="Tahoma"/>
          <w:sz w:val="22"/>
          <w:szCs w:val="22"/>
          <w:lang w:val="es-ES" w:eastAsia="es-ES"/>
        </w:rPr>
        <w:t>El recurrente indica en su libelo lo siguiente: (Léanse folios del 10 al 32 del expediente administrativo)</w:t>
      </w:r>
    </w:p>
    <w:p w:rsidR="00926297" w:rsidRDefault="00F6102E">
      <w:pPr>
        <w:kinsoku w:val="0"/>
        <w:overflowPunct w:val="0"/>
        <w:autoSpaceDE/>
        <w:autoSpaceDN/>
        <w:adjustRightInd/>
        <w:spacing w:before="263" w:after="878" w:line="265" w:lineRule="exact"/>
        <w:ind w:right="144"/>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a). - Que el acto que objeta indica que se cancela su concesión por que nunca se presentó a formalizarla, pero además refiere a otros dos puntos que requerirían de un debido proceso para su valoración. Sin que los funcionarios cuenten con estudios en una especialidad afín se indica que al estar su persona cumpliendo condena bajo un régimen semi institucional podría no estar adecuadamente reinsertado en la sociedad, como para prestar el servicio de transporte remunerado de personas en vehículos modalidad taxi, lo que es improcedente sin estudios previos y mucho menos emitiendo criterios discriminatorios. El otro argumento es que no </w:t>
      </w:r>
      <w:proofErr w:type="spellStart"/>
      <w:r>
        <w:rPr>
          <w:rFonts w:ascii="Tahoma" w:hAnsi="Tahoma" w:cs="Tahoma"/>
          <w:spacing w:val="9"/>
          <w:sz w:val="22"/>
          <w:szCs w:val="22"/>
          <w:lang w:val="es-ES" w:eastAsia="es-ES"/>
        </w:rPr>
        <w:t>esta</w:t>
      </w:r>
      <w:proofErr w:type="spellEnd"/>
      <w:r>
        <w:rPr>
          <w:rFonts w:ascii="Tahoma" w:hAnsi="Tahoma" w:cs="Tahoma"/>
          <w:spacing w:val="9"/>
          <w:sz w:val="22"/>
          <w:szCs w:val="22"/>
          <w:lang w:val="es-ES" w:eastAsia="es-ES"/>
        </w:rPr>
        <w:t xml:space="preserve"> al día con la CCSS, pero se encuentra en proceso de arreglo de pago lo que comunicará una vez que lo logre,</w:t>
      </w:r>
    </w:p>
    <w:p w:rsidR="00926297" w:rsidRDefault="00926297">
      <w:pPr>
        <w:widowControl/>
        <w:rPr>
          <w:sz w:val="24"/>
          <w:szCs w:val="24"/>
        </w:rPr>
        <w:sectPr w:rsidR="00926297">
          <w:pgSz w:w="12312" w:h="15802"/>
          <w:pgMar w:top="2200" w:right="1739" w:bottom="51" w:left="1733" w:header="720" w:footer="720" w:gutter="0"/>
          <w:cols w:space="720"/>
          <w:noEndnote/>
        </w:sectPr>
      </w:pPr>
    </w:p>
    <w:p w:rsidR="00926297" w:rsidRDefault="00926297">
      <w:pPr>
        <w:widowControl/>
        <w:rPr>
          <w:sz w:val="24"/>
          <w:szCs w:val="24"/>
        </w:rPr>
        <w:sectPr w:rsidR="00926297">
          <w:type w:val="continuous"/>
          <w:pgSz w:w="12312" w:h="15802"/>
          <w:pgMar w:top="2200" w:right="1906" w:bottom="51" w:left="7426" w:header="720" w:footer="720" w:gutter="0"/>
          <w:cols w:space="720"/>
          <w:noEndnote/>
        </w:sectPr>
      </w:pPr>
    </w:p>
    <w:p w:rsidR="00926297" w:rsidRDefault="00F6102E">
      <w:pPr>
        <w:kinsoku w:val="0"/>
        <w:overflowPunct w:val="0"/>
        <w:autoSpaceDE/>
        <w:autoSpaceDN/>
        <w:adjustRightInd/>
        <w:spacing w:before="31" w:line="248" w:lineRule="exact"/>
        <w:ind w:left="144" w:right="72"/>
        <w:jc w:val="both"/>
        <w:textAlignment w:val="baseline"/>
        <w:rPr>
          <w:rFonts w:ascii="Tahoma" w:hAnsi="Tahoma" w:cs="Tahoma"/>
          <w:sz w:val="22"/>
          <w:szCs w:val="22"/>
          <w:lang w:val="es-ES" w:eastAsia="es-ES"/>
        </w:rPr>
      </w:pPr>
      <w:proofErr w:type="gramStart"/>
      <w:r>
        <w:rPr>
          <w:rFonts w:ascii="Tahoma" w:hAnsi="Tahoma" w:cs="Tahoma"/>
          <w:sz w:val="22"/>
          <w:szCs w:val="22"/>
          <w:lang w:val="es-ES" w:eastAsia="es-ES"/>
        </w:rPr>
        <w:lastRenderedPageBreak/>
        <w:t>además</w:t>
      </w:r>
      <w:proofErr w:type="gramEnd"/>
      <w:r>
        <w:rPr>
          <w:rFonts w:ascii="Tahoma" w:hAnsi="Tahoma" w:cs="Tahoma"/>
          <w:sz w:val="22"/>
          <w:szCs w:val="22"/>
          <w:lang w:val="es-ES" w:eastAsia="es-ES"/>
        </w:rPr>
        <w:t xml:space="preserve"> que no existe norma que determine que tal situación es causal de no renovación de la concesión.</w:t>
      </w:r>
    </w:p>
    <w:p w:rsidR="00926297" w:rsidRDefault="00F6102E">
      <w:pPr>
        <w:kinsoku w:val="0"/>
        <w:overflowPunct w:val="0"/>
        <w:autoSpaceDE/>
        <w:autoSpaceDN/>
        <w:adjustRightInd/>
        <w:spacing w:before="27" w:line="260" w:lineRule="exact"/>
        <w:ind w:left="144"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b).- Que el artículo 74 de la Ley constitutiva de la CCSS, no le es aplicable por cuanto lo que </w:t>
      </w:r>
      <w:proofErr w:type="spellStart"/>
      <w:r>
        <w:rPr>
          <w:rFonts w:ascii="Tahoma" w:hAnsi="Tahoma" w:cs="Tahoma"/>
          <w:spacing w:val="10"/>
          <w:sz w:val="22"/>
          <w:szCs w:val="22"/>
          <w:lang w:val="es-ES" w:eastAsia="es-ES"/>
        </w:rPr>
        <w:t>esta</w:t>
      </w:r>
      <w:proofErr w:type="spellEnd"/>
      <w:r>
        <w:rPr>
          <w:rFonts w:ascii="Tahoma" w:hAnsi="Tahoma" w:cs="Tahoma"/>
          <w:spacing w:val="10"/>
          <w:sz w:val="22"/>
          <w:szCs w:val="22"/>
          <w:lang w:val="es-ES" w:eastAsia="es-ES"/>
        </w:rPr>
        <w:t xml:space="preserve"> tramitando es una renovación de su concesión y no un procedimiento de Contratación Pública, ni una solicitud de concesión; es una renovación y tal hipótesis no </w:t>
      </w:r>
      <w:proofErr w:type="spellStart"/>
      <w:r>
        <w:rPr>
          <w:rFonts w:ascii="Tahoma" w:hAnsi="Tahoma" w:cs="Tahoma"/>
          <w:spacing w:val="10"/>
          <w:sz w:val="22"/>
          <w:szCs w:val="22"/>
          <w:lang w:val="es-ES" w:eastAsia="es-ES"/>
        </w:rPr>
        <w:t>esta</w:t>
      </w:r>
      <w:proofErr w:type="spellEnd"/>
      <w:r>
        <w:rPr>
          <w:rFonts w:ascii="Tahoma" w:hAnsi="Tahoma" w:cs="Tahoma"/>
          <w:spacing w:val="10"/>
          <w:sz w:val="22"/>
          <w:szCs w:val="22"/>
          <w:lang w:val="es-ES" w:eastAsia="es-ES"/>
        </w:rPr>
        <w:t xml:space="preserve"> contemplada, además el requisito de la CCSS, es totalmente subsanable en la materia de contratación, por lo que hay una actuación indebida pues no se le señala ni la norma que ha infringido, ni la situación de hecho en que incurre ni la norma que tipifica la sanción.</w:t>
      </w:r>
    </w:p>
    <w:p w:rsidR="00926297" w:rsidRDefault="00F6102E">
      <w:pPr>
        <w:numPr>
          <w:ilvl w:val="0"/>
          <w:numId w:val="1"/>
        </w:numPr>
        <w:kinsoku w:val="0"/>
        <w:overflowPunct w:val="0"/>
        <w:autoSpaceDE/>
        <w:autoSpaceDN/>
        <w:adjustRightInd/>
        <w:spacing w:line="257" w:lineRule="exact"/>
        <w:ind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 Que la Sala Constitucional ha variado su posición y ahora </w:t>
      </w:r>
      <w:proofErr w:type="spellStart"/>
      <w:r>
        <w:rPr>
          <w:rFonts w:ascii="Tahoma" w:hAnsi="Tahoma" w:cs="Tahoma"/>
          <w:spacing w:val="11"/>
          <w:sz w:val="22"/>
          <w:szCs w:val="22"/>
          <w:lang w:val="es-ES" w:eastAsia="es-ES"/>
        </w:rPr>
        <w:t>a</w:t>
      </w:r>
      <w:proofErr w:type="spellEnd"/>
      <w:r>
        <w:rPr>
          <w:rFonts w:ascii="Tahoma" w:hAnsi="Tahoma" w:cs="Tahoma"/>
          <w:spacing w:val="11"/>
          <w:sz w:val="22"/>
          <w:szCs w:val="22"/>
          <w:lang w:val="es-ES" w:eastAsia="es-ES"/>
        </w:rPr>
        <w:t xml:space="preserve"> flexibilizado la aplicación de los principios del Derecho penal como la tipificación, al procedimiento sancionatorio administrativo, por lo que la Administración debe actuar apegada a dichos principios en el aspecto sancionatorio, así mismo la Contraloría General de la República </w:t>
      </w:r>
      <w:proofErr w:type="spellStart"/>
      <w:r>
        <w:rPr>
          <w:rFonts w:ascii="Tahoma" w:hAnsi="Tahoma" w:cs="Tahoma"/>
          <w:spacing w:val="11"/>
          <w:sz w:val="22"/>
          <w:szCs w:val="22"/>
          <w:lang w:val="es-ES" w:eastAsia="es-ES"/>
        </w:rPr>
        <w:t>a</w:t>
      </w:r>
      <w:proofErr w:type="spellEnd"/>
      <w:r>
        <w:rPr>
          <w:rFonts w:ascii="Tahoma" w:hAnsi="Tahoma" w:cs="Tahoma"/>
          <w:spacing w:val="11"/>
          <w:sz w:val="22"/>
          <w:szCs w:val="22"/>
          <w:lang w:val="es-ES" w:eastAsia="es-ES"/>
        </w:rPr>
        <w:t xml:space="preserve"> emitido criterios en cuanto a que no es por cualquier incumplimiento ante la CCSS que se puede tomar acciones sancionatorias contra el oferente.</w:t>
      </w:r>
    </w:p>
    <w:p w:rsidR="00926297" w:rsidRDefault="00F6102E">
      <w:pPr>
        <w:numPr>
          <w:ilvl w:val="0"/>
          <w:numId w:val="1"/>
        </w:numPr>
        <w:kinsoku w:val="0"/>
        <w:overflowPunct w:val="0"/>
        <w:autoSpaceDE/>
        <w:autoSpaceDN/>
        <w:adjustRightInd/>
        <w:spacing w:before="8" w:line="260" w:lineRule="exact"/>
        <w:ind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Que en cuanto al argumento principal por el cual se le sanciona, cual es que no se presentó en tiempo injustificadamente y que si bien solicitó una prorroga lo hizo fuera del tiempo, la cita pudo darse nuevamente en los términos del numeral 252 de la Ley General de la Administración Pública.</w:t>
      </w:r>
    </w:p>
    <w:p w:rsidR="00926297" w:rsidRDefault="00F6102E">
      <w:pPr>
        <w:kinsoku w:val="0"/>
        <w:overflowPunct w:val="0"/>
        <w:autoSpaceDE/>
        <w:autoSpaceDN/>
        <w:adjustRightInd/>
        <w:spacing w:before="12" w:line="260" w:lineRule="exact"/>
        <w:ind w:left="144" w:right="7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e).- Que la cita se otorgó para el 24 de noviembre de 2014 y por determinación de la misma Administración se pasó para el 11 de febrero de 2016 lo que se le comunicó hasta el 4 de febrero de 2016 y ese mismo día dado que estaba por concretarse el cambio de su unidad, en forma debida por correo electrónico pidió una nueva fecha indicando que se le comunicara a ese correo; posteriormente el 18 de febrero de 2016 envió un nuevo correo y manifiesta que ratifica lo dicho en correo anterior y solicita se le indique la fecha de la nueva cita para la firma del contrato. No obstante, lo anterior no se consigna su anterior correo y no pueden negarlo pues allí esta.</w:t>
      </w:r>
    </w:p>
    <w:p w:rsidR="00926297" w:rsidRDefault="00F6102E">
      <w:pPr>
        <w:numPr>
          <w:ilvl w:val="0"/>
          <w:numId w:val="2"/>
        </w:numPr>
        <w:kinsoku w:val="0"/>
        <w:overflowPunct w:val="0"/>
        <w:autoSpaceDE/>
        <w:autoSpaceDN/>
        <w:adjustRightInd/>
        <w:spacing w:line="256" w:lineRule="exact"/>
        <w:ind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Que luego de enviar un segundo correo llamó y consultó y se le indicó que mejor enviara por escrito la solicitud lo que realizó el 23 de febrero de 2016, pero esta vez se le valoró ésta como extemporánea sin verificar su correo del 4 de febrero. Si ha tenido diligencia y si se ha preocupado por renovar su concesión, contrario a lo que se indicó como fundamento para adoptar el acto impugnado.</w:t>
      </w:r>
    </w:p>
    <w:p w:rsidR="00926297" w:rsidRDefault="00F6102E">
      <w:pPr>
        <w:numPr>
          <w:ilvl w:val="0"/>
          <w:numId w:val="2"/>
        </w:numPr>
        <w:kinsoku w:val="0"/>
        <w:overflowPunct w:val="0"/>
        <w:autoSpaceDE/>
        <w:autoSpaceDN/>
        <w:adjustRightInd/>
        <w:spacing w:before="5" w:line="260" w:lineRule="exact"/>
        <w:ind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Solicita se aplique la igualdad formal y material pues recientemente en casos como el suyo se ha permitido firmar el contrato de renovación y pide una debida valoración de su caso.</w:t>
      </w:r>
    </w:p>
    <w:p w:rsidR="00926297" w:rsidRDefault="00F6102E">
      <w:pPr>
        <w:numPr>
          <w:ilvl w:val="0"/>
          <w:numId w:val="2"/>
        </w:numPr>
        <w:kinsoku w:val="0"/>
        <w:overflowPunct w:val="0"/>
        <w:autoSpaceDE/>
        <w:autoSpaceDN/>
        <w:adjustRightInd/>
        <w:spacing w:before="15" w:line="260" w:lineRule="exact"/>
        <w:ind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Solicita se suspendan los efectos del acto y se revoque el mismo.</w:t>
      </w:r>
    </w:p>
    <w:p w:rsidR="00926297" w:rsidRDefault="00F6102E">
      <w:pPr>
        <w:kinsoku w:val="0"/>
        <w:overflowPunct w:val="0"/>
        <w:autoSpaceDE/>
        <w:autoSpaceDN/>
        <w:adjustRightInd/>
        <w:spacing w:before="258" w:after="1114" w:line="265" w:lineRule="exact"/>
        <w:ind w:left="144"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TERCERO: </w:t>
      </w:r>
      <w:r>
        <w:rPr>
          <w:rFonts w:ascii="Tahoma" w:hAnsi="Tahoma" w:cs="Tahoma"/>
          <w:spacing w:val="8"/>
          <w:sz w:val="22"/>
          <w:szCs w:val="22"/>
          <w:lang w:val="es-ES" w:eastAsia="es-ES"/>
        </w:rPr>
        <w:t xml:space="preserve">La Junta Directiva del Consejo de Transporte Público, mediante </w:t>
      </w:r>
      <w:r>
        <w:rPr>
          <w:rFonts w:ascii="Tahoma" w:hAnsi="Tahoma" w:cs="Tahoma"/>
          <w:b/>
          <w:bCs/>
          <w:spacing w:val="8"/>
          <w:sz w:val="22"/>
          <w:szCs w:val="22"/>
          <w:lang w:val="es-ES" w:eastAsia="es-ES"/>
        </w:rPr>
        <w:t xml:space="preserve">acuerdo 7.18.5 de la Sesión Ordinaria 07-2018 de 28 de febrero de 2018, </w:t>
      </w:r>
      <w:r>
        <w:rPr>
          <w:rFonts w:ascii="Tahoma" w:hAnsi="Tahoma" w:cs="Tahoma"/>
          <w:spacing w:val="8"/>
          <w:sz w:val="22"/>
          <w:szCs w:val="22"/>
          <w:lang w:val="es-ES" w:eastAsia="es-ES"/>
        </w:rPr>
        <w:t xml:space="preserve">conoce y avala el informe de la Dirección Asuntos Jurídicos el </w:t>
      </w:r>
      <w:r>
        <w:rPr>
          <w:rFonts w:ascii="Tahoma" w:hAnsi="Tahoma" w:cs="Tahoma"/>
          <w:b/>
          <w:bCs/>
          <w:spacing w:val="8"/>
          <w:sz w:val="22"/>
          <w:szCs w:val="22"/>
          <w:lang w:val="es-ES" w:eastAsia="es-ES"/>
        </w:rPr>
        <w:t xml:space="preserve">DA3-2018-000303 de 21 de febrero de 2018 y rechaza el recurso de Revocatoria y la Nulidad invocadas por improcedente. </w:t>
      </w:r>
      <w:r>
        <w:rPr>
          <w:rFonts w:ascii="Tahoma" w:hAnsi="Tahoma" w:cs="Tahoma"/>
          <w:spacing w:val="8"/>
          <w:sz w:val="22"/>
          <w:szCs w:val="22"/>
          <w:lang w:val="es-ES" w:eastAsia="es-ES"/>
        </w:rPr>
        <w:t>(léanse folios del 2 al 8 del expediente administrativo)</w:t>
      </w:r>
    </w:p>
    <w:p w:rsidR="00926297" w:rsidRDefault="00926297">
      <w:pPr>
        <w:widowControl/>
        <w:rPr>
          <w:sz w:val="24"/>
          <w:szCs w:val="24"/>
        </w:rPr>
        <w:sectPr w:rsidR="00926297">
          <w:pgSz w:w="12312" w:h="15802"/>
          <w:pgMar w:top="1980" w:right="1889" w:bottom="171" w:left="1583" w:header="720" w:footer="720" w:gutter="0"/>
          <w:cols w:space="720"/>
          <w:noEndnote/>
        </w:sectPr>
      </w:pPr>
    </w:p>
    <w:p w:rsidR="00926297" w:rsidRDefault="00926297">
      <w:pPr>
        <w:widowControl/>
        <w:rPr>
          <w:sz w:val="24"/>
          <w:szCs w:val="24"/>
        </w:rPr>
        <w:sectPr w:rsidR="00926297">
          <w:type w:val="continuous"/>
          <w:pgSz w:w="12312" w:h="15802"/>
          <w:pgMar w:top="1980" w:right="1968" w:bottom="171" w:left="7344" w:header="720" w:footer="720" w:gutter="0"/>
          <w:cols w:space="720"/>
          <w:noEndnote/>
        </w:sectPr>
      </w:pPr>
    </w:p>
    <w:p w:rsidR="00926297" w:rsidRDefault="00F6102E">
      <w:pPr>
        <w:kinsoku w:val="0"/>
        <w:overflowPunct w:val="0"/>
        <w:autoSpaceDE/>
        <w:autoSpaceDN/>
        <w:adjustRightInd/>
        <w:spacing w:before="21" w:line="261"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CUARTO: </w:t>
      </w:r>
      <w:r>
        <w:rPr>
          <w:rFonts w:ascii="Verdana" w:hAnsi="Verdana" w:cs="Verdana"/>
          <w:sz w:val="21"/>
          <w:szCs w:val="21"/>
          <w:lang w:val="es-ES" w:eastAsia="es-ES"/>
        </w:rPr>
        <w:t xml:space="preserve">En las piezas del expediente, consta que el recurrente en el "FORMULARIO PARA LA RENOVACIÓN DE CONCESIONES DE TAXIS" indicó como </w:t>
      </w:r>
      <w:r w:rsidRPr="008B184F">
        <w:rPr>
          <w:rFonts w:ascii="Verdana" w:hAnsi="Verdana" w:cs="Verdana"/>
          <w:sz w:val="21"/>
          <w:szCs w:val="21"/>
          <w:lang w:val="es-ES" w:eastAsia="es-ES"/>
        </w:rPr>
        <w:t xml:space="preserve">medio para notificaciones la cuenta de correo </w:t>
      </w:r>
      <w:hyperlink r:id="rId5" w:history="1">
        <w:r w:rsidR="008B184F" w:rsidRPr="008B184F">
          <w:rPr>
            <w:rStyle w:val="Hipervnculo"/>
            <w:rFonts w:ascii="Verdana" w:hAnsi="Verdana" w:cs="Verdana"/>
            <w:color w:val="auto"/>
            <w:sz w:val="21"/>
            <w:szCs w:val="21"/>
            <w:lang w:val="es-ES" w:eastAsia="es-ES"/>
          </w:rPr>
          <w:t>xxxxxx@hotmail.com</w:t>
        </w:r>
      </w:hyperlink>
      <w:r w:rsidRPr="008B184F">
        <w:rPr>
          <w:rFonts w:ascii="Verdana" w:hAnsi="Verdana" w:cs="Verdana"/>
          <w:sz w:val="21"/>
          <w:szCs w:val="21"/>
          <w:u w:val="single"/>
          <w:lang w:val="es-ES" w:eastAsia="es-ES"/>
        </w:rPr>
        <w:t>.;</w:t>
      </w:r>
      <w:r w:rsidRPr="008B184F">
        <w:rPr>
          <w:rFonts w:ascii="Verdana" w:hAnsi="Verdana" w:cs="Verdana"/>
          <w:sz w:val="21"/>
          <w:szCs w:val="21"/>
          <w:lang w:val="es-ES" w:eastAsia="es-ES"/>
        </w:rPr>
        <w:t xml:space="preserve"> a este</w:t>
      </w:r>
      <w:r>
        <w:rPr>
          <w:rFonts w:ascii="Verdana" w:hAnsi="Verdana" w:cs="Verdana"/>
          <w:sz w:val="21"/>
          <w:szCs w:val="21"/>
          <w:lang w:val="es-ES" w:eastAsia="es-ES"/>
        </w:rPr>
        <w:t xml:space="preserve"> medio </w:t>
      </w:r>
      <w:r>
        <w:rPr>
          <w:rFonts w:ascii="Verdana" w:hAnsi="Verdana" w:cs="Verdana"/>
          <w:sz w:val="21"/>
          <w:szCs w:val="21"/>
          <w:u w:val="single"/>
          <w:lang w:val="es-ES" w:eastAsia="es-ES"/>
        </w:rPr>
        <w:t>se le notificó una primera cita para firmar el contrato de renovación de concesión para el 24 de noviembre de 2014 a las 3 de la tarde a la cual no asistió;</w:t>
      </w:r>
      <w:r>
        <w:rPr>
          <w:rFonts w:ascii="Verdana" w:hAnsi="Verdana" w:cs="Verdana"/>
          <w:sz w:val="21"/>
          <w:szCs w:val="21"/>
          <w:lang w:val="es-ES" w:eastAsia="es-ES"/>
        </w:rPr>
        <w:t xml:space="preserve"> el correo fue enviado el 20 de noviembre de ese año a las 10:01 de la mañana. Posteriormente a ese mismo medio </w:t>
      </w:r>
      <w:r>
        <w:rPr>
          <w:rFonts w:ascii="Verdana" w:hAnsi="Verdana" w:cs="Verdana"/>
          <w:sz w:val="21"/>
          <w:szCs w:val="21"/>
          <w:u w:val="single"/>
          <w:lang w:val="es-ES" w:eastAsia="es-ES"/>
        </w:rPr>
        <w:t>se le notifica el 4 de febrero de 2016 una segunda cita para el 11 de febrero de 2016 a las 9:00 horas a la que no asistió.</w:t>
      </w:r>
      <w:r>
        <w:rPr>
          <w:rFonts w:ascii="Verdana" w:hAnsi="Verdana" w:cs="Verdana"/>
          <w:sz w:val="21"/>
          <w:szCs w:val="21"/>
          <w:lang w:val="es-ES" w:eastAsia="es-ES"/>
        </w:rPr>
        <w:t xml:space="preserve"> (Léanse folios 77, 82 y 83 del expediente administrativo)</w:t>
      </w:r>
    </w:p>
    <w:p w:rsidR="00926297" w:rsidRDefault="00F6102E">
      <w:pPr>
        <w:kinsoku w:val="0"/>
        <w:overflowPunct w:val="0"/>
        <w:autoSpaceDE/>
        <w:autoSpaceDN/>
        <w:adjustRightInd/>
        <w:spacing w:before="261" w:line="261"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QUINTO: </w:t>
      </w:r>
      <w:r>
        <w:rPr>
          <w:rFonts w:ascii="Verdana" w:hAnsi="Verdana" w:cs="Verdana"/>
          <w:sz w:val="21"/>
          <w:szCs w:val="21"/>
          <w:lang w:val="es-ES" w:eastAsia="es-ES"/>
        </w:rPr>
        <w:t xml:space="preserve">El recurrente el </w:t>
      </w:r>
      <w:r>
        <w:rPr>
          <w:rFonts w:ascii="Verdana" w:hAnsi="Verdana" w:cs="Verdana"/>
          <w:b/>
          <w:bCs/>
          <w:sz w:val="21"/>
          <w:szCs w:val="21"/>
          <w:lang w:val="es-ES" w:eastAsia="es-ES"/>
        </w:rPr>
        <w:t xml:space="preserve">23 de febrero de 2016, </w:t>
      </w:r>
      <w:r>
        <w:rPr>
          <w:rFonts w:ascii="Verdana" w:hAnsi="Verdana" w:cs="Verdana"/>
          <w:sz w:val="21"/>
          <w:szCs w:val="21"/>
          <w:lang w:val="es-ES" w:eastAsia="es-ES"/>
        </w:rPr>
        <w:t xml:space="preserve">presenta ante el Consejo de Transporte Público, una nota en la que indica </w:t>
      </w:r>
      <w:r>
        <w:rPr>
          <w:rFonts w:ascii="Verdana" w:hAnsi="Verdana" w:cs="Verdana"/>
          <w:i/>
          <w:iCs/>
          <w:sz w:val="21"/>
          <w:szCs w:val="21"/>
          <w:lang w:val="es-ES" w:eastAsia="es-ES"/>
        </w:rPr>
        <w:t xml:space="preserve">"El 04 del mes de enero del año </w:t>
      </w:r>
      <w:r w:rsidRPr="008B184F">
        <w:rPr>
          <w:rFonts w:ascii="Verdana" w:hAnsi="Verdana" w:cs="Verdana"/>
          <w:i/>
          <w:iCs/>
          <w:sz w:val="21"/>
          <w:szCs w:val="21"/>
          <w:lang w:val="es-ES" w:eastAsia="es-ES"/>
        </w:rPr>
        <w:t xml:space="preserve">2016, le enviamos desde el correo </w:t>
      </w:r>
      <w:hyperlink r:id="rId6" w:history="1">
        <w:r w:rsidR="008B184F" w:rsidRPr="008B184F">
          <w:rPr>
            <w:rStyle w:val="Hipervnculo"/>
            <w:rFonts w:ascii="Verdana" w:hAnsi="Verdana" w:cs="Verdana"/>
            <w:i/>
            <w:iCs/>
            <w:color w:val="auto"/>
            <w:sz w:val="21"/>
            <w:szCs w:val="21"/>
            <w:lang w:val="es-ES" w:eastAsia="es-ES"/>
          </w:rPr>
          <w:t>xxxxxx@msn.com</w:t>
        </w:r>
      </w:hyperlink>
      <w:r w:rsidRPr="008B184F">
        <w:rPr>
          <w:rFonts w:ascii="Verdana" w:hAnsi="Verdana" w:cs="Verdana"/>
          <w:i/>
          <w:iCs/>
          <w:sz w:val="21"/>
          <w:szCs w:val="21"/>
          <w:u w:val="single"/>
          <w:lang w:val="es-ES" w:eastAsia="es-ES"/>
        </w:rPr>
        <w:t>,</w:t>
      </w:r>
      <w:r w:rsidRPr="008B184F">
        <w:rPr>
          <w:rFonts w:ascii="Verdana" w:hAnsi="Verdana" w:cs="Verdana"/>
          <w:i/>
          <w:iCs/>
          <w:sz w:val="21"/>
          <w:szCs w:val="21"/>
          <w:lang w:val="es-ES" w:eastAsia="es-ES"/>
        </w:rPr>
        <w:t xml:space="preserve"> una solicitud de cita para</w:t>
      </w:r>
      <w:r>
        <w:rPr>
          <w:rFonts w:ascii="Verdana" w:hAnsi="Verdana" w:cs="Verdana"/>
          <w:i/>
          <w:iCs/>
          <w:sz w:val="21"/>
          <w:szCs w:val="21"/>
          <w:lang w:val="es-ES" w:eastAsia="es-ES"/>
        </w:rPr>
        <w:t xml:space="preserve"> la firma del contrato de la concesión TP </w:t>
      </w:r>
      <w:r w:rsidR="008B184F">
        <w:rPr>
          <w:rFonts w:ascii="Verdana" w:hAnsi="Verdana" w:cs="Verdana"/>
          <w:i/>
          <w:iCs/>
          <w:sz w:val="21"/>
          <w:szCs w:val="21"/>
          <w:lang w:val="es-ES" w:eastAsia="es-ES"/>
        </w:rPr>
        <w:t>XXX</w:t>
      </w:r>
      <w:r>
        <w:rPr>
          <w:rFonts w:ascii="Verdana" w:hAnsi="Verdana" w:cs="Verdana"/>
          <w:i/>
          <w:iCs/>
          <w:sz w:val="21"/>
          <w:szCs w:val="21"/>
          <w:lang w:val="es-ES" w:eastAsia="es-ES"/>
        </w:rPr>
        <w:t xml:space="preserve">. Por este medio de la manera más atenta ratifico dicho escrito, y con todo respeto solicito se me indique que día debo de comparecer para la citada firma, ya tengo todos los requisitos a mano." </w:t>
      </w:r>
      <w:r>
        <w:rPr>
          <w:rFonts w:ascii="Verdana" w:hAnsi="Verdana" w:cs="Verdana"/>
          <w:sz w:val="21"/>
          <w:szCs w:val="21"/>
          <w:lang w:val="es-ES" w:eastAsia="es-ES"/>
        </w:rPr>
        <w:t>(Léase folio 70 del expediente administrativo)</w:t>
      </w:r>
    </w:p>
    <w:p w:rsidR="00926297" w:rsidRDefault="00F6102E">
      <w:pPr>
        <w:kinsoku w:val="0"/>
        <w:overflowPunct w:val="0"/>
        <w:autoSpaceDE/>
        <w:autoSpaceDN/>
        <w:adjustRightInd/>
        <w:spacing w:before="531" w:line="254" w:lineRule="exact"/>
        <w:ind w:left="72" w:right="72"/>
        <w:jc w:val="both"/>
        <w:textAlignment w:val="baseline"/>
        <w:rPr>
          <w:rFonts w:ascii="Verdana" w:hAnsi="Verdana" w:cs="Verdana"/>
          <w:spacing w:val="2"/>
          <w:sz w:val="21"/>
          <w:szCs w:val="21"/>
          <w:lang w:val="es-ES" w:eastAsia="es-ES"/>
        </w:rPr>
      </w:pPr>
      <w:r>
        <w:rPr>
          <w:rFonts w:ascii="Verdana" w:hAnsi="Verdana" w:cs="Verdana"/>
          <w:b/>
          <w:bCs/>
          <w:spacing w:val="2"/>
          <w:sz w:val="21"/>
          <w:szCs w:val="21"/>
          <w:lang w:val="es-ES" w:eastAsia="es-ES"/>
        </w:rPr>
        <w:t xml:space="preserve">SEXTO: </w:t>
      </w:r>
      <w:r>
        <w:rPr>
          <w:rFonts w:ascii="Verdana" w:hAnsi="Verdana" w:cs="Verdana"/>
          <w:spacing w:val="2"/>
          <w:sz w:val="21"/>
          <w:szCs w:val="21"/>
          <w:lang w:val="es-ES" w:eastAsia="es-ES"/>
        </w:rPr>
        <w:t>El recurrente aporta una fotocopia de un correo electrónico que supuestamente envió al Consejo de Transporte Público el 4 de enero de 2016 en el que solicitaba una cita para la renovación del contrato de concesión, no obstante, es de indicar que dicho documento no aparece en el expediente elevado y certificado por el CTP a este Tribunal. (ver folio 24 del expediente administrativo)</w:t>
      </w:r>
    </w:p>
    <w:p w:rsidR="00926297" w:rsidRDefault="00F6102E">
      <w:pPr>
        <w:kinsoku w:val="0"/>
        <w:overflowPunct w:val="0"/>
        <w:autoSpaceDE/>
        <w:autoSpaceDN/>
        <w:adjustRightInd/>
        <w:spacing w:before="287" w:line="242"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SETIMO: </w:t>
      </w:r>
      <w:r>
        <w:rPr>
          <w:rFonts w:ascii="Verdana" w:hAnsi="Verdana" w:cs="Verdana"/>
          <w:sz w:val="21"/>
          <w:szCs w:val="21"/>
          <w:lang w:val="es-ES" w:eastAsia="es-ES"/>
        </w:rPr>
        <w:t>En los procedimientos seguidos se han observado las prescripciones legales.</w:t>
      </w:r>
    </w:p>
    <w:p w:rsidR="00926297" w:rsidRDefault="00F6102E">
      <w:pPr>
        <w:kinsoku w:val="0"/>
        <w:overflowPunct w:val="0"/>
        <w:autoSpaceDE/>
        <w:autoSpaceDN/>
        <w:adjustRightInd/>
        <w:spacing w:before="285" w:line="254" w:lineRule="exact"/>
        <w:ind w:left="72" w:right="72"/>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Redacta el Juez Muñoz Corea; y,</w:t>
      </w:r>
    </w:p>
    <w:p w:rsidR="00926297" w:rsidRDefault="00F6102E">
      <w:pPr>
        <w:kinsoku w:val="0"/>
        <w:overflowPunct w:val="0"/>
        <w:autoSpaceDE/>
        <w:autoSpaceDN/>
        <w:adjustRightInd/>
        <w:spacing w:before="518" w:line="259" w:lineRule="exact"/>
        <w:ind w:left="72" w:right="72"/>
        <w:jc w:val="center"/>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CONSIDERANDO</w:t>
      </w:r>
    </w:p>
    <w:p w:rsidR="00926297" w:rsidRDefault="00F6102E">
      <w:pPr>
        <w:numPr>
          <w:ilvl w:val="0"/>
          <w:numId w:val="3"/>
        </w:numPr>
        <w:kinsoku w:val="0"/>
        <w:overflowPunct w:val="0"/>
        <w:autoSpaceDE/>
        <w:autoSpaceDN/>
        <w:adjustRightInd/>
        <w:spacing w:before="536" w:line="254"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926297" w:rsidRDefault="00F6102E">
      <w:pPr>
        <w:numPr>
          <w:ilvl w:val="0"/>
          <w:numId w:val="3"/>
        </w:numPr>
        <w:kinsoku w:val="0"/>
        <w:overflowPunct w:val="0"/>
        <w:autoSpaceDE/>
        <w:autoSpaceDN/>
        <w:adjustRightInd/>
        <w:spacing w:before="292" w:after="874" w:line="264"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ADMISIBILIDAD DEL RECURSO: </w:t>
      </w:r>
      <w:r>
        <w:rPr>
          <w:rFonts w:ascii="Verdana" w:hAnsi="Verdana" w:cs="Verdana"/>
          <w:b/>
          <w:bCs/>
          <w:sz w:val="21"/>
          <w:szCs w:val="21"/>
          <w:u w:val="single"/>
          <w:lang w:val="es-ES" w:eastAsia="es-ES"/>
        </w:rPr>
        <w:t>Legitimación:</w:t>
      </w:r>
      <w:r>
        <w:rPr>
          <w:rFonts w:ascii="Verdana" w:hAnsi="Verdana" w:cs="Verdana"/>
          <w:sz w:val="21"/>
          <w:szCs w:val="21"/>
          <w:lang w:val="es-ES" w:eastAsia="es-ES"/>
        </w:rPr>
        <w:t xml:space="preserve"> A </w:t>
      </w:r>
      <w:r>
        <w:rPr>
          <w:rFonts w:ascii="Verdana" w:hAnsi="Verdana" w:cs="Verdana"/>
          <w:b/>
          <w:bCs/>
          <w:sz w:val="21"/>
          <w:szCs w:val="21"/>
          <w:lang w:val="es-ES" w:eastAsia="es-ES"/>
        </w:rPr>
        <w:t>C</w:t>
      </w:r>
      <w:r w:rsidR="008B184F">
        <w:rPr>
          <w:rFonts w:ascii="Verdana" w:hAnsi="Verdana" w:cs="Verdana"/>
          <w:b/>
          <w:bCs/>
          <w:sz w:val="21"/>
          <w:szCs w:val="21"/>
          <w:lang w:val="es-ES" w:eastAsia="es-ES"/>
        </w:rPr>
        <w:t>.C.Z.</w:t>
      </w:r>
      <w:r>
        <w:rPr>
          <w:rFonts w:ascii="Verdana" w:hAnsi="Verdana" w:cs="Verdana"/>
          <w:b/>
          <w:bCs/>
          <w:sz w:val="21"/>
          <w:szCs w:val="21"/>
          <w:lang w:val="es-ES" w:eastAsia="es-ES"/>
        </w:rPr>
        <w:t xml:space="preserve">, cédula de identidad número </w:t>
      </w:r>
      <w:r w:rsidR="008B184F">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le caducaron con el acuerdo impugnado, la concesión de taxi </w:t>
      </w:r>
      <w:r>
        <w:rPr>
          <w:rFonts w:ascii="Verdana" w:hAnsi="Verdana" w:cs="Verdana"/>
          <w:b/>
          <w:bCs/>
          <w:i/>
          <w:iCs/>
          <w:sz w:val="21"/>
          <w:szCs w:val="21"/>
          <w:lang w:val="es-ES" w:eastAsia="es-ES"/>
        </w:rPr>
        <w:t>TP-</w:t>
      </w:r>
      <w:r w:rsidR="008B184F">
        <w:rPr>
          <w:rFonts w:ascii="Verdana" w:hAnsi="Verdana" w:cs="Verdana"/>
          <w:b/>
          <w:bCs/>
          <w:i/>
          <w:iCs/>
          <w:sz w:val="21"/>
          <w:szCs w:val="21"/>
          <w:lang w:val="es-ES" w:eastAsia="es-ES"/>
        </w:rPr>
        <w:t>XXX</w:t>
      </w:r>
      <w:r>
        <w:rPr>
          <w:rFonts w:ascii="Verdana" w:hAnsi="Verdana" w:cs="Verdana"/>
          <w:b/>
          <w:bCs/>
          <w:i/>
          <w:iCs/>
          <w:sz w:val="21"/>
          <w:szCs w:val="21"/>
          <w:lang w:val="es-ES" w:eastAsia="es-ES"/>
        </w:rPr>
        <w:t xml:space="preserve">, </w:t>
      </w:r>
      <w:r>
        <w:rPr>
          <w:rFonts w:ascii="Verdana" w:hAnsi="Verdana" w:cs="Verdana"/>
          <w:sz w:val="21"/>
          <w:szCs w:val="21"/>
          <w:lang w:val="es-ES" w:eastAsia="es-ES"/>
        </w:rPr>
        <w:t xml:space="preserve">por lo que cuenta con la legitimación necesaria para actuar en el presente asunto. </w:t>
      </w:r>
      <w:r>
        <w:rPr>
          <w:rFonts w:ascii="Verdana" w:hAnsi="Verdana" w:cs="Verdana"/>
          <w:b/>
          <w:bCs/>
          <w:sz w:val="21"/>
          <w:szCs w:val="21"/>
          <w:u w:val="single"/>
          <w:lang w:val="es-ES" w:eastAsia="es-ES"/>
        </w:rPr>
        <w:t xml:space="preserve">En cuanto al plazo:  </w:t>
      </w:r>
      <w:r>
        <w:rPr>
          <w:rFonts w:ascii="Verdana" w:hAnsi="Verdana" w:cs="Verdana"/>
          <w:sz w:val="21"/>
          <w:szCs w:val="21"/>
          <w:lang w:val="es-ES" w:eastAsia="es-ES"/>
        </w:rPr>
        <w:t>El Recurso de Apelación fue presentado dentro del plazo legal de cinco días establecido en el artículo 11 de la Ley Reguladora del Servicio Público de</w:t>
      </w:r>
    </w:p>
    <w:p w:rsidR="00926297" w:rsidRDefault="00926297">
      <w:pPr>
        <w:widowControl/>
        <w:rPr>
          <w:sz w:val="24"/>
          <w:szCs w:val="24"/>
        </w:rPr>
        <w:sectPr w:rsidR="00926297">
          <w:pgSz w:w="12312" w:h="15754"/>
          <w:pgMar w:top="2180" w:right="1793" w:bottom="37" w:left="1679" w:header="720" w:footer="720" w:gutter="0"/>
          <w:cols w:space="720"/>
          <w:noEndnote/>
        </w:sectPr>
      </w:pPr>
    </w:p>
    <w:p w:rsidR="00926297" w:rsidRDefault="00926297">
      <w:pPr>
        <w:widowControl/>
        <w:rPr>
          <w:sz w:val="24"/>
          <w:szCs w:val="24"/>
        </w:rPr>
        <w:sectPr w:rsidR="00926297">
          <w:type w:val="continuous"/>
          <w:pgSz w:w="12312" w:h="15754"/>
          <w:pgMar w:top="2180" w:right="1913" w:bottom="37" w:left="7399" w:header="720" w:footer="720" w:gutter="0"/>
          <w:cols w:space="720"/>
          <w:noEndnote/>
        </w:sectPr>
      </w:pPr>
    </w:p>
    <w:p w:rsidR="00926297" w:rsidRDefault="00F6102E">
      <w:pPr>
        <w:kinsoku w:val="0"/>
        <w:overflowPunct w:val="0"/>
        <w:autoSpaceDE/>
        <w:autoSpaceDN/>
        <w:adjustRightInd/>
        <w:spacing w:before="16" w:line="25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Transporte Remunerado de Personas en Vehículos en la Modalidad de Taxi, N. 7969 del 22 de diciembre de 1999.</w:t>
      </w:r>
    </w:p>
    <w:p w:rsidR="00926297" w:rsidRDefault="00F6102E" w:rsidP="008B184F">
      <w:pPr>
        <w:kinsoku w:val="0"/>
        <w:overflowPunct w:val="0"/>
        <w:autoSpaceDE/>
        <w:autoSpaceDN/>
        <w:adjustRightInd/>
        <w:spacing w:before="311" w:line="255" w:lineRule="exact"/>
        <w:ind w:left="72" w:right="72"/>
        <w:jc w:val="both"/>
        <w:textAlignment w:val="baseline"/>
        <w:rPr>
          <w:rFonts w:ascii="Verdana" w:hAnsi="Verdana" w:cs="Verdana"/>
          <w:sz w:val="22"/>
          <w:szCs w:val="22"/>
          <w:lang w:val="es-ES" w:eastAsia="es-ES"/>
        </w:rPr>
      </w:pPr>
      <w:r>
        <w:rPr>
          <w:rFonts w:ascii="Verdana" w:hAnsi="Verdana" w:cs="Verdana"/>
          <w:b/>
          <w:bCs/>
          <w:spacing w:val="-6"/>
          <w:sz w:val="22"/>
          <w:szCs w:val="22"/>
          <w:lang w:val="es-ES" w:eastAsia="es-ES"/>
        </w:rPr>
        <w:t xml:space="preserve">3.- HECHOS PROBADOS DE IMPORTANCIA PARA ESTE ASUNTO: A). - </w:t>
      </w:r>
      <w:r>
        <w:rPr>
          <w:rFonts w:ascii="Verdana" w:hAnsi="Verdana" w:cs="Verdana"/>
          <w:spacing w:val="-6"/>
          <w:sz w:val="22"/>
          <w:szCs w:val="22"/>
          <w:lang w:val="es-ES" w:eastAsia="es-ES"/>
        </w:rPr>
        <w:t xml:space="preserve">La </w:t>
      </w:r>
      <w:r>
        <w:rPr>
          <w:spacing w:val="-6"/>
          <w:lang w:val="es-ES" w:eastAsia="es-ES"/>
        </w:rPr>
        <w:t xml:space="preserve">JUNTA DIRECTIVA DEL CONSEJO DE TRANSPORTE PÚBLICO, </w:t>
      </w:r>
      <w:r>
        <w:rPr>
          <w:rFonts w:ascii="Verdana" w:hAnsi="Verdana" w:cs="Verdana"/>
          <w:spacing w:val="-6"/>
          <w:sz w:val="22"/>
          <w:szCs w:val="22"/>
          <w:lang w:val="es-ES" w:eastAsia="es-ES"/>
        </w:rPr>
        <w:t xml:space="preserve">mediante </w:t>
      </w:r>
      <w:r>
        <w:rPr>
          <w:rFonts w:ascii="Verdana" w:hAnsi="Verdana" w:cs="Verdana"/>
          <w:b/>
          <w:bCs/>
          <w:spacing w:val="-6"/>
          <w:sz w:val="22"/>
          <w:szCs w:val="22"/>
          <w:lang w:val="es-ES" w:eastAsia="es-ES"/>
        </w:rPr>
        <w:t xml:space="preserve">artículo 7.11 de la Sesión Ordinaria 30-2017 de 27 de julio de 2017, </w:t>
      </w:r>
      <w:r>
        <w:rPr>
          <w:rFonts w:ascii="Verdana" w:hAnsi="Verdana" w:cs="Verdana"/>
          <w:spacing w:val="-6"/>
          <w:sz w:val="22"/>
          <w:szCs w:val="22"/>
          <w:lang w:val="es-ES" w:eastAsia="es-ES"/>
        </w:rPr>
        <w:t xml:space="preserve">acuerda </w:t>
      </w:r>
      <w:r>
        <w:rPr>
          <w:rFonts w:ascii="Verdana" w:hAnsi="Verdana" w:cs="Verdana"/>
          <w:i/>
          <w:iCs/>
          <w:spacing w:val="-6"/>
          <w:sz w:val="22"/>
          <w:szCs w:val="22"/>
          <w:lang w:val="es-ES" w:eastAsia="es-ES"/>
        </w:rPr>
        <w:t xml:space="preserve">"...2. Decretar la cancelación automática del derecho de concesión de taxi </w:t>
      </w:r>
      <w:r>
        <w:rPr>
          <w:rFonts w:ascii="Verdana" w:hAnsi="Verdana" w:cs="Verdana"/>
          <w:b/>
          <w:bCs/>
          <w:i/>
          <w:iCs/>
          <w:spacing w:val="-6"/>
          <w:sz w:val="22"/>
          <w:szCs w:val="22"/>
          <w:lang w:val="es-ES" w:eastAsia="es-ES"/>
        </w:rPr>
        <w:t xml:space="preserve">TP </w:t>
      </w:r>
      <w:r w:rsidR="008B184F">
        <w:rPr>
          <w:rFonts w:ascii="Verdana" w:hAnsi="Verdana" w:cs="Verdana"/>
          <w:b/>
          <w:bCs/>
          <w:i/>
          <w:iCs/>
          <w:spacing w:val="-6"/>
          <w:sz w:val="22"/>
          <w:szCs w:val="22"/>
          <w:lang w:val="es-ES" w:eastAsia="es-ES"/>
        </w:rPr>
        <w:t>XXX</w:t>
      </w:r>
      <w:r>
        <w:rPr>
          <w:rFonts w:ascii="Verdana" w:hAnsi="Verdana" w:cs="Verdana"/>
          <w:b/>
          <w:bCs/>
          <w:i/>
          <w:iCs/>
          <w:spacing w:val="-6"/>
          <w:sz w:val="22"/>
          <w:szCs w:val="22"/>
          <w:lang w:val="es-ES" w:eastAsia="es-ES"/>
        </w:rPr>
        <w:t xml:space="preserve">, </w:t>
      </w:r>
      <w:r>
        <w:rPr>
          <w:rFonts w:ascii="Verdana" w:hAnsi="Verdana" w:cs="Verdana"/>
          <w:i/>
          <w:iCs/>
          <w:spacing w:val="-6"/>
          <w:sz w:val="22"/>
          <w:szCs w:val="22"/>
          <w:lang w:val="es-ES" w:eastAsia="es-ES"/>
        </w:rPr>
        <w:t xml:space="preserve">a nombre del señor </w:t>
      </w:r>
      <w:r>
        <w:rPr>
          <w:rFonts w:ascii="Verdana" w:hAnsi="Verdana" w:cs="Verdana"/>
          <w:b/>
          <w:bCs/>
          <w:i/>
          <w:iCs/>
          <w:spacing w:val="-6"/>
          <w:sz w:val="22"/>
          <w:szCs w:val="22"/>
          <w:lang w:val="es-ES" w:eastAsia="es-ES"/>
        </w:rPr>
        <w:t>C</w:t>
      </w:r>
      <w:r w:rsidR="008B184F">
        <w:rPr>
          <w:rFonts w:ascii="Verdana" w:hAnsi="Verdana" w:cs="Verdana"/>
          <w:b/>
          <w:bCs/>
          <w:i/>
          <w:iCs/>
          <w:spacing w:val="-6"/>
          <w:sz w:val="22"/>
          <w:szCs w:val="22"/>
          <w:lang w:val="es-ES" w:eastAsia="es-ES"/>
        </w:rPr>
        <w:t>.C.Z.</w:t>
      </w:r>
      <w:r>
        <w:rPr>
          <w:rFonts w:ascii="Verdana" w:hAnsi="Verdana" w:cs="Verdana"/>
          <w:b/>
          <w:bCs/>
          <w:i/>
          <w:iCs/>
          <w:spacing w:val="-6"/>
          <w:sz w:val="22"/>
          <w:szCs w:val="22"/>
          <w:lang w:val="es-ES" w:eastAsia="es-ES"/>
        </w:rPr>
        <w:t xml:space="preserve">, </w:t>
      </w:r>
      <w:r>
        <w:rPr>
          <w:rFonts w:ascii="Verdana" w:hAnsi="Verdana" w:cs="Verdana"/>
          <w:i/>
          <w:iCs/>
          <w:spacing w:val="-6"/>
          <w:sz w:val="22"/>
          <w:szCs w:val="22"/>
          <w:lang w:val="es-ES" w:eastAsia="es-ES"/>
        </w:rPr>
        <w:t>dado que le (sic) mismo no renovó oportunamente dicho derecho, el plazo se tiene como vencido, y la solicitud de reprogramación de cita fue realizado de manera extemporánea y contrario a los presupuestos establecidos en el artículo 7.14 de la Sesión ordinaria 63-2014 del 29 de octubre del 2014, además de que no aporta fundamento alguno que</w:t>
      </w:r>
      <w:r w:rsidR="008B184F">
        <w:rPr>
          <w:rFonts w:ascii="Verdana" w:hAnsi="Verdana" w:cs="Verdana"/>
          <w:i/>
          <w:iCs/>
          <w:spacing w:val="-6"/>
          <w:sz w:val="22"/>
          <w:szCs w:val="22"/>
          <w:lang w:val="es-ES" w:eastAsia="es-ES"/>
        </w:rPr>
        <w:t xml:space="preserve"> </w:t>
      </w:r>
      <w:r>
        <w:rPr>
          <w:rFonts w:ascii="Verdana" w:hAnsi="Verdana" w:cs="Verdana"/>
          <w:i/>
          <w:iCs/>
          <w:sz w:val="22"/>
          <w:szCs w:val="22"/>
          <w:lang w:val="es-ES" w:eastAsia="es-ES"/>
        </w:rPr>
        <w:t>justifique su omisión a la cita de renovación otorgada.</w:t>
      </w:r>
      <w:r w:rsidR="008B184F">
        <w:rPr>
          <w:rFonts w:ascii="Verdana" w:hAnsi="Verdana" w:cs="Verdana"/>
          <w:i/>
          <w:iCs/>
          <w:sz w:val="22"/>
          <w:szCs w:val="22"/>
          <w:lang w:val="es-ES" w:eastAsia="es-ES"/>
        </w:rPr>
        <w:t xml:space="preserve"> </w:t>
      </w:r>
      <w:r>
        <w:rPr>
          <w:rFonts w:ascii="Verdana" w:hAnsi="Verdana" w:cs="Verdana"/>
          <w:i/>
          <w:iCs/>
          <w:sz w:val="22"/>
          <w:szCs w:val="22"/>
          <w:lang w:val="es-ES" w:eastAsia="es-ES"/>
        </w:rPr>
        <w:t xml:space="preserve">" </w:t>
      </w:r>
      <w:r>
        <w:rPr>
          <w:rFonts w:ascii="Verdana" w:hAnsi="Verdana" w:cs="Verdana"/>
          <w:sz w:val="22"/>
          <w:szCs w:val="22"/>
          <w:lang w:val="es-ES" w:eastAsia="es-ES"/>
        </w:rPr>
        <w:t>(Léase folio 33</w:t>
      </w:r>
      <w:r w:rsidR="008B184F">
        <w:rPr>
          <w:rFonts w:ascii="Verdana" w:hAnsi="Verdana" w:cs="Verdana"/>
          <w:sz w:val="22"/>
          <w:szCs w:val="22"/>
          <w:lang w:val="es-ES" w:eastAsia="es-ES"/>
        </w:rPr>
        <w:t xml:space="preserve"> </w:t>
      </w:r>
      <w:r>
        <w:rPr>
          <w:rFonts w:ascii="Verdana" w:hAnsi="Verdana" w:cs="Verdana"/>
          <w:sz w:val="22"/>
          <w:szCs w:val="22"/>
          <w:lang w:val="es-ES" w:eastAsia="es-ES"/>
        </w:rPr>
        <w:t>cara y vuelto del expediente administrativo)</w:t>
      </w:r>
    </w:p>
    <w:p w:rsidR="00926297" w:rsidRDefault="00F6102E">
      <w:pPr>
        <w:numPr>
          <w:ilvl w:val="0"/>
          <w:numId w:val="4"/>
        </w:numPr>
        <w:kinsoku w:val="0"/>
        <w:overflowPunct w:val="0"/>
        <w:autoSpaceDE/>
        <w:autoSpaceDN/>
        <w:adjustRightInd/>
        <w:spacing w:before="262" w:line="260"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El recurrente presenta Apelación contra el acuerdo impugnado indicando en lo conducente, que no es cierto lo manifestado por la Administración en el sentido de no realizó diligencia alguna para la formalización del contrato pues siempre estuvo anuente a realizar la firma del mismo. Alega que se le ha violentado en su perjuicio el debido proceso pues su caso debió tramitarse mediante un procedimiento administrativo y no como se hizo con una cancelación automática. (Léanse folios del 10 al 32 del expediente administrativo)</w:t>
      </w:r>
    </w:p>
    <w:p w:rsidR="00926297" w:rsidRDefault="00F6102E">
      <w:pPr>
        <w:numPr>
          <w:ilvl w:val="0"/>
          <w:numId w:val="5"/>
        </w:numPr>
        <w:kinsoku w:val="0"/>
        <w:overflowPunct w:val="0"/>
        <w:autoSpaceDE/>
        <w:autoSpaceDN/>
        <w:adjustRightInd/>
        <w:spacing w:before="260" w:line="259"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7.18.5 de la Sesión Ordinaria 07-2018 de 28 de febrero de 2018,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 xml:space="preserve">DAJ-2018-000303 de 21 de febrero de 2018 y rechaza el recurso de Revocatoria y la Nulidad invocadas por improcedente. </w:t>
      </w:r>
      <w:r>
        <w:rPr>
          <w:rFonts w:ascii="Verdana" w:hAnsi="Verdana" w:cs="Verdana"/>
          <w:sz w:val="22"/>
          <w:szCs w:val="22"/>
          <w:lang w:val="es-ES" w:eastAsia="es-ES"/>
        </w:rPr>
        <w:t>(léanse folios del 2 al 8 del expediente administrativo)</w:t>
      </w:r>
    </w:p>
    <w:p w:rsidR="00926297" w:rsidRDefault="00F6102E" w:rsidP="008B184F">
      <w:pPr>
        <w:tabs>
          <w:tab w:val="right" w:pos="8712"/>
        </w:tabs>
        <w:kinsoku w:val="0"/>
        <w:overflowPunct w:val="0"/>
        <w:autoSpaceDE/>
        <w:autoSpaceDN/>
        <w:adjustRightInd/>
        <w:spacing w:before="255" w:line="260" w:lineRule="exact"/>
        <w:ind w:left="72" w:right="72"/>
        <w:jc w:val="both"/>
        <w:textAlignment w:val="baseline"/>
        <w:rPr>
          <w:rFonts w:ascii="Verdana" w:hAnsi="Verdana" w:cs="Verdana"/>
          <w:spacing w:val="-5"/>
          <w:sz w:val="22"/>
          <w:szCs w:val="22"/>
          <w:lang w:val="es-ES" w:eastAsia="es-ES"/>
        </w:rPr>
      </w:pPr>
      <w:r>
        <w:rPr>
          <w:rFonts w:ascii="Verdana" w:hAnsi="Verdana" w:cs="Verdana"/>
          <w:b/>
          <w:bCs/>
          <w:sz w:val="22"/>
          <w:szCs w:val="22"/>
          <w:lang w:val="es-ES" w:eastAsia="es-ES"/>
        </w:rPr>
        <w:t xml:space="preserve">D).- </w:t>
      </w:r>
      <w:r>
        <w:rPr>
          <w:rFonts w:ascii="Verdana" w:hAnsi="Verdana" w:cs="Verdana"/>
          <w:sz w:val="22"/>
          <w:szCs w:val="22"/>
          <w:lang w:val="es-ES" w:eastAsia="es-ES"/>
        </w:rPr>
        <w:t>Se tiene fehacientemente demostrado que el recurrente en</w:t>
      </w:r>
      <w:r w:rsidR="008B184F">
        <w:rPr>
          <w:rFonts w:ascii="Verdana" w:hAnsi="Verdana" w:cs="Verdana"/>
          <w:sz w:val="22"/>
          <w:szCs w:val="22"/>
          <w:lang w:val="es-ES" w:eastAsia="es-ES"/>
        </w:rPr>
        <w:t xml:space="preserve"> </w:t>
      </w:r>
      <w:r>
        <w:rPr>
          <w:rFonts w:ascii="Verdana" w:hAnsi="Verdana" w:cs="Verdana"/>
          <w:sz w:val="22"/>
          <w:szCs w:val="22"/>
          <w:lang w:val="es-ES" w:eastAsia="es-ES"/>
        </w:rPr>
        <w:t>el</w:t>
      </w:r>
      <w:r w:rsidR="008B184F">
        <w:rPr>
          <w:rFonts w:ascii="Verdana" w:hAnsi="Verdana" w:cs="Verdana"/>
          <w:sz w:val="22"/>
          <w:szCs w:val="22"/>
          <w:lang w:val="es-ES" w:eastAsia="es-ES"/>
        </w:rPr>
        <w:t xml:space="preserve"> </w:t>
      </w:r>
      <w:r>
        <w:rPr>
          <w:rFonts w:ascii="Verdana" w:hAnsi="Verdana" w:cs="Verdana"/>
          <w:spacing w:val="-5"/>
          <w:sz w:val="22"/>
          <w:szCs w:val="22"/>
          <w:lang w:val="es-ES" w:eastAsia="es-ES"/>
        </w:rPr>
        <w:t xml:space="preserve">"FORMULARIO PARA LA RENOVACIÓN DE CONCESIONES DE TAXIS" indicó como </w:t>
      </w:r>
      <w:r w:rsidRPr="008B184F">
        <w:rPr>
          <w:rFonts w:ascii="Verdana" w:hAnsi="Verdana" w:cs="Verdana"/>
          <w:spacing w:val="-5"/>
          <w:sz w:val="22"/>
          <w:szCs w:val="22"/>
          <w:lang w:val="es-ES" w:eastAsia="es-ES"/>
        </w:rPr>
        <w:t xml:space="preserve">medio para notificaciones la cuenta de correo </w:t>
      </w:r>
      <w:hyperlink r:id="rId7" w:history="1">
        <w:r w:rsidR="008B184F" w:rsidRPr="008B184F">
          <w:rPr>
            <w:rStyle w:val="Hipervnculo"/>
            <w:rFonts w:ascii="Verdana" w:hAnsi="Verdana" w:cs="Verdana"/>
            <w:color w:val="auto"/>
            <w:spacing w:val="-5"/>
            <w:sz w:val="22"/>
            <w:szCs w:val="22"/>
            <w:lang w:val="es-ES" w:eastAsia="es-ES"/>
          </w:rPr>
          <w:t>xxxxxx@hotmail.com</w:t>
        </w:r>
      </w:hyperlink>
      <w:r w:rsidRPr="008B184F">
        <w:rPr>
          <w:rFonts w:ascii="Verdana" w:hAnsi="Verdana" w:cs="Verdana"/>
          <w:spacing w:val="-5"/>
          <w:sz w:val="22"/>
          <w:szCs w:val="22"/>
          <w:u w:val="single"/>
          <w:lang w:val="es-ES" w:eastAsia="es-ES"/>
        </w:rPr>
        <w:t>;</w:t>
      </w:r>
      <w:r w:rsidRPr="008B184F">
        <w:rPr>
          <w:rFonts w:ascii="Verdana" w:hAnsi="Verdana" w:cs="Verdana"/>
          <w:spacing w:val="-5"/>
          <w:sz w:val="22"/>
          <w:szCs w:val="22"/>
          <w:lang w:val="es-ES" w:eastAsia="es-ES"/>
        </w:rPr>
        <w:t xml:space="preserve"> a este</w:t>
      </w:r>
      <w:r>
        <w:rPr>
          <w:rFonts w:ascii="Verdana" w:hAnsi="Verdana" w:cs="Verdana"/>
          <w:spacing w:val="-5"/>
          <w:sz w:val="22"/>
          <w:szCs w:val="22"/>
          <w:lang w:val="es-ES" w:eastAsia="es-ES"/>
        </w:rPr>
        <w:t xml:space="preserve"> medio se le notificó una primera cita para firmar el contrato de renovación de concesión para el 24 de noviembre de 2014 a las 3 de la tarde a la cual no asistió; el correo fue enviado el 20 de noviembre de ese año a las 10:01 de la mañana. Posteriormente a ese mismo medio se le notifica el 4 de febrero de 2016 una segunda cita para el 11 de febrero de 2016 a las 9:00 horas a la que no asistió. (Léanse folios 77, 82 y 83 del expediente administrativo)</w:t>
      </w:r>
    </w:p>
    <w:p w:rsidR="00926297" w:rsidRDefault="00F6102E">
      <w:pPr>
        <w:kinsoku w:val="0"/>
        <w:overflowPunct w:val="0"/>
        <w:autoSpaceDE/>
        <w:autoSpaceDN/>
        <w:adjustRightInd/>
        <w:spacing w:before="532" w:line="258" w:lineRule="exact"/>
        <w:ind w:left="72" w:right="72"/>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4.- HECHOS NO PROBADOS</w:t>
      </w:r>
    </w:p>
    <w:p w:rsidR="00926297" w:rsidRDefault="00F6102E">
      <w:pPr>
        <w:kinsoku w:val="0"/>
        <w:overflowPunct w:val="0"/>
        <w:autoSpaceDE/>
        <w:autoSpaceDN/>
        <w:adjustRightInd/>
        <w:spacing w:before="270" w:after="1382" w:line="260" w:lineRule="exact"/>
        <w:ind w:left="72" w:right="72"/>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Ninguno de importancia para la resolución del presente asunto.</w:t>
      </w:r>
    </w:p>
    <w:p w:rsidR="00926297" w:rsidRDefault="00926297">
      <w:pPr>
        <w:widowControl/>
        <w:rPr>
          <w:sz w:val="24"/>
          <w:szCs w:val="24"/>
        </w:rPr>
        <w:sectPr w:rsidR="00926297">
          <w:pgSz w:w="12312" w:h="15754"/>
          <w:pgMar w:top="1960" w:right="1921" w:bottom="187" w:left="1551" w:header="720" w:footer="720" w:gutter="0"/>
          <w:cols w:space="720"/>
          <w:noEndnote/>
        </w:sectPr>
      </w:pPr>
    </w:p>
    <w:p w:rsidR="00926297" w:rsidRDefault="00926297">
      <w:pPr>
        <w:widowControl/>
        <w:rPr>
          <w:sz w:val="24"/>
          <w:szCs w:val="24"/>
        </w:rPr>
        <w:sectPr w:rsidR="00926297">
          <w:type w:val="continuous"/>
          <w:pgSz w:w="12312" w:h="15754"/>
          <w:pgMar w:top="1960" w:right="1965" w:bottom="187" w:left="7347" w:header="720" w:footer="720" w:gutter="0"/>
          <w:cols w:space="720"/>
          <w:noEndnote/>
        </w:sectPr>
      </w:pPr>
    </w:p>
    <w:p w:rsidR="00926297" w:rsidRDefault="00F6102E">
      <w:pPr>
        <w:kinsoku w:val="0"/>
        <w:overflowPunct w:val="0"/>
        <w:autoSpaceDE/>
        <w:autoSpaceDN/>
        <w:adjustRightInd/>
        <w:spacing w:before="267" w:line="257" w:lineRule="exact"/>
        <w:ind w:left="72" w:right="72"/>
        <w:textAlignment w:val="baseline"/>
        <w:rPr>
          <w:rFonts w:ascii="Verdana" w:hAnsi="Verdana" w:cs="Verdana"/>
          <w:b/>
          <w:bCs/>
          <w:spacing w:val="-10"/>
          <w:sz w:val="23"/>
          <w:szCs w:val="23"/>
          <w:lang w:val="es-ES" w:eastAsia="es-ES"/>
        </w:rPr>
      </w:pPr>
      <w:r>
        <w:rPr>
          <w:rFonts w:ascii="Verdana" w:hAnsi="Verdana" w:cs="Verdana"/>
          <w:b/>
          <w:bCs/>
          <w:spacing w:val="-10"/>
          <w:sz w:val="23"/>
          <w:szCs w:val="23"/>
          <w:lang w:val="es-ES" w:eastAsia="es-ES"/>
        </w:rPr>
        <w:lastRenderedPageBreak/>
        <w:t>5.- SOBRE EL FONDO</w:t>
      </w:r>
    </w:p>
    <w:p w:rsidR="00926297" w:rsidRDefault="00F6102E">
      <w:pPr>
        <w:kinsoku w:val="0"/>
        <w:overflowPunct w:val="0"/>
        <w:autoSpaceDE/>
        <w:autoSpaceDN/>
        <w:adjustRightInd/>
        <w:spacing w:before="284" w:line="259" w:lineRule="exact"/>
        <w:ind w:left="72" w:right="72"/>
        <w:jc w:val="both"/>
        <w:textAlignment w:val="baseline"/>
        <w:rPr>
          <w:rFonts w:ascii="Verdana" w:hAnsi="Verdana" w:cs="Verdana"/>
          <w:b/>
          <w:bCs/>
          <w:spacing w:val="-11"/>
          <w:sz w:val="23"/>
          <w:szCs w:val="23"/>
          <w:lang w:val="es-ES" w:eastAsia="es-ES"/>
        </w:rPr>
      </w:pPr>
      <w:r>
        <w:rPr>
          <w:rFonts w:ascii="Verdana" w:hAnsi="Verdana" w:cs="Verdana"/>
          <w:b/>
          <w:bCs/>
          <w:spacing w:val="-11"/>
          <w:sz w:val="23"/>
          <w:szCs w:val="23"/>
          <w:lang w:val="es-ES" w:eastAsia="es-ES"/>
        </w:rPr>
        <w:t xml:space="preserve">OBJETO DEL PROCEDIMIENTO. </w:t>
      </w:r>
      <w:r>
        <w:rPr>
          <w:rFonts w:ascii="Verdana" w:hAnsi="Verdana" w:cs="Verdana"/>
          <w:spacing w:val="-11"/>
          <w:sz w:val="23"/>
          <w:szCs w:val="23"/>
          <w:lang w:val="es-ES" w:eastAsia="es-ES"/>
        </w:rPr>
        <w:t xml:space="preserve">Determinar si existe ilegalidad del </w:t>
      </w:r>
      <w:r>
        <w:rPr>
          <w:rFonts w:ascii="Verdana" w:hAnsi="Verdana" w:cs="Verdana"/>
          <w:b/>
          <w:bCs/>
          <w:spacing w:val="-11"/>
          <w:sz w:val="23"/>
          <w:szCs w:val="23"/>
          <w:lang w:val="es-ES" w:eastAsia="es-ES"/>
        </w:rPr>
        <w:t xml:space="preserve">artículo 7.11 de la Sesión Ordinaria 30-2017 de 27 de julio de 2017, </w:t>
      </w:r>
      <w:r>
        <w:rPr>
          <w:rFonts w:ascii="Verdana" w:hAnsi="Verdana" w:cs="Verdana"/>
          <w:spacing w:val="-11"/>
          <w:sz w:val="23"/>
          <w:szCs w:val="23"/>
          <w:lang w:val="es-ES" w:eastAsia="es-ES"/>
        </w:rPr>
        <w:t xml:space="preserve">del Consejo de Transporte Público y de ser así, el consecuente restablecimiento de la concesión de taxi otorgada al señor </w:t>
      </w:r>
      <w:r>
        <w:rPr>
          <w:rFonts w:ascii="Verdana" w:hAnsi="Verdana" w:cs="Verdana"/>
          <w:b/>
          <w:bCs/>
          <w:spacing w:val="-11"/>
          <w:sz w:val="23"/>
          <w:szCs w:val="23"/>
          <w:lang w:val="es-ES" w:eastAsia="es-ES"/>
        </w:rPr>
        <w:t>C</w:t>
      </w:r>
      <w:r w:rsidR="008B184F">
        <w:rPr>
          <w:rFonts w:ascii="Verdana" w:hAnsi="Verdana" w:cs="Verdana"/>
          <w:b/>
          <w:bCs/>
          <w:spacing w:val="-11"/>
          <w:sz w:val="23"/>
          <w:szCs w:val="23"/>
          <w:lang w:val="es-ES" w:eastAsia="es-ES"/>
        </w:rPr>
        <w:t>.C.Z.</w:t>
      </w:r>
      <w:r>
        <w:rPr>
          <w:rFonts w:ascii="Verdana" w:hAnsi="Verdana" w:cs="Verdana"/>
          <w:b/>
          <w:bCs/>
          <w:spacing w:val="-11"/>
          <w:sz w:val="23"/>
          <w:szCs w:val="23"/>
          <w:lang w:val="es-ES" w:eastAsia="es-ES"/>
        </w:rPr>
        <w:t xml:space="preserve">, cédula de identidad número </w:t>
      </w:r>
      <w:r w:rsidR="008B184F">
        <w:rPr>
          <w:rFonts w:ascii="Verdana" w:hAnsi="Verdana" w:cs="Verdana"/>
          <w:b/>
          <w:bCs/>
          <w:spacing w:val="-11"/>
          <w:sz w:val="23"/>
          <w:szCs w:val="23"/>
          <w:lang w:val="es-ES" w:eastAsia="es-ES"/>
        </w:rPr>
        <w:t>…</w:t>
      </w:r>
    </w:p>
    <w:p w:rsidR="00926297" w:rsidRDefault="00F6102E">
      <w:pPr>
        <w:kinsoku w:val="0"/>
        <w:overflowPunct w:val="0"/>
        <w:autoSpaceDE/>
        <w:autoSpaceDN/>
        <w:adjustRightInd/>
        <w:spacing w:line="540" w:lineRule="exact"/>
        <w:ind w:left="72" w:right="1368"/>
        <w:textAlignment w:val="baseline"/>
        <w:rPr>
          <w:rFonts w:ascii="Verdana" w:hAnsi="Verdana" w:cs="Verdana"/>
          <w:b/>
          <w:bCs/>
          <w:sz w:val="23"/>
          <w:szCs w:val="23"/>
          <w:lang w:val="es-ES" w:eastAsia="es-ES"/>
        </w:rPr>
      </w:pPr>
      <w:r>
        <w:rPr>
          <w:rFonts w:ascii="Verdana" w:hAnsi="Verdana" w:cs="Verdana"/>
          <w:b/>
          <w:bCs/>
          <w:sz w:val="23"/>
          <w:szCs w:val="23"/>
          <w:lang w:val="es-ES" w:eastAsia="es-ES"/>
        </w:rPr>
        <w:t>DE LO ACTUADO POR EL CONSEJO DE TRANSPORTE PÚBLICO DEL PRINCIPIO DE LEGALIDAD</w:t>
      </w:r>
    </w:p>
    <w:p w:rsidR="00926297" w:rsidRDefault="00F6102E">
      <w:pPr>
        <w:kinsoku w:val="0"/>
        <w:overflowPunct w:val="0"/>
        <w:autoSpaceDE/>
        <w:autoSpaceDN/>
        <w:adjustRightInd/>
        <w:spacing w:before="311" w:line="280"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926297" w:rsidRDefault="00F6102E">
      <w:pPr>
        <w:kinsoku w:val="0"/>
        <w:overflowPunct w:val="0"/>
        <w:autoSpaceDE/>
        <w:autoSpaceDN/>
        <w:adjustRightInd/>
        <w:spacing w:before="283" w:line="280"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La Sala Constitucional de la Corte Suprema de Justicia, en su sentencia No. 2001-02493, de las dieciséis horas, con veinticinco minutos, del veintisiete de marzo del dos mil uno, respecto del Principio de Legalidad, manifestó:</w:t>
      </w:r>
    </w:p>
    <w:p w:rsidR="00926297" w:rsidRDefault="00F6102E">
      <w:pPr>
        <w:kinsoku w:val="0"/>
        <w:overflowPunct w:val="0"/>
        <w:autoSpaceDE/>
        <w:autoSpaceDN/>
        <w:adjustRightInd/>
        <w:spacing w:before="384" w:line="279" w:lineRule="exact"/>
        <w:ind w:left="72" w:right="72"/>
        <w:jc w:val="both"/>
        <w:textAlignment w:val="baseline"/>
        <w:rPr>
          <w:rFonts w:ascii="Verdana" w:hAnsi="Verdana" w:cs="Verdana"/>
          <w:b/>
          <w:bCs/>
          <w:sz w:val="23"/>
          <w:szCs w:val="23"/>
          <w:lang w:val="es-ES" w:eastAsia="es-ES"/>
        </w:rPr>
      </w:pPr>
      <w:r>
        <w:rPr>
          <w:rFonts w:ascii="Verdana" w:hAnsi="Verdana" w:cs="Verdana"/>
          <w:sz w:val="23"/>
          <w:szCs w:val="23"/>
          <w:lang w:val="es-ES" w:eastAsia="es-ES"/>
        </w:rPr>
        <w:t xml:space="preserve">"II.- Sobre el principio de legalidad: El principio de legalidad que se consagra en el artículo 11 de nuestra Constitución Política, significa que </w:t>
      </w:r>
      <w:r>
        <w:rPr>
          <w:rFonts w:ascii="Verdana" w:hAnsi="Verdana" w:cs="Verdana"/>
          <w:b/>
          <w:bCs/>
          <w:sz w:val="23"/>
          <w:szCs w:val="23"/>
          <w:u w:val="single"/>
          <w:lang w:val="es-ES" w:eastAsia="es-ES"/>
        </w:rPr>
        <w:t>los actos y comportamientos de la Administración deben de estar  regulados por norma escrita,</w:t>
      </w:r>
      <w:r>
        <w:rPr>
          <w:rFonts w:ascii="Verdana" w:hAnsi="Verdana" w:cs="Verdana"/>
          <w:sz w:val="23"/>
          <w:szCs w:val="23"/>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z w:val="23"/>
          <w:szCs w:val="23"/>
          <w:u w:val="single"/>
          <w:lang w:val="es-ES" w:eastAsia="es-ES"/>
        </w:rPr>
        <w:t>el cual significa  que las instituciones públicas solamente pueden actuar en la  medida en la que se encuentren apoderadas para hacerlo por el  mismo ordenamiento y normalmente a texto expreso,</w:t>
      </w:r>
      <w:r>
        <w:rPr>
          <w:rFonts w:ascii="Verdana" w:hAnsi="Verdana" w:cs="Verdana"/>
          <w:b/>
          <w:bCs/>
          <w:sz w:val="23"/>
          <w:szCs w:val="23"/>
          <w:lang w:val="es-ES" w:eastAsia="es-ES"/>
        </w:rPr>
        <w:t xml:space="preserve"> en </w:t>
      </w:r>
      <w:r>
        <w:rPr>
          <w:rFonts w:ascii="Verdana" w:hAnsi="Verdana" w:cs="Verdana"/>
          <w:b/>
          <w:bCs/>
          <w:sz w:val="23"/>
          <w:szCs w:val="23"/>
          <w:u w:val="single"/>
          <w:lang w:val="es-ES" w:eastAsia="es-ES"/>
        </w:rPr>
        <w:t xml:space="preserve">consecuencia solo le es permitido lo que esté constitucionalmente y legalmente autorizado en forma expresa </w:t>
      </w:r>
      <w:r>
        <w:rPr>
          <w:rFonts w:ascii="Verdana" w:hAnsi="Verdana" w:cs="Verdana"/>
          <w:b/>
          <w:bCs/>
          <w:i/>
          <w:iCs/>
          <w:sz w:val="23"/>
          <w:szCs w:val="23"/>
          <w:u w:val="single"/>
          <w:lang w:val="es-ES" w:eastAsia="es-ES"/>
        </w:rPr>
        <w:t>y todo lo que no les esté autorizado les está vedado. "</w:t>
      </w:r>
      <w:r>
        <w:rPr>
          <w:rFonts w:ascii="Verdana" w:hAnsi="Verdana" w:cs="Verdana"/>
          <w:b/>
          <w:bCs/>
          <w:sz w:val="23"/>
          <w:szCs w:val="23"/>
          <w:lang w:val="es-ES" w:eastAsia="es-ES"/>
        </w:rPr>
        <w:t xml:space="preserve"> (Lo resaltado no es del original)</w:t>
      </w:r>
    </w:p>
    <w:p w:rsidR="00926297" w:rsidRDefault="00F6102E">
      <w:pPr>
        <w:kinsoku w:val="0"/>
        <w:overflowPunct w:val="0"/>
        <w:autoSpaceDE/>
        <w:autoSpaceDN/>
        <w:adjustRightInd/>
        <w:spacing w:before="266" w:after="1418" w:line="280"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El Principio de Legalidad constituye pues el marco de acción o actuación al cual se encuentra sujeto todo funcionario público y de no ajustarse a éste sus actos son nulos.</w:t>
      </w:r>
    </w:p>
    <w:p w:rsidR="00926297" w:rsidRDefault="00926297">
      <w:pPr>
        <w:widowControl/>
        <w:rPr>
          <w:sz w:val="24"/>
          <w:szCs w:val="24"/>
        </w:rPr>
        <w:sectPr w:rsidR="00926297">
          <w:pgSz w:w="12307" w:h="15725"/>
          <w:pgMar w:top="1900" w:right="1769" w:bottom="32" w:left="1698" w:header="720" w:footer="720" w:gutter="0"/>
          <w:cols w:space="720"/>
          <w:noEndnote/>
        </w:sectPr>
      </w:pPr>
    </w:p>
    <w:p w:rsidR="00926297" w:rsidRDefault="00F6102E">
      <w:pPr>
        <w:tabs>
          <w:tab w:val="right" w:pos="3024"/>
        </w:tabs>
        <w:kinsoku w:val="0"/>
        <w:overflowPunct w:val="0"/>
        <w:autoSpaceDE/>
        <w:autoSpaceDN/>
        <w:adjustRightInd/>
        <w:spacing w:line="275" w:lineRule="exact"/>
        <w:textAlignment w:val="baseline"/>
        <w:rPr>
          <w:sz w:val="24"/>
          <w:szCs w:val="24"/>
          <w:lang w:val="es-ES" w:eastAsia="es-ES"/>
        </w:rPr>
      </w:pPr>
      <w:r>
        <w:rPr>
          <w:sz w:val="24"/>
          <w:szCs w:val="24"/>
          <w:lang w:val="es-ES" w:eastAsia="es-ES"/>
        </w:rPr>
        <w:tab/>
      </w:r>
    </w:p>
    <w:p w:rsidR="00926297" w:rsidRDefault="00926297">
      <w:pPr>
        <w:widowControl/>
        <w:rPr>
          <w:sz w:val="24"/>
          <w:szCs w:val="24"/>
        </w:rPr>
        <w:sectPr w:rsidR="00926297">
          <w:type w:val="continuous"/>
          <w:pgSz w:w="12307" w:h="15725"/>
          <w:pgMar w:top="1900" w:right="1881" w:bottom="32" w:left="7426" w:header="720" w:footer="720" w:gutter="0"/>
          <w:cols w:space="720"/>
          <w:noEndnote/>
        </w:sectPr>
      </w:pPr>
    </w:p>
    <w:p w:rsidR="00926297" w:rsidRDefault="00F6102E">
      <w:pPr>
        <w:kinsoku w:val="0"/>
        <w:overflowPunct w:val="0"/>
        <w:autoSpaceDE/>
        <w:autoSpaceDN/>
        <w:adjustRightInd/>
        <w:spacing w:before="18" w:line="268" w:lineRule="exact"/>
        <w:ind w:left="72" w:right="72"/>
        <w:textAlignment w:val="baseline"/>
        <w:rPr>
          <w:rFonts w:ascii="Verdana" w:hAnsi="Verdana" w:cs="Verdana"/>
          <w:b/>
          <w:bCs/>
          <w:spacing w:val="16"/>
          <w:sz w:val="19"/>
          <w:szCs w:val="19"/>
          <w:lang w:val="es-ES" w:eastAsia="es-ES"/>
        </w:rPr>
      </w:pPr>
      <w:r>
        <w:rPr>
          <w:rFonts w:ascii="Verdana" w:hAnsi="Verdana" w:cs="Verdana"/>
          <w:b/>
          <w:bCs/>
          <w:spacing w:val="16"/>
          <w:sz w:val="19"/>
          <w:szCs w:val="19"/>
          <w:lang w:val="es-ES" w:eastAsia="es-ES"/>
        </w:rPr>
        <w:lastRenderedPageBreak/>
        <w:t>DE LA MOTIVACIÓN DE LOS ACTOS ADMINISTRATIVOS.</w:t>
      </w:r>
    </w:p>
    <w:p w:rsidR="00926297" w:rsidRDefault="00F6102E">
      <w:pPr>
        <w:kinsoku w:val="0"/>
        <w:overflowPunct w:val="0"/>
        <w:autoSpaceDE/>
        <w:autoSpaceDN/>
        <w:adjustRightInd/>
        <w:spacing w:before="260" w:line="260" w:lineRule="exact"/>
        <w:ind w:left="72" w:right="72"/>
        <w:jc w:val="both"/>
        <w:textAlignment w:val="baseline"/>
        <w:rPr>
          <w:rFonts w:ascii="Verdana" w:hAnsi="Verdana" w:cs="Verdana"/>
          <w:spacing w:val="10"/>
          <w:sz w:val="19"/>
          <w:szCs w:val="19"/>
          <w:lang w:val="es-ES" w:eastAsia="es-ES"/>
        </w:rPr>
      </w:pPr>
      <w:r>
        <w:rPr>
          <w:rFonts w:ascii="Verdana" w:hAnsi="Verdana" w:cs="Verdana"/>
          <w:spacing w:val="10"/>
          <w:sz w:val="19"/>
          <w:szCs w:val="19"/>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26297" w:rsidRDefault="00F6102E">
      <w:pPr>
        <w:kinsoku w:val="0"/>
        <w:overflowPunct w:val="0"/>
        <w:autoSpaceDE/>
        <w:autoSpaceDN/>
        <w:adjustRightInd/>
        <w:spacing w:before="247" w:line="260" w:lineRule="exact"/>
        <w:ind w:left="72" w:right="72"/>
        <w:jc w:val="both"/>
        <w:textAlignment w:val="baseline"/>
        <w:rPr>
          <w:rFonts w:ascii="Verdana" w:hAnsi="Verdana" w:cs="Verdana"/>
          <w:spacing w:val="12"/>
          <w:sz w:val="19"/>
          <w:szCs w:val="19"/>
          <w:lang w:val="es-ES" w:eastAsia="es-ES"/>
        </w:rPr>
      </w:pPr>
      <w:r>
        <w:rPr>
          <w:rFonts w:ascii="Verdana" w:hAnsi="Verdana" w:cs="Verdana"/>
          <w:spacing w:val="12"/>
          <w:sz w:val="19"/>
          <w:szCs w:val="19"/>
          <w:lang w:val="es-ES" w:eastAsia="es-ES"/>
        </w:rPr>
        <w:t>Lo anterior, solo se logra a través de la motivación, pues es allí donde la Administración, podrá justificar de manera, lógica, técnica, científica o jurídicamente la decisión que ha de adoptar.</w:t>
      </w:r>
    </w:p>
    <w:p w:rsidR="00926297" w:rsidRDefault="00F6102E">
      <w:pPr>
        <w:kinsoku w:val="0"/>
        <w:overflowPunct w:val="0"/>
        <w:autoSpaceDE/>
        <w:autoSpaceDN/>
        <w:adjustRightInd/>
        <w:spacing w:before="250" w:line="260" w:lineRule="exact"/>
        <w:ind w:left="72" w:right="72"/>
        <w:jc w:val="both"/>
        <w:textAlignment w:val="baseline"/>
        <w:rPr>
          <w:rFonts w:ascii="Verdana" w:hAnsi="Verdana" w:cs="Verdana"/>
          <w:spacing w:val="11"/>
          <w:sz w:val="19"/>
          <w:szCs w:val="19"/>
          <w:lang w:val="es-ES" w:eastAsia="es-ES"/>
        </w:rPr>
      </w:pPr>
      <w:r>
        <w:rPr>
          <w:rFonts w:ascii="Verdana" w:hAnsi="Verdana" w:cs="Verdana"/>
          <w:spacing w:val="11"/>
          <w:sz w:val="19"/>
          <w:szCs w:val="19"/>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26297" w:rsidRDefault="00F6102E">
      <w:pPr>
        <w:kinsoku w:val="0"/>
        <w:overflowPunct w:val="0"/>
        <w:autoSpaceDE/>
        <w:autoSpaceDN/>
        <w:adjustRightInd/>
        <w:spacing w:before="262" w:line="260" w:lineRule="exact"/>
        <w:ind w:left="72" w:right="72"/>
        <w:jc w:val="both"/>
        <w:textAlignment w:val="baseline"/>
        <w:rPr>
          <w:rFonts w:ascii="Verdana" w:hAnsi="Verdana" w:cs="Verdana"/>
          <w:spacing w:val="12"/>
          <w:sz w:val="19"/>
          <w:szCs w:val="19"/>
          <w:lang w:val="es-ES" w:eastAsia="es-ES"/>
        </w:rPr>
      </w:pPr>
      <w:r>
        <w:rPr>
          <w:rFonts w:ascii="Verdana" w:hAnsi="Verdana" w:cs="Verdana"/>
          <w:spacing w:val="12"/>
          <w:sz w:val="19"/>
          <w:szCs w:val="19"/>
          <w:lang w:val="es-ES" w:eastAsia="es-ES"/>
        </w:rPr>
        <w:t>El Tribunal Contencioso Administrativo Sección II en su sentencia 00542 de las diez horas cincuenta minutos del veintitrés de noviembre del 2007 indicó:</w:t>
      </w:r>
    </w:p>
    <w:p w:rsidR="00926297" w:rsidRDefault="00F6102E">
      <w:pPr>
        <w:kinsoku w:val="0"/>
        <w:overflowPunct w:val="0"/>
        <w:autoSpaceDE/>
        <w:autoSpaceDN/>
        <w:adjustRightInd/>
        <w:spacing w:before="306" w:after="432" w:line="237" w:lineRule="exact"/>
        <w:ind w:left="432" w:right="432"/>
        <w:jc w:val="both"/>
        <w:textAlignment w:val="baseline"/>
        <w:rPr>
          <w:rFonts w:ascii="Verdana" w:hAnsi="Verdana" w:cs="Verdana"/>
          <w:i/>
          <w:iCs/>
          <w:sz w:val="19"/>
          <w:szCs w:val="19"/>
          <w:lang w:val="es-ES" w:eastAsia="es-ES"/>
        </w:rPr>
      </w:pPr>
      <w:r>
        <w:rPr>
          <w:rFonts w:ascii="Verdana" w:hAnsi="Verdana" w:cs="Verdana"/>
          <w:b/>
          <w:bCs/>
          <w:i/>
          <w:iCs/>
          <w:sz w:val="19"/>
          <w:szCs w:val="19"/>
          <w:lang w:val="es-ES" w:eastAsia="es-ES"/>
        </w:rPr>
        <w:t xml:space="preserve">"IV.- DE LA MOTIVACIÓN COMO ELEMENTO ESENCIAL DE LA ACTUACIÓN FORMAL DE LA ADMINISTRACIÓN PÚBLICA. - </w:t>
      </w:r>
      <w:r>
        <w:rPr>
          <w:rFonts w:ascii="Verdana" w:hAnsi="Verdana" w:cs="Verdana"/>
          <w:i/>
          <w:iCs/>
          <w:sz w:val="19"/>
          <w:szCs w:val="19"/>
          <w:lang w:val="es-ES" w:eastAsia="es-ES"/>
        </w:rPr>
        <w:t xml:space="preserve">El </w:t>
      </w:r>
      <w:r>
        <w:rPr>
          <w:rFonts w:ascii="Verdana" w:hAnsi="Verdana" w:cs="Verdana"/>
          <w:b/>
          <w:bCs/>
          <w:i/>
          <w:iCs/>
          <w:sz w:val="19"/>
          <w:szCs w:val="19"/>
          <w:lang w:val="es-ES" w:eastAsia="es-ES"/>
        </w:rPr>
        <w:t xml:space="preserve">primer motivo de impugnación </w:t>
      </w:r>
      <w:r>
        <w:rPr>
          <w:rFonts w:ascii="Verdana" w:hAnsi="Verdana" w:cs="Verdana"/>
          <w:i/>
          <w:iCs/>
          <w:sz w:val="19"/>
          <w:szCs w:val="19"/>
          <w:lang w:val="es-ES" w:eastAsia="es-ES"/>
        </w:rPr>
        <w:t xml:space="preserve">es la </w:t>
      </w:r>
      <w:r>
        <w:rPr>
          <w:rFonts w:ascii="Verdana" w:hAnsi="Verdana" w:cs="Verdana"/>
          <w:b/>
          <w:bCs/>
          <w:i/>
          <w:iCs/>
          <w:sz w:val="19"/>
          <w:szCs w:val="19"/>
          <w:lang w:val="es-ES" w:eastAsia="es-ES"/>
        </w:rPr>
        <w:t xml:space="preserve">falta de fundamentación e incongruencia de la resolución administrativa impugnada. </w:t>
      </w:r>
      <w:r>
        <w:rPr>
          <w:rFonts w:ascii="Verdana" w:hAnsi="Verdana" w:cs="Verdana"/>
          <w:i/>
          <w:iCs/>
          <w:sz w:val="19"/>
          <w:szCs w:val="19"/>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z w:val="19"/>
          <w:szCs w:val="19"/>
          <w:u w:val="single"/>
          <w:lang w:val="es-ES" w:eastAsia="es-ES"/>
        </w:rPr>
        <w:t xml:space="preserve">materiales </w:t>
      </w:r>
      <w:r>
        <w:rPr>
          <w:rFonts w:ascii="Verdana" w:hAnsi="Verdana" w:cs="Verdana"/>
          <w:b/>
          <w:bCs/>
          <w:i/>
          <w:iCs/>
          <w:sz w:val="19"/>
          <w:szCs w:val="19"/>
          <w:lang w:val="es-ES" w:eastAsia="es-ES"/>
        </w:rPr>
        <w:t xml:space="preserve">, </w:t>
      </w:r>
      <w:r>
        <w:rPr>
          <w:rFonts w:ascii="Verdana" w:hAnsi="Verdana" w:cs="Verdana"/>
          <w:i/>
          <w:iCs/>
          <w:sz w:val="19"/>
          <w:szCs w:val="19"/>
          <w:lang w:val="es-ES" w:eastAsia="es-ES"/>
        </w:rPr>
        <w:t xml:space="preserve">relativos a los </w:t>
      </w:r>
      <w:r>
        <w:rPr>
          <w:rFonts w:ascii="Verdana" w:hAnsi="Verdana" w:cs="Verdana"/>
          <w:b/>
          <w:bCs/>
          <w:i/>
          <w:iCs/>
          <w:sz w:val="19"/>
          <w:szCs w:val="19"/>
          <w:lang w:val="es-ES" w:eastAsia="es-ES"/>
        </w:rPr>
        <w:t xml:space="preserve">elementos subjetivos ( </w:t>
      </w:r>
      <w:r>
        <w:rPr>
          <w:rFonts w:ascii="Verdana" w:hAnsi="Verdana" w:cs="Verdana"/>
          <w:i/>
          <w:iCs/>
          <w:sz w:val="19"/>
          <w:szCs w:val="19"/>
          <w:lang w:val="es-ES" w:eastAsia="es-ES"/>
        </w:rPr>
        <w:t xml:space="preserve">competencia, legitimación e investidura ), </w:t>
      </w:r>
      <w:r>
        <w:rPr>
          <w:rFonts w:ascii="Verdana" w:hAnsi="Verdana" w:cs="Verdana"/>
          <w:b/>
          <w:bCs/>
          <w:i/>
          <w:iCs/>
          <w:sz w:val="19"/>
          <w:szCs w:val="19"/>
          <w:lang w:val="es-ES" w:eastAsia="es-ES"/>
        </w:rPr>
        <w:t xml:space="preserve">objetivos ( </w:t>
      </w:r>
      <w:r>
        <w:rPr>
          <w:rFonts w:ascii="Verdana" w:hAnsi="Verdana" w:cs="Verdana"/>
          <w:i/>
          <w:iCs/>
          <w:sz w:val="19"/>
          <w:szCs w:val="19"/>
          <w:lang w:val="es-ES" w:eastAsia="es-ES"/>
        </w:rPr>
        <w:t xml:space="preserve">fin, contenido y motivo -artículos 131, 132 y 133 de la Ley General de la Administración Pública y 49 de la Constitución Política) y </w:t>
      </w:r>
      <w:r>
        <w:rPr>
          <w:rFonts w:ascii="Verdana" w:hAnsi="Verdana" w:cs="Verdana"/>
          <w:b/>
          <w:bCs/>
          <w:i/>
          <w:iCs/>
          <w:sz w:val="19"/>
          <w:szCs w:val="19"/>
          <w:lang w:val="es-ES" w:eastAsia="es-ES"/>
        </w:rPr>
        <w:t xml:space="preserve">formales </w:t>
      </w:r>
      <w:r>
        <w:rPr>
          <w:rFonts w:ascii="Verdana" w:hAnsi="Verdana" w:cs="Verdana"/>
          <w:i/>
          <w:iCs/>
          <w:sz w:val="19"/>
          <w:szCs w:val="19"/>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z w:val="19"/>
          <w:szCs w:val="19"/>
          <w:u w:val="single"/>
          <w:lang w:val="es-ES" w:eastAsia="es-ES"/>
        </w:rPr>
        <w:t>Tratado de Derecho Administrativo.</w:t>
      </w:r>
      <w:r>
        <w:rPr>
          <w:rFonts w:ascii="Verdana" w:hAnsi="Verdana" w:cs="Verdana"/>
          <w:i/>
          <w:iCs/>
          <w:sz w:val="19"/>
          <w:szCs w:val="19"/>
          <w:lang w:val="es-ES" w:eastAsia="es-ES"/>
        </w:rPr>
        <w:t xml:space="preserve"> Tomo L (Parte General). Biblioteca Jurídica </w:t>
      </w:r>
      <w:proofErr w:type="spellStart"/>
      <w:r>
        <w:rPr>
          <w:rFonts w:ascii="Verdana" w:hAnsi="Verdana" w:cs="Verdana"/>
          <w:i/>
          <w:iCs/>
          <w:sz w:val="19"/>
          <w:szCs w:val="19"/>
          <w:lang w:val="es-ES" w:eastAsia="es-ES"/>
        </w:rPr>
        <w:t>Dike</w:t>
      </w:r>
      <w:proofErr w:type="spellEnd"/>
      <w:r>
        <w:rPr>
          <w:rFonts w:ascii="Verdana" w:hAnsi="Verdana" w:cs="Verdana"/>
          <w:i/>
          <w:iCs/>
          <w:sz w:val="19"/>
          <w:szCs w:val="19"/>
          <w:lang w:val="es-ES" w:eastAsia="es-ES"/>
        </w:rPr>
        <w:t xml:space="preserve">. Primera edición. Medellín, Colombia. 2002. p. 388.) De manera que la motivación debe </w:t>
      </w:r>
      <w:r>
        <w:rPr>
          <w:rFonts w:ascii="Verdana" w:hAnsi="Verdana" w:cs="Verdana"/>
          <w:b/>
          <w:bCs/>
          <w:i/>
          <w:iCs/>
          <w:sz w:val="19"/>
          <w:szCs w:val="19"/>
          <w:lang w:val="es-ES" w:eastAsia="es-ES"/>
        </w:rPr>
        <w:t xml:space="preserve">determinar la aplicación de un concepto a las circunstancias de hecho singulares de que se trate </w:t>
      </w:r>
      <w:r>
        <w:rPr>
          <w:rFonts w:ascii="Verdana" w:hAnsi="Verdana" w:cs="Verdana"/>
          <w:i/>
          <w:iCs/>
          <w:sz w:val="19"/>
          <w:szCs w:val="19"/>
          <w:lang w:val="es-ES" w:eastAsia="es-ES"/>
        </w:rPr>
        <w:t>(según</w:t>
      </w:r>
    </w:p>
    <w:p w:rsidR="00926297" w:rsidRDefault="00926297">
      <w:pPr>
        <w:widowControl/>
        <w:rPr>
          <w:sz w:val="24"/>
          <w:szCs w:val="24"/>
        </w:rPr>
        <w:sectPr w:rsidR="00926297">
          <w:pgSz w:w="12307" w:h="15725"/>
          <w:pgMar w:top="1940" w:right="1911" w:bottom="162" w:left="1556" w:header="720" w:footer="720" w:gutter="0"/>
          <w:cols w:space="720"/>
          <w:noEndnote/>
        </w:sectPr>
      </w:pPr>
    </w:p>
    <w:p w:rsidR="00926297" w:rsidRDefault="00926297">
      <w:pPr>
        <w:widowControl/>
        <w:rPr>
          <w:sz w:val="24"/>
          <w:szCs w:val="24"/>
        </w:rPr>
        <w:sectPr w:rsidR="00926297">
          <w:type w:val="continuous"/>
          <w:pgSz w:w="12307" w:h="15725"/>
          <w:pgMar w:top="1940" w:right="1968" w:bottom="162" w:left="7339" w:header="720" w:footer="720" w:gutter="0"/>
          <w:cols w:space="720"/>
          <w:noEndnote/>
        </w:sectPr>
      </w:pPr>
    </w:p>
    <w:p w:rsidR="00926297" w:rsidRDefault="00F6102E">
      <w:pPr>
        <w:kinsoku w:val="0"/>
        <w:overflowPunct w:val="0"/>
        <w:autoSpaceDE/>
        <w:autoSpaceDN/>
        <w:adjustRightInd/>
        <w:spacing w:before="32" w:line="234" w:lineRule="exact"/>
        <w:ind w:left="432" w:right="432"/>
        <w:jc w:val="both"/>
        <w:textAlignment w:val="baseline"/>
        <w:rPr>
          <w:i/>
          <w:iCs/>
          <w:sz w:val="19"/>
          <w:szCs w:val="19"/>
          <w:lang w:val="es-ES" w:eastAsia="es-ES"/>
        </w:rPr>
      </w:pPr>
      <w:r>
        <w:rPr>
          <w:rFonts w:ascii="Verdana" w:hAnsi="Verdana" w:cs="Verdana"/>
          <w:i/>
          <w:iCs/>
          <w:sz w:val="19"/>
          <w:szCs w:val="19"/>
          <w:lang w:val="es-ES" w:eastAsia="es-ES"/>
        </w:rPr>
        <w:lastRenderedPageBreak/>
        <w:t xml:space="preserve">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z w:val="19"/>
          <w:szCs w:val="19"/>
          <w:u w:val="single"/>
          <w:lang w:val="es-ES" w:eastAsia="es-ES"/>
        </w:rPr>
        <w:t xml:space="preserve">La_ motivación del </w:t>
      </w:r>
      <w:proofErr w:type="gramStart"/>
      <w:r>
        <w:rPr>
          <w:rFonts w:ascii="Verdana" w:hAnsi="Verdana" w:cs="Verdana"/>
          <w:i/>
          <w:iCs/>
          <w:sz w:val="19"/>
          <w:szCs w:val="19"/>
          <w:u w:val="single"/>
          <w:lang w:val="es-ES" w:eastAsia="es-ES"/>
        </w:rPr>
        <w:t>acto  administrativo</w:t>
      </w:r>
      <w:proofErr w:type="gramEnd"/>
      <w:r>
        <w:rPr>
          <w:rFonts w:ascii="Verdana" w:hAnsi="Verdana" w:cs="Verdana"/>
          <w:i/>
          <w:iCs/>
          <w:sz w:val="19"/>
          <w:szCs w:val="19"/>
          <w:u w:val="single"/>
          <w:lang w:val="es-ES" w:eastAsia="es-ES"/>
        </w:rPr>
        <w:t>.</w:t>
      </w:r>
      <w:r>
        <w:rPr>
          <w:rFonts w:ascii="Verdana" w:hAnsi="Verdana" w:cs="Verdana"/>
          <w:i/>
          <w:iCs/>
          <w:sz w:val="19"/>
          <w:szCs w:val="19"/>
          <w:lang w:val="es-ES" w:eastAsia="es-ES"/>
        </w:rPr>
        <w:t xml:space="preserve"> (Editorial Tecnos, S. A. Madrid. 1993, página 190); es decir, se trata de una </w:t>
      </w:r>
      <w:proofErr w:type="spellStart"/>
      <w:r>
        <w:rPr>
          <w:rFonts w:ascii="Verdana" w:hAnsi="Verdana" w:cs="Verdana"/>
          <w:i/>
          <w:iCs/>
          <w:sz w:val="19"/>
          <w:szCs w:val="19"/>
          <w:lang w:val="es-ES" w:eastAsia="es-ES"/>
        </w:rPr>
        <w:t>deción</w:t>
      </w:r>
      <w:proofErr w:type="spellEnd"/>
      <w:r>
        <w:rPr>
          <w:rFonts w:ascii="Verdana" w:hAnsi="Verdana" w:cs="Verdana"/>
          <w:i/>
          <w:iCs/>
          <w:sz w:val="19"/>
          <w:szCs w:val="19"/>
          <w:lang w:val="es-ES" w:eastAsia="es-ES"/>
        </w:rPr>
        <w:t xml:space="preserve"> concreta, que liga los hechos con el sustento normativo; de manera que cuando hay una breve alusión a normas generales y hechos inespecíficos, se puede concluir que no hay aporte suficiente de justificación, en la medida en que de ellos no es posible deducir los </w:t>
      </w:r>
      <w:r>
        <w:rPr>
          <w:i/>
          <w:iCs/>
          <w:sz w:val="19"/>
          <w:szCs w:val="19"/>
          <w:lang w:val="es-ES" w:eastAsia="es-ES"/>
        </w:rPr>
        <w:t>elementos valorados por la autoridad gubernativa para tomar la decisión ..."</w:t>
      </w:r>
    </w:p>
    <w:p w:rsidR="00926297" w:rsidRDefault="00F6102E">
      <w:pPr>
        <w:kinsoku w:val="0"/>
        <w:overflowPunct w:val="0"/>
        <w:autoSpaceDE/>
        <w:autoSpaceDN/>
        <w:adjustRightInd/>
        <w:spacing w:before="717" w:line="258"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SOBRE EL CASO CONCRETO:</w:t>
      </w:r>
    </w:p>
    <w:p w:rsidR="00926297" w:rsidRDefault="00F6102E">
      <w:pPr>
        <w:kinsoku w:val="0"/>
        <w:overflowPunct w:val="0"/>
        <w:autoSpaceDE/>
        <w:autoSpaceDN/>
        <w:adjustRightInd/>
        <w:spacing w:before="567"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Como se verifica de las piezas del expediente, al recurrente </w:t>
      </w:r>
      <w:r>
        <w:rPr>
          <w:rFonts w:ascii="Verdana" w:hAnsi="Verdana" w:cs="Verdana"/>
          <w:sz w:val="21"/>
          <w:szCs w:val="21"/>
          <w:u w:val="single"/>
          <w:lang w:val="es-ES" w:eastAsia="es-ES"/>
        </w:rPr>
        <w:t xml:space="preserve">el Consejo de Transporte Público le notificó una primera cita para firmar el contrato de renovación de concesión para el 24 de noviembre de 2014 a las 3 de la tarde </w:t>
      </w:r>
      <w:proofErr w:type="gramStart"/>
      <w:r>
        <w:rPr>
          <w:rFonts w:ascii="Verdana" w:hAnsi="Verdana" w:cs="Verdana"/>
          <w:sz w:val="21"/>
          <w:szCs w:val="21"/>
          <w:u w:val="single"/>
          <w:lang w:val="es-ES" w:eastAsia="es-ES"/>
        </w:rPr>
        <w:t>a  la</w:t>
      </w:r>
      <w:proofErr w:type="gramEnd"/>
      <w:r>
        <w:rPr>
          <w:rFonts w:ascii="Verdana" w:hAnsi="Verdana" w:cs="Verdana"/>
          <w:sz w:val="21"/>
          <w:szCs w:val="21"/>
          <w:u w:val="single"/>
          <w:lang w:val="es-ES" w:eastAsia="es-ES"/>
        </w:rPr>
        <w:t xml:space="preserve"> cual no asistió;</w:t>
      </w:r>
      <w:r>
        <w:rPr>
          <w:rFonts w:ascii="Verdana" w:hAnsi="Verdana" w:cs="Verdana"/>
          <w:sz w:val="21"/>
          <w:szCs w:val="21"/>
          <w:lang w:val="es-ES" w:eastAsia="es-ES"/>
        </w:rPr>
        <w:t xml:space="preserve"> el correo fue enviado el 20 de noviembre de ese año a las 10:01 de la mañana. </w:t>
      </w:r>
      <w:r>
        <w:rPr>
          <w:rFonts w:ascii="Verdana" w:hAnsi="Verdana" w:cs="Verdana"/>
          <w:sz w:val="21"/>
          <w:szCs w:val="21"/>
          <w:u w:val="single"/>
          <w:lang w:val="es-ES" w:eastAsia="es-ES"/>
        </w:rPr>
        <w:t>Posteriormente a ese mismo medio se le notifica el 4 de febrero de 2016 una segunda cita para el 11 de febrero de 2016 a las 9:00 horas a la que no asistió.</w:t>
      </w:r>
      <w:r>
        <w:rPr>
          <w:rFonts w:ascii="Verdana" w:hAnsi="Verdana" w:cs="Verdana"/>
          <w:sz w:val="21"/>
          <w:szCs w:val="21"/>
          <w:lang w:val="es-ES" w:eastAsia="es-ES"/>
        </w:rPr>
        <w:t xml:space="preserve"> (Léanse folios 77, 82 y 83 del expediente administrativo)</w:t>
      </w:r>
    </w:p>
    <w:p w:rsidR="00926297" w:rsidRDefault="00F6102E">
      <w:pPr>
        <w:kinsoku w:val="0"/>
        <w:overflowPunct w:val="0"/>
        <w:autoSpaceDE/>
        <w:autoSpaceDN/>
        <w:adjustRightInd/>
        <w:spacing w:before="496" w:line="25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Por su parte el recurrente en lo conducente indica que en cuanto al argumento principal por el cual se le sanciona, cual es que no se presentó en tiempo injustificadamente y que si bien solicitó una prorroga lo hizo fuera del tiempo, la cita pudo darse nuevamente en los términos del numeral 252 de la Ley General de la Administración Pública.</w:t>
      </w:r>
    </w:p>
    <w:p w:rsidR="00926297" w:rsidRDefault="00F6102E">
      <w:pPr>
        <w:kinsoku w:val="0"/>
        <w:overflowPunct w:val="0"/>
        <w:autoSpaceDE/>
        <w:autoSpaceDN/>
        <w:adjustRightInd/>
        <w:spacing w:before="265" w:line="25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Que la cita se otorgó para el 24 de noviembre de 2014 y por determinación de la misma Administración se pasó para el 11 de febrero de 2016 lo que se le comunicó hasta el 4 de febrero de 2016 y ese mismo día dado que estaba por concretarse el cambio de su unidad, en forma debida por correo electrónico pidió una nueva fecha indicando que se le comunicara a ese correo; posteriormente el 18 de febrero de 2016 envió un nuevo correo y manifiesta que ratifica lo dicho en correo anterior y solicita se le indique la fecha de la nueva cita para la firma del contrato. No obstante, lo anterior, no se consigna su anterior correo y no pueden negarlo pues allí esta.</w:t>
      </w:r>
    </w:p>
    <w:p w:rsidR="00926297" w:rsidRDefault="00F6102E">
      <w:pPr>
        <w:kinsoku w:val="0"/>
        <w:overflowPunct w:val="0"/>
        <w:autoSpaceDE/>
        <w:autoSpaceDN/>
        <w:adjustRightInd/>
        <w:spacing w:before="288" w:line="25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las piezas del expediente, consta que en el "FORMULARIO PARA LA RENOVACIÓN DE CONCESIONES DE TAXIS" indicó como medio para </w:t>
      </w:r>
      <w:r w:rsidRPr="008B184F">
        <w:rPr>
          <w:rFonts w:ascii="Verdana" w:hAnsi="Verdana" w:cs="Verdana"/>
          <w:sz w:val="21"/>
          <w:szCs w:val="21"/>
          <w:lang w:val="es-ES" w:eastAsia="es-ES"/>
        </w:rPr>
        <w:t xml:space="preserve">notificaciones la cuenta de correo </w:t>
      </w:r>
      <w:hyperlink r:id="rId8" w:history="1">
        <w:r w:rsidR="008B184F" w:rsidRPr="008B184F">
          <w:rPr>
            <w:rStyle w:val="Hipervnculo"/>
            <w:rFonts w:ascii="Verdana" w:hAnsi="Verdana" w:cs="Verdana"/>
            <w:color w:val="auto"/>
            <w:sz w:val="21"/>
            <w:szCs w:val="21"/>
            <w:lang w:val="es-ES" w:eastAsia="es-ES"/>
          </w:rPr>
          <w:t>xxxxxxx@hotmail.com</w:t>
        </w:r>
      </w:hyperlink>
      <w:r w:rsidRPr="008B184F">
        <w:rPr>
          <w:rFonts w:ascii="Verdana" w:hAnsi="Verdana" w:cs="Verdana"/>
          <w:sz w:val="21"/>
          <w:szCs w:val="21"/>
          <w:u w:val="single"/>
          <w:lang w:val="es-ES" w:eastAsia="es-ES"/>
        </w:rPr>
        <w:t>;</w:t>
      </w:r>
      <w:r w:rsidRPr="008B184F">
        <w:rPr>
          <w:rFonts w:ascii="Verdana" w:hAnsi="Verdana" w:cs="Verdana"/>
          <w:sz w:val="21"/>
          <w:szCs w:val="21"/>
          <w:lang w:val="es-ES" w:eastAsia="es-ES"/>
        </w:rPr>
        <w:t xml:space="preserve"> a este medio se le</w:t>
      </w:r>
      <w:r>
        <w:rPr>
          <w:rFonts w:ascii="Verdana" w:hAnsi="Verdana" w:cs="Verdana"/>
          <w:sz w:val="21"/>
          <w:szCs w:val="21"/>
          <w:lang w:val="es-ES" w:eastAsia="es-ES"/>
        </w:rPr>
        <w:t xml:space="preserve"> notificó las citas parta la renovación.</w:t>
      </w:r>
    </w:p>
    <w:p w:rsidR="00926297" w:rsidRDefault="00926297">
      <w:pPr>
        <w:widowControl/>
        <w:rPr>
          <w:sz w:val="24"/>
          <w:szCs w:val="24"/>
        </w:rPr>
        <w:sectPr w:rsidR="00926297">
          <w:pgSz w:w="12322" w:h="15758"/>
          <w:pgMar w:top="2160" w:right="1801" w:bottom="59" w:left="1681" w:header="720" w:footer="720" w:gutter="0"/>
          <w:cols w:space="720"/>
          <w:noEndnote/>
        </w:sectPr>
      </w:pPr>
    </w:p>
    <w:p w:rsidR="00926297" w:rsidRDefault="00F6102E">
      <w:pPr>
        <w:kinsoku w:val="0"/>
        <w:overflowPunct w:val="0"/>
        <w:autoSpaceDE/>
        <w:autoSpaceDN/>
        <w:adjustRightInd/>
        <w:spacing w:line="261"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Una primera cita para firmar el contrato de renovación de concesión para el 24 de noviembre de 2014 a las 3 de la tarde a la cual no asistió y posteriormente se le otorga una segunda cita para la firma del contrato para el 4 de febrero de 2016, a la que tampoco asiste.</w:t>
      </w:r>
    </w:p>
    <w:p w:rsidR="00926297" w:rsidRDefault="00F6102E">
      <w:pPr>
        <w:kinsoku w:val="0"/>
        <w:overflowPunct w:val="0"/>
        <w:autoSpaceDE/>
        <w:autoSpaceDN/>
        <w:adjustRightInd/>
        <w:spacing w:before="221" w:line="260" w:lineRule="exact"/>
        <w:ind w:left="72" w:right="72"/>
        <w:jc w:val="both"/>
        <w:textAlignment w:val="baseline"/>
        <w:rPr>
          <w:rFonts w:ascii="Tahoma" w:hAnsi="Tahoma" w:cs="Tahoma"/>
          <w:spacing w:val="11"/>
          <w:sz w:val="22"/>
          <w:szCs w:val="22"/>
          <w:u w:val="single"/>
          <w:lang w:val="es-ES" w:eastAsia="es-ES"/>
        </w:rPr>
      </w:pPr>
      <w:r>
        <w:rPr>
          <w:rFonts w:ascii="Tahoma" w:hAnsi="Tahoma" w:cs="Tahoma"/>
          <w:spacing w:val="11"/>
          <w:sz w:val="22"/>
          <w:szCs w:val="22"/>
          <w:lang w:val="es-ES" w:eastAsia="es-ES"/>
        </w:rPr>
        <w:t xml:space="preserve">En el mismo sentido del párrafo anterior, indica el recurrente que envió documento el mismo día de la segunda cita, sea el 4 de febrero de 2016, solicitando, pidiendo cambio de fecha por cuanto se encontraba en trámite, el cambio de vehículo; sobre esta aseveración debe indicar este Tribunal, que en el expediente elevado y certificado por el CTP, no consta dicho documento que si aporta el recurrente con su líbelo, sin embargo la fotocopia, corresponde a un correo que habría enviado el 4 de enero de 2016 y no el 4 de febrero (día de la segunda cita) y en el que solicita cita para firma del contrato, </w:t>
      </w:r>
      <w:r>
        <w:rPr>
          <w:rFonts w:ascii="Tahoma" w:hAnsi="Tahoma" w:cs="Tahoma"/>
          <w:spacing w:val="11"/>
          <w:sz w:val="22"/>
          <w:szCs w:val="22"/>
          <w:u w:val="single"/>
          <w:lang w:val="es-ES" w:eastAsia="es-ES"/>
        </w:rPr>
        <w:t xml:space="preserve">no que se le cambiara la fecha. </w:t>
      </w:r>
    </w:p>
    <w:p w:rsidR="00926297" w:rsidRDefault="00F6102E">
      <w:pPr>
        <w:kinsoku w:val="0"/>
        <w:overflowPunct w:val="0"/>
        <w:autoSpaceDE/>
        <w:autoSpaceDN/>
        <w:adjustRightInd/>
        <w:spacing w:before="291" w:line="261"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Por lo anterior, es claro para este Tribunal que el recurrente </w:t>
      </w:r>
      <w:proofErr w:type="spellStart"/>
      <w:r>
        <w:rPr>
          <w:rFonts w:ascii="Tahoma" w:hAnsi="Tahoma" w:cs="Tahoma"/>
          <w:sz w:val="22"/>
          <w:szCs w:val="22"/>
          <w:lang w:val="es-ES" w:eastAsia="es-ES"/>
        </w:rPr>
        <w:t>a</w:t>
      </w:r>
      <w:proofErr w:type="spellEnd"/>
      <w:r>
        <w:rPr>
          <w:rFonts w:ascii="Tahoma" w:hAnsi="Tahoma" w:cs="Tahoma"/>
          <w:sz w:val="22"/>
          <w:szCs w:val="22"/>
          <w:lang w:val="es-ES" w:eastAsia="es-ES"/>
        </w:rPr>
        <w:t xml:space="preserve"> incumplido sus obligaciones, y no se </w:t>
      </w:r>
      <w:proofErr w:type="spellStart"/>
      <w:r>
        <w:rPr>
          <w:rFonts w:ascii="Tahoma" w:hAnsi="Tahoma" w:cs="Tahoma"/>
          <w:sz w:val="22"/>
          <w:szCs w:val="22"/>
          <w:lang w:val="es-ES" w:eastAsia="es-ES"/>
        </w:rPr>
        <w:t>presento</w:t>
      </w:r>
      <w:proofErr w:type="spellEnd"/>
      <w:r>
        <w:rPr>
          <w:rFonts w:ascii="Tahoma" w:hAnsi="Tahoma" w:cs="Tahoma"/>
          <w:sz w:val="22"/>
          <w:szCs w:val="22"/>
          <w:lang w:val="es-ES" w:eastAsia="es-ES"/>
        </w:rPr>
        <w:t xml:space="preserve"> en las dos ocasiones que se le convocó a la firma del contrato de renovación, lo </w:t>
      </w:r>
      <w:proofErr w:type="gramStart"/>
      <w:r>
        <w:rPr>
          <w:rFonts w:ascii="Tahoma" w:hAnsi="Tahoma" w:cs="Tahoma"/>
          <w:sz w:val="22"/>
          <w:szCs w:val="22"/>
          <w:lang w:val="es-ES" w:eastAsia="es-ES"/>
        </w:rPr>
        <w:t>que</w:t>
      </w:r>
      <w:proofErr w:type="gramEnd"/>
      <w:r>
        <w:rPr>
          <w:rFonts w:ascii="Tahoma" w:hAnsi="Tahoma" w:cs="Tahoma"/>
          <w:sz w:val="22"/>
          <w:szCs w:val="22"/>
          <w:lang w:val="es-ES" w:eastAsia="es-ES"/>
        </w:rPr>
        <w:t xml:space="preserve"> por el advenimiento del plazo de esta, opera la cancelación automática.</w:t>
      </w:r>
    </w:p>
    <w:p w:rsidR="00926297" w:rsidRDefault="00F6102E">
      <w:pPr>
        <w:kinsoku w:val="0"/>
        <w:overflowPunct w:val="0"/>
        <w:autoSpaceDE/>
        <w:autoSpaceDN/>
        <w:adjustRightInd/>
        <w:spacing w:before="515" w:line="261"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Existe una presunción jurídica de que nadie puede alegar desconocimiento de la norma y el recurrente no aporta pruebas de que haya tratado de cumplir con lo dispuesto en el numeral 40 de la Ley No.7969, por el </w:t>
      </w:r>
      <w:proofErr w:type="gramStart"/>
      <w:r>
        <w:rPr>
          <w:rFonts w:ascii="Tahoma" w:hAnsi="Tahoma" w:cs="Tahoma"/>
          <w:spacing w:val="10"/>
          <w:sz w:val="22"/>
          <w:szCs w:val="22"/>
          <w:lang w:val="es-ES" w:eastAsia="es-ES"/>
        </w:rPr>
        <w:t>contrario</w:t>
      </w:r>
      <w:proofErr w:type="gramEnd"/>
      <w:r>
        <w:rPr>
          <w:rFonts w:ascii="Tahoma" w:hAnsi="Tahoma" w:cs="Tahoma"/>
          <w:spacing w:val="10"/>
          <w:sz w:val="22"/>
          <w:szCs w:val="22"/>
          <w:lang w:val="es-ES" w:eastAsia="es-ES"/>
        </w:rPr>
        <w:t xml:space="preserve"> la Administración aporta documentos en el que se determina que se le dio dos citas para la formalización de la concesión, las que se le notificaron en el lugar determinado por el recurrente como medio para tal fin y no se presentó.</w:t>
      </w:r>
    </w:p>
    <w:p w:rsidR="00926297" w:rsidRDefault="00F6102E">
      <w:pPr>
        <w:kinsoku w:val="0"/>
        <w:overflowPunct w:val="0"/>
        <w:autoSpaceDE/>
        <w:autoSpaceDN/>
        <w:adjustRightInd/>
        <w:spacing w:before="262" w:line="255"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Nótese que es más bien la Administración la que aporta pruebas de que al correo indicado se le dio dos citas a la recurrente para firmar su contrato y no se presentó a ellas.</w:t>
      </w:r>
    </w:p>
    <w:p w:rsidR="00926297" w:rsidRDefault="00F6102E">
      <w:pPr>
        <w:kinsoku w:val="0"/>
        <w:overflowPunct w:val="0"/>
        <w:autoSpaceDE/>
        <w:autoSpaceDN/>
        <w:adjustRightInd/>
        <w:spacing w:before="505" w:line="261"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t>El Consejo podrá cancelar la concesión administrativamente, según lo señalado en el Artículo 40 de esa ley, por las siguientes causales:</w:t>
      </w:r>
    </w:p>
    <w:p w:rsidR="00926297" w:rsidRDefault="00F6102E">
      <w:pPr>
        <w:kinsoku w:val="0"/>
        <w:overflowPunct w:val="0"/>
        <w:autoSpaceDE/>
        <w:autoSpaceDN/>
        <w:adjustRightInd/>
        <w:spacing w:before="291" w:line="266" w:lineRule="exact"/>
        <w:ind w:left="72" w:right="72"/>
        <w:jc w:val="center"/>
        <w:textAlignment w:val="baseline"/>
        <w:rPr>
          <w:rFonts w:ascii="Verdana" w:hAnsi="Verdana" w:cs="Verdana"/>
          <w:b/>
          <w:bCs/>
          <w:i/>
          <w:iCs/>
          <w:spacing w:val="-1"/>
          <w:sz w:val="22"/>
          <w:szCs w:val="22"/>
          <w:lang w:val="es-ES" w:eastAsia="es-ES"/>
        </w:rPr>
      </w:pPr>
      <w:r>
        <w:rPr>
          <w:rFonts w:ascii="Verdana" w:hAnsi="Verdana" w:cs="Verdana"/>
          <w:i/>
          <w:iCs/>
          <w:spacing w:val="-1"/>
          <w:sz w:val="22"/>
          <w:szCs w:val="22"/>
          <w:lang w:val="es-ES" w:eastAsia="es-ES"/>
        </w:rPr>
        <w:t xml:space="preserve">"a) </w:t>
      </w:r>
      <w:r>
        <w:rPr>
          <w:rFonts w:ascii="Verdana" w:hAnsi="Verdana" w:cs="Verdana"/>
          <w:b/>
          <w:bCs/>
          <w:i/>
          <w:iCs/>
          <w:spacing w:val="-1"/>
          <w:sz w:val="22"/>
          <w:szCs w:val="22"/>
          <w:lang w:val="es-ES" w:eastAsia="es-ES"/>
        </w:rPr>
        <w:t>Incumplir las obligaciones y los deberes fijados en esta</w:t>
      </w:r>
    </w:p>
    <w:p w:rsidR="00926297" w:rsidRDefault="00F6102E">
      <w:pPr>
        <w:kinsoku w:val="0"/>
        <w:overflowPunct w:val="0"/>
        <w:autoSpaceDE/>
        <w:autoSpaceDN/>
        <w:adjustRightInd/>
        <w:spacing w:before="4" w:line="262" w:lineRule="exact"/>
        <w:ind w:left="72" w:right="72"/>
        <w:jc w:val="center"/>
        <w:textAlignment w:val="baseline"/>
        <w:rPr>
          <w:rFonts w:ascii="Verdana" w:hAnsi="Verdana" w:cs="Verdana"/>
          <w:b/>
          <w:bCs/>
          <w:i/>
          <w:iCs/>
          <w:spacing w:val="-3"/>
          <w:sz w:val="22"/>
          <w:szCs w:val="22"/>
          <w:lang w:val="es-ES" w:eastAsia="es-ES"/>
        </w:rPr>
      </w:pPr>
      <w:r>
        <w:rPr>
          <w:rFonts w:ascii="Verdana" w:hAnsi="Verdana" w:cs="Verdana"/>
          <w:b/>
          <w:bCs/>
          <w:i/>
          <w:iCs/>
          <w:spacing w:val="-3"/>
          <w:sz w:val="22"/>
          <w:szCs w:val="22"/>
          <w:lang w:val="es-ES" w:eastAsia="es-ES"/>
        </w:rPr>
        <w:t>ley, su reglamento, el contrato o leyes y reglamentos conexos.</w:t>
      </w:r>
    </w:p>
    <w:p w:rsidR="00926297" w:rsidRDefault="00F6102E">
      <w:pPr>
        <w:numPr>
          <w:ilvl w:val="0"/>
          <w:numId w:val="6"/>
        </w:numPr>
        <w:kinsoku w:val="0"/>
        <w:overflowPunct w:val="0"/>
        <w:autoSpaceDE/>
        <w:autoSpaceDN/>
        <w:adjustRightInd/>
        <w:spacing w:line="263"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Comprobar, en cualquier momento, la presentación de datos falsos o inexactos en la oferta.</w:t>
      </w:r>
    </w:p>
    <w:p w:rsidR="00926297" w:rsidRDefault="00F6102E">
      <w:pPr>
        <w:numPr>
          <w:ilvl w:val="0"/>
          <w:numId w:val="6"/>
        </w:numPr>
        <w:kinsoku w:val="0"/>
        <w:overflowPunct w:val="0"/>
        <w:autoSpaceDE/>
        <w:autoSpaceDN/>
        <w:adjustRightInd/>
        <w:spacing w:before="3" w:line="265"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Ceder la concesión a favor de un tercero, sin autorización del Consejo.</w:t>
      </w:r>
    </w:p>
    <w:p w:rsidR="00926297" w:rsidRDefault="00F6102E">
      <w:pPr>
        <w:numPr>
          <w:ilvl w:val="0"/>
          <w:numId w:val="7"/>
        </w:numPr>
        <w:kinsoku w:val="0"/>
        <w:overflowPunct w:val="0"/>
        <w:autoSpaceDE/>
        <w:autoSpaceDN/>
        <w:adjustRightInd/>
        <w:spacing w:line="261" w:lineRule="exact"/>
        <w:ind w:right="648"/>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Dejar de formalizar el contrato de concesión por treinta días, contados a partir de la adjudicación.</w:t>
      </w:r>
    </w:p>
    <w:p w:rsidR="00926297" w:rsidRDefault="00F6102E">
      <w:pPr>
        <w:numPr>
          <w:ilvl w:val="0"/>
          <w:numId w:val="6"/>
        </w:numPr>
        <w:kinsoku w:val="0"/>
        <w:overflowPunct w:val="0"/>
        <w:autoSpaceDE/>
        <w:autoSpaceDN/>
        <w:adjustRightInd/>
        <w:spacing w:line="264"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Incurrir en las causales establecidas para la rescisión y resolución contractual dispuestas en la Ley de Contratación Administrativa y su reglamento.</w:t>
      </w:r>
    </w:p>
    <w:p w:rsidR="00926297" w:rsidRDefault="00F6102E">
      <w:pPr>
        <w:numPr>
          <w:ilvl w:val="0"/>
          <w:numId w:val="8"/>
        </w:numPr>
        <w:kinsoku w:val="0"/>
        <w:overflowPunct w:val="0"/>
        <w:autoSpaceDE/>
        <w:autoSpaceDN/>
        <w:adjustRightInd/>
        <w:spacing w:before="3" w:after="546" w:line="266" w:lineRule="exact"/>
        <w:ind w:right="72"/>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Cumplir el plazo.</w:t>
      </w:r>
    </w:p>
    <w:p w:rsidR="00926297" w:rsidRDefault="00926297">
      <w:pPr>
        <w:widowControl/>
        <w:rPr>
          <w:sz w:val="24"/>
          <w:szCs w:val="24"/>
        </w:rPr>
        <w:sectPr w:rsidR="00926297">
          <w:pgSz w:w="12322" w:h="15758"/>
          <w:pgMar w:top="1980" w:right="1904" w:bottom="169" w:left="1578" w:header="720" w:footer="720" w:gutter="0"/>
          <w:cols w:space="720"/>
          <w:noEndnote/>
        </w:sectPr>
      </w:pPr>
    </w:p>
    <w:p w:rsidR="00926297" w:rsidRDefault="00926297">
      <w:pPr>
        <w:widowControl/>
        <w:rPr>
          <w:sz w:val="24"/>
          <w:szCs w:val="24"/>
        </w:rPr>
        <w:sectPr w:rsidR="00926297">
          <w:type w:val="continuous"/>
          <w:pgSz w:w="12322" w:h="15758"/>
          <w:pgMar w:top="1980" w:right="1964" w:bottom="169" w:left="7358" w:header="720" w:footer="720" w:gutter="0"/>
          <w:cols w:space="720"/>
          <w:noEndnote/>
        </w:sectPr>
      </w:pPr>
    </w:p>
    <w:p w:rsidR="00926297" w:rsidRDefault="00F6102E">
      <w:pPr>
        <w:kinsoku w:val="0"/>
        <w:overflowPunct w:val="0"/>
        <w:autoSpaceDE/>
        <w:autoSpaceDN/>
        <w:adjustRightInd/>
        <w:spacing w:before="13" w:line="264" w:lineRule="exact"/>
        <w:ind w:left="648" w:right="648" w:firstLine="360"/>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g) Por remate judicial, declarado en sentencia firme, del vehículo objeto de la concesión." (el resaltado es nuestro)</w:t>
      </w:r>
    </w:p>
    <w:p w:rsidR="00926297" w:rsidRDefault="00F6102E">
      <w:pPr>
        <w:kinsoku w:val="0"/>
        <w:overflowPunct w:val="0"/>
        <w:autoSpaceDE/>
        <w:autoSpaceDN/>
        <w:adjustRightInd/>
        <w:spacing w:before="532" w:line="261"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De lo anterior se colige, que el Consejo de Transporte Público, actuó conforme a derecho al no cumplirse por parte del recurrente, con su obligación de proceder en el tiempo determinado con la formalización de la concesión otorgada.</w:t>
      </w:r>
    </w:p>
    <w:p w:rsidR="00926297" w:rsidRDefault="00F6102E">
      <w:pPr>
        <w:kinsoku w:val="0"/>
        <w:overflowPunct w:val="0"/>
        <w:autoSpaceDE/>
        <w:autoSpaceDN/>
        <w:adjustRightInd/>
        <w:spacing w:before="251" w:line="261"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En cuanto a los demás argumentos del recurrente en el sentido de que se valoró su condición jurídica, de estar cumpliendo una condena penal y el estar atrasado en los pagos ante la CCSS, y tales hechos debieron ventilarse en un debido proceso, el Tribunal no entra a valorar tales argumentos, pues carecen de interés, en este momento pues en nada variaría la resolución del asunto al haberse demostrado claramente el incumplimiento del recurrente de asistir a las </w:t>
      </w:r>
      <w:proofErr w:type="spellStart"/>
      <w:r>
        <w:rPr>
          <w:rFonts w:ascii="Tahoma" w:hAnsi="Tahoma" w:cs="Tahoma"/>
          <w:spacing w:val="10"/>
          <w:sz w:val="22"/>
          <w:szCs w:val="22"/>
          <w:lang w:val="es-ES" w:eastAsia="es-ES"/>
        </w:rPr>
        <w:t>sitas</w:t>
      </w:r>
      <w:proofErr w:type="spellEnd"/>
      <w:r>
        <w:rPr>
          <w:rFonts w:ascii="Tahoma" w:hAnsi="Tahoma" w:cs="Tahoma"/>
          <w:spacing w:val="10"/>
          <w:sz w:val="22"/>
          <w:szCs w:val="22"/>
          <w:lang w:val="es-ES" w:eastAsia="es-ES"/>
        </w:rPr>
        <w:t xml:space="preserve"> otorgadas para la firma del contrato.</w:t>
      </w:r>
    </w:p>
    <w:p w:rsidR="00926297" w:rsidRDefault="00F6102E">
      <w:pPr>
        <w:kinsoku w:val="0"/>
        <w:overflowPunct w:val="0"/>
        <w:autoSpaceDE/>
        <w:autoSpaceDN/>
        <w:adjustRightInd/>
        <w:spacing w:before="792" w:line="260" w:lineRule="exact"/>
        <w:ind w:left="72" w:right="72"/>
        <w:jc w:val="center"/>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POR TANTO</w:t>
      </w:r>
    </w:p>
    <w:p w:rsidR="00926297" w:rsidRDefault="00F6102E">
      <w:pPr>
        <w:numPr>
          <w:ilvl w:val="0"/>
          <w:numId w:val="9"/>
        </w:numPr>
        <w:kinsoku w:val="0"/>
        <w:overflowPunct w:val="0"/>
        <w:autoSpaceDE/>
        <w:autoSpaceDN/>
        <w:adjustRightInd/>
        <w:spacing w:before="515" w:line="261" w:lineRule="exact"/>
        <w:ind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Se declara sin lugar el </w:t>
      </w:r>
      <w:r>
        <w:rPr>
          <w:rFonts w:ascii="Tahoma" w:hAnsi="Tahoma" w:cs="Tahoma"/>
          <w:b/>
          <w:bCs/>
          <w:spacing w:val="9"/>
          <w:sz w:val="22"/>
          <w:szCs w:val="22"/>
          <w:lang w:val="es-ES" w:eastAsia="es-ES"/>
        </w:rPr>
        <w:t xml:space="preserve">Recurso de Apelación en subsidio e incidente de Nulidad, </w:t>
      </w:r>
      <w:r>
        <w:rPr>
          <w:rFonts w:ascii="Tahoma" w:hAnsi="Tahoma" w:cs="Tahoma"/>
          <w:spacing w:val="9"/>
          <w:sz w:val="22"/>
          <w:szCs w:val="22"/>
          <w:lang w:val="es-ES" w:eastAsia="es-ES"/>
        </w:rPr>
        <w:t xml:space="preserve">interpuesto por </w:t>
      </w:r>
      <w:r>
        <w:rPr>
          <w:rFonts w:ascii="Tahoma" w:hAnsi="Tahoma" w:cs="Tahoma"/>
          <w:b/>
          <w:bCs/>
          <w:spacing w:val="9"/>
          <w:sz w:val="22"/>
          <w:szCs w:val="22"/>
          <w:lang w:val="es-ES" w:eastAsia="es-ES"/>
        </w:rPr>
        <w:t xml:space="preserve">C.C.Z., cédula de identidad número …, </w:t>
      </w:r>
      <w:r>
        <w:rPr>
          <w:rFonts w:ascii="Tahoma" w:hAnsi="Tahoma" w:cs="Tahoma"/>
          <w:spacing w:val="9"/>
          <w:sz w:val="22"/>
          <w:szCs w:val="22"/>
          <w:lang w:val="es-ES" w:eastAsia="es-ES"/>
        </w:rPr>
        <w:t xml:space="preserve">contra el </w:t>
      </w:r>
      <w:r>
        <w:rPr>
          <w:rFonts w:ascii="Tahoma" w:hAnsi="Tahoma" w:cs="Tahoma"/>
          <w:b/>
          <w:bCs/>
          <w:spacing w:val="9"/>
          <w:sz w:val="22"/>
          <w:szCs w:val="22"/>
          <w:lang w:val="es-ES" w:eastAsia="es-ES"/>
        </w:rPr>
        <w:t xml:space="preserve">artículo 7.11 de la Sesión Ordinaria 30-2017 de 27 de julio de 2017, </w:t>
      </w:r>
      <w:r>
        <w:rPr>
          <w:rFonts w:ascii="Tahoma" w:hAnsi="Tahoma" w:cs="Tahoma"/>
          <w:spacing w:val="9"/>
          <w:sz w:val="22"/>
          <w:szCs w:val="22"/>
          <w:lang w:val="es-ES" w:eastAsia="es-ES"/>
        </w:rPr>
        <w:t>dictado por la Junta Directiva del Consejo de Transporte Público.</w:t>
      </w:r>
    </w:p>
    <w:p w:rsidR="00926297" w:rsidRPr="008B184F" w:rsidRDefault="00F6102E" w:rsidP="008B184F">
      <w:pPr>
        <w:numPr>
          <w:ilvl w:val="0"/>
          <w:numId w:val="10"/>
        </w:numPr>
        <w:kinsoku w:val="0"/>
        <w:overflowPunct w:val="0"/>
        <w:autoSpaceDE/>
        <w:autoSpaceDN/>
        <w:adjustRightInd/>
        <w:spacing w:before="7" w:after="719" w:line="279" w:lineRule="exact"/>
        <w:ind w:right="72"/>
        <w:jc w:val="both"/>
        <w:textAlignment w:val="baseline"/>
        <w:rPr>
          <w:sz w:val="24"/>
          <w:szCs w:val="24"/>
        </w:rPr>
      </w:pPr>
      <w:r>
        <w:rPr>
          <w:rFonts w:ascii="Tahoma" w:hAnsi="Tahoma" w:cs="Tahoma"/>
          <w:sz w:val="22"/>
          <w:szCs w:val="22"/>
          <w:lang w:val="es-ES" w:eastAsia="es-ES"/>
        </w:rPr>
        <w:t xml:space="preserve">De conformidad con el artículo 22, inciso c), de la citada Ley 7969, la presente resolución no tiene ulterior recurso por lo que, </w:t>
      </w:r>
      <w:r>
        <w:rPr>
          <w:rFonts w:ascii="Tahoma" w:hAnsi="Tahoma" w:cs="Tahoma"/>
          <w:b/>
          <w:bCs/>
          <w:sz w:val="22"/>
          <w:szCs w:val="22"/>
          <w:lang w:val="es-ES" w:eastAsia="es-ES"/>
        </w:rPr>
        <w:t xml:space="preserve">se </w:t>
      </w:r>
      <w:r>
        <w:rPr>
          <w:rFonts w:ascii="Verdana" w:hAnsi="Verdana" w:cs="Verdana"/>
          <w:i/>
          <w:iCs/>
          <w:sz w:val="22"/>
          <w:szCs w:val="22"/>
          <w:lang w:val="es-ES" w:eastAsia="es-ES"/>
        </w:rPr>
        <w:t xml:space="preserve">tiene por agotada la vía administrativa. </w:t>
      </w:r>
      <w:r>
        <w:rPr>
          <w:rFonts w:ascii="Tahoma" w:hAnsi="Tahoma" w:cs="Tahoma"/>
          <w:b/>
          <w:bCs/>
          <w:sz w:val="22"/>
          <w:szCs w:val="22"/>
          <w:lang w:val="es-ES" w:eastAsia="es-ES"/>
        </w:rPr>
        <w:t>NOTIFIQUESE. -</w:t>
      </w:r>
      <w:r w:rsidR="008B184F">
        <w:rPr>
          <w:rFonts w:ascii="Tahoma" w:hAnsi="Tahoma" w:cs="Tahoma"/>
          <w:b/>
          <w:bCs/>
          <w:sz w:val="22"/>
          <w:szCs w:val="22"/>
          <w:lang w:val="es-ES" w:eastAsia="es-ES"/>
        </w:rPr>
        <w:t xml:space="preserve">   </w:t>
      </w:r>
    </w:p>
    <w:p w:rsidR="008B184F" w:rsidRDefault="008B184F" w:rsidP="008B184F">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8B184F" w:rsidRDefault="008B184F" w:rsidP="008B184F">
      <w:pPr>
        <w:spacing w:before="100" w:beforeAutospacing="1" w:after="100" w:afterAutospacing="1"/>
        <w:jc w:val="center"/>
        <w:rPr>
          <w:b/>
          <w:color w:val="000000"/>
        </w:rPr>
      </w:pPr>
      <w:r>
        <w:rPr>
          <w:b/>
          <w:color w:val="000000"/>
        </w:rPr>
        <w:t>PRESIDENTE</w:t>
      </w:r>
    </w:p>
    <w:p w:rsidR="008B184F" w:rsidRDefault="008B184F" w:rsidP="008B184F">
      <w:pPr>
        <w:spacing w:before="100" w:beforeAutospacing="1" w:after="100" w:afterAutospacing="1"/>
        <w:jc w:val="center"/>
        <w:rPr>
          <w:color w:val="000000"/>
          <w:sz w:val="24"/>
          <w:szCs w:val="24"/>
        </w:rPr>
      </w:pPr>
    </w:p>
    <w:p w:rsidR="008B184F" w:rsidRDefault="008B184F" w:rsidP="008B184F">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8B184F" w:rsidRDefault="008B184F" w:rsidP="008B184F">
      <w:pPr>
        <w:kinsoku w:val="0"/>
        <w:overflowPunct w:val="0"/>
        <w:autoSpaceDE/>
        <w:autoSpaceDN/>
        <w:adjustRightInd/>
        <w:spacing w:before="7" w:after="719" w:line="279" w:lineRule="exact"/>
        <w:ind w:right="72"/>
        <w:jc w:val="center"/>
        <w:textAlignment w:val="baseline"/>
        <w:rPr>
          <w:sz w:val="24"/>
          <w:szCs w:val="24"/>
        </w:rPr>
        <w:sectPr w:rsidR="008B184F">
          <w:pgSz w:w="12312" w:h="15806"/>
          <w:pgMar w:top="2200" w:right="1779" w:bottom="33" w:left="1693" w:header="720" w:footer="720" w:gutter="0"/>
          <w:cols w:space="720"/>
          <w:noEndnote/>
        </w:sect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926297" w:rsidRDefault="00926297" w:rsidP="008B184F">
      <w:pPr>
        <w:tabs>
          <w:tab w:val="right" w:pos="3024"/>
        </w:tabs>
        <w:kinsoku w:val="0"/>
        <w:overflowPunct w:val="0"/>
        <w:autoSpaceDE/>
        <w:autoSpaceDN/>
        <w:adjustRightInd/>
        <w:spacing w:line="264" w:lineRule="exact"/>
        <w:jc w:val="both"/>
        <w:textAlignment w:val="baseline"/>
        <w:rPr>
          <w:sz w:val="24"/>
          <w:szCs w:val="24"/>
          <w:lang w:val="es-ES" w:eastAsia="es-ES"/>
        </w:rPr>
      </w:pPr>
    </w:p>
    <w:sectPr w:rsidR="00926297">
      <w:type w:val="continuous"/>
      <w:pgSz w:w="12312" w:h="15806"/>
      <w:pgMar w:top="2200" w:right="1925" w:bottom="33" w:left="738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88B0"/>
    <w:multiLevelType w:val="singleLevel"/>
    <w:tmpl w:val="17E32749"/>
    <w:lvl w:ilvl="0">
      <w:start w:val="6"/>
      <w:numFmt w:val="lowerLetter"/>
      <w:lvlText w:val="%1)."/>
      <w:lvlJc w:val="left"/>
      <w:pPr>
        <w:tabs>
          <w:tab w:val="num" w:pos="504"/>
        </w:tabs>
        <w:ind w:left="144"/>
      </w:pPr>
      <w:rPr>
        <w:rFonts w:ascii="Tahoma" w:hAnsi="Tahoma" w:cs="Tahoma"/>
        <w:snapToGrid/>
        <w:spacing w:val="11"/>
        <w:sz w:val="22"/>
        <w:szCs w:val="22"/>
      </w:rPr>
    </w:lvl>
  </w:abstractNum>
  <w:abstractNum w:abstractNumId="1" w15:restartNumberingAfterBreak="0">
    <w:nsid w:val="03BAC094"/>
    <w:multiLevelType w:val="singleLevel"/>
    <w:tmpl w:val="101059ED"/>
    <w:lvl w:ilvl="0">
      <w:start w:val="2"/>
      <w:numFmt w:val="upperLetter"/>
      <w:lvlText w:val="%1)."/>
      <w:lvlJc w:val="left"/>
      <w:pPr>
        <w:tabs>
          <w:tab w:val="num" w:pos="504"/>
        </w:tabs>
        <w:ind w:left="72"/>
      </w:pPr>
      <w:rPr>
        <w:rFonts w:ascii="Verdana" w:hAnsi="Verdana" w:cs="Verdana"/>
        <w:b/>
        <w:bCs/>
        <w:snapToGrid/>
        <w:sz w:val="22"/>
        <w:szCs w:val="22"/>
      </w:rPr>
    </w:lvl>
  </w:abstractNum>
  <w:abstractNum w:abstractNumId="2" w15:restartNumberingAfterBreak="0">
    <w:nsid w:val="045F6D39"/>
    <w:multiLevelType w:val="singleLevel"/>
    <w:tmpl w:val="3E29F775"/>
    <w:lvl w:ilvl="0">
      <w:start w:val="3"/>
      <w:numFmt w:val="lowerLetter"/>
      <w:lvlText w:val="%1)."/>
      <w:lvlJc w:val="left"/>
      <w:pPr>
        <w:tabs>
          <w:tab w:val="num" w:pos="504"/>
        </w:tabs>
        <w:ind w:left="144"/>
      </w:pPr>
      <w:rPr>
        <w:rFonts w:ascii="Tahoma" w:hAnsi="Tahoma" w:cs="Tahoma"/>
        <w:snapToGrid/>
        <w:spacing w:val="11"/>
        <w:sz w:val="22"/>
        <w:szCs w:val="22"/>
      </w:rPr>
    </w:lvl>
  </w:abstractNum>
  <w:abstractNum w:abstractNumId="3" w15:restartNumberingAfterBreak="0">
    <w:nsid w:val="04C11ACF"/>
    <w:multiLevelType w:val="singleLevel"/>
    <w:tmpl w:val="75EC6E02"/>
    <w:lvl w:ilvl="0">
      <w:start w:val="2"/>
      <w:numFmt w:val="lowerLetter"/>
      <w:lvlText w:val="%1)"/>
      <w:lvlJc w:val="left"/>
      <w:pPr>
        <w:tabs>
          <w:tab w:val="num" w:pos="1440"/>
        </w:tabs>
        <w:ind w:left="720" w:firstLine="360"/>
      </w:pPr>
      <w:rPr>
        <w:rFonts w:ascii="Verdana" w:hAnsi="Verdana" w:cs="Verdana"/>
        <w:i/>
        <w:iCs/>
        <w:snapToGrid/>
        <w:sz w:val="22"/>
        <w:szCs w:val="22"/>
      </w:rPr>
    </w:lvl>
  </w:abstractNum>
  <w:abstractNum w:abstractNumId="4" w15:restartNumberingAfterBreak="0">
    <w:nsid w:val="05D925B5"/>
    <w:multiLevelType w:val="singleLevel"/>
    <w:tmpl w:val="13BE16AC"/>
    <w:lvl w:ilvl="0">
      <w:start w:val="1"/>
      <w:numFmt w:val="decimal"/>
      <w:lvlText w:val="%1.-"/>
      <w:lvlJc w:val="left"/>
      <w:pPr>
        <w:tabs>
          <w:tab w:val="num" w:pos="504"/>
        </w:tabs>
        <w:ind w:left="72"/>
      </w:pPr>
      <w:rPr>
        <w:rFonts w:ascii="Verdana" w:hAnsi="Verdana" w:cs="Verdana"/>
        <w:b/>
        <w:bCs/>
        <w:snapToGrid/>
        <w:sz w:val="21"/>
        <w:szCs w:val="21"/>
      </w:rPr>
    </w:lvl>
  </w:abstractNum>
  <w:abstractNum w:abstractNumId="5" w15:restartNumberingAfterBreak="0">
    <w:nsid w:val="06319227"/>
    <w:multiLevelType w:val="singleLevel"/>
    <w:tmpl w:val="ADD67E80"/>
    <w:lvl w:ilvl="0">
      <w:start w:val="1"/>
      <w:numFmt w:val="upperRoman"/>
      <w:lvlText w:val="%1.-"/>
      <w:lvlJc w:val="left"/>
      <w:pPr>
        <w:tabs>
          <w:tab w:val="num" w:pos="504"/>
        </w:tabs>
        <w:ind w:left="72"/>
      </w:pPr>
      <w:rPr>
        <w:rFonts w:ascii="Tahoma" w:hAnsi="Tahoma" w:cs="Tahoma"/>
        <w:b/>
        <w:snapToGrid/>
        <w:spacing w:val="9"/>
        <w:sz w:val="22"/>
        <w:szCs w:val="22"/>
      </w:rPr>
    </w:lvl>
  </w:abstractNum>
  <w:num w:numId="1">
    <w:abstractNumId w:val="2"/>
  </w:num>
  <w:num w:numId="2">
    <w:abstractNumId w:val="0"/>
  </w:num>
  <w:num w:numId="3">
    <w:abstractNumId w:val="4"/>
  </w:num>
  <w:num w:numId="4">
    <w:abstractNumId w:val="1"/>
  </w:num>
  <w:num w:numId="5">
    <w:abstractNumId w:val="1"/>
    <w:lvlOverride w:ilvl="0">
      <w:lvl w:ilvl="0">
        <w:numFmt w:val="upperLetter"/>
        <w:lvlText w:val="%1)."/>
        <w:lvlJc w:val="left"/>
        <w:pPr>
          <w:tabs>
            <w:tab w:val="num" w:pos="504"/>
          </w:tabs>
          <w:ind w:left="72"/>
        </w:pPr>
        <w:rPr>
          <w:rFonts w:ascii="Verdana" w:hAnsi="Verdana" w:cs="Verdana"/>
          <w:snapToGrid/>
          <w:sz w:val="22"/>
          <w:szCs w:val="22"/>
        </w:rPr>
      </w:lvl>
    </w:lvlOverride>
  </w:num>
  <w:num w:numId="6">
    <w:abstractNumId w:val="3"/>
  </w:num>
  <w:num w:numId="7">
    <w:abstractNumId w:val="3"/>
    <w:lvlOverride w:ilvl="0">
      <w:lvl w:ilvl="0">
        <w:numFmt w:val="lowerLetter"/>
        <w:lvlText w:val="%1)"/>
        <w:lvlJc w:val="left"/>
        <w:pPr>
          <w:tabs>
            <w:tab w:val="num" w:pos="1440"/>
          </w:tabs>
          <w:ind w:left="720" w:firstLine="360"/>
        </w:pPr>
        <w:rPr>
          <w:rFonts w:ascii="Verdana" w:hAnsi="Verdana" w:cs="Verdana"/>
          <w:b/>
          <w:bCs/>
          <w:i/>
          <w:iCs/>
          <w:snapToGrid/>
          <w:sz w:val="22"/>
          <w:szCs w:val="22"/>
        </w:rPr>
      </w:lvl>
    </w:lvlOverride>
  </w:num>
  <w:num w:numId="8">
    <w:abstractNumId w:val="3"/>
    <w:lvlOverride w:ilvl="0">
      <w:lvl w:ilvl="0">
        <w:numFmt w:val="lowerLetter"/>
        <w:lvlText w:val="%1)"/>
        <w:lvlJc w:val="left"/>
        <w:pPr>
          <w:tabs>
            <w:tab w:val="num" w:pos="1296"/>
          </w:tabs>
          <w:ind w:left="720" w:firstLine="360"/>
        </w:pPr>
        <w:rPr>
          <w:rFonts w:ascii="Verdana" w:hAnsi="Verdana" w:cs="Verdana"/>
          <w:i/>
          <w:iCs/>
          <w:snapToGrid/>
          <w:spacing w:val="-3"/>
          <w:sz w:val="22"/>
          <w:szCs w:val="22"/>
        </w:rPr>
      </w:lvl>
    </w:lvlOverride>
  </w:num>
  <w:num w:numId="9">
    <w:abstractNumId w:val="5"/>
  </w:num>
  <w:num w:numId="10">
    <w:abstractNumId w:val="5"/>
    <w:lvlOverride w:ilvl="0">
      <w:lvl w:ilvl="0">
        <w:numFmt w:val="upperRoman"/>
        <w:lvlText w:val="%1.-"/>
        <w:lvlJc w:val="left"/>
        <w:pPr>
          <w:tabs>
            <w:tab w:val="num" w:pos="720"/>
          </w:tabs>
          <w:ind w:left="72"/>
        </w:pPr>
        <w:rPr>
          <w:rFonts w:ascii="Tahoma" w:hAnsi="Tahoma" w:cs="Tahoma"/>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4F"/>
    <w:rsid w:val="00515EEC"/>
    <w:rsid w:val="008B184F"/>
    <w:rsid w:val="00926297"/>
    <w:rsid w:val="00F610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E7414E-D193-446F-A6AF-67084BD0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8B184F"/>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184F"/>
    <w:rPr>
      <w:color w:val="0563C1" w:themeColor="hyperlink"/>
      <w:u w:val="single"/>
    </w:rPr>
  </w:style>
  <w:style w:type="character" w:styleId="Mencinsinresolver">
    <w:name w:val="Unresolved Mention"/>
    <w:basedOn w:val="Fuentedeprrafopredeter"/>
    <w:uiPriority w:val="99"/>
    <w:semiHidden/>
    <w:unhideWhenUsed/>
    <w:rsid w:val="008B184F"/>
    <w:rPr>
      <w:color w:val="808080"/>
      <w:shd w:val="clear" w:color="auto" w:fill="E6E6E6"/>
    </w:rPr>
  </w:style>
  <w:style w:type="character" w:customStyle="1" w:styleId="Ttulo1Car">
    <w:name w:val="Título 1 Car"/>
    <w:basedOn w:val="Fuentedeprrafopredeter"/>
    <w:link w:val="Ttulo1"/>
    <w:uiPriority w:val="9"/>
    <w:rsid w:val="008B184F"/>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hotmail.com" TargetMode="External"/><Relationship Id="rId3" Type="http://schemas.openxmlformats.org/officeDocument/2006/relationships/settings" Target="settings.xml"/><Relationship Id="rId7" Type="http://schemas.openxmlformats.org/officeDocument/2006/relationships/hyperlink" Target="mailto: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msn.com" TargetMode="External"/><Relationship Id="rId5" Type="http://schemas.openxmlformats.org/officeDocument/2006/relationships/hyperlink" Target="mailto:xxxxxx@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3442</Words>
  <Characters>18935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2019-04-25T17:08:00Z</dcterms:created>
  <dcterms:modified xsi:type="dcterms:W3CDTF">2019-04-25T17:08:00Z</dcterms:modified>
</cp:coreProperties>
</file>