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930" w:rsidRDefault="00B603B4">
      <w:pPr>
        <w:kinsoku w:val="0"/>
        <w:overflowPunct w:val="0"/>
        <w:autoSpaceDE/>
        <w:autoSpaceDN/>
        <w:adjustRightInd/>
        <w:spacing w:line="248" w:lineRule="exact"/>
        <w:jc w:val="center"/>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 xml:space="preserve">RESOLUCION No. </w:t>
      </w:r>
      <w:bookmarkStart w:id="0" w:name="_GoBack"/>
      <w:r>
        <w:rPr>
          <w:rFonts w:ascii="Verdana" w:hAnsi="Verdana" w:cs="Verdana"/>
          <w:b/>
          <w:bCs/>
          <w:spacing w:val="2"/>
          <w:sz w:val="21"/>
          <w:szCs w:val="21"/>
          <w:lang w:val="es-ES" w:eastAsia="es-ES"/>
        </w:rPr>
        <w:t>TAT-3411-2018</w:t>
      </w:r>
      <w:bookmarkEnd w:id="0"/>
    </w:p>
    <w:p w:rsidR="00774930" w:rsidRDefault="00B603B4">
      <w:pPr>
        <w:kinsoku w:val="0"/>
        <w:overflowPunct w:val="0"/>
        <w:autoSpaceDE/>
        <w:autoSpaceDN/>
        <w:adjustRightInd/>
        <w:spacing w:before="521" w:line="266" w:lineRule="exact"/>
        <w:ind w:right="144"/>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TRIBUNAL ADMINISTRATIVO DE TRANSPORTE. </w:t>
      </w:r>
      <w:r>
        <w:rPr>
          <w:rFonts w:ascii="Verdana" w:hAnsi="Verdana" w:cs="Verdana"/>
          <w:sz w:val="21"/>
          <w:szCs w:val="21"/>
          <w:lang w:val="es-ES" w:eastAsia="es-ES"/>
        </w:rPr>
        <w:t>San José, a las once horas cincuenta minutos del tres de mayo de dos mil dieciocho. -</w:t>
      </w:r>
    </w:p>
    <w:p w:rsidR="00774930" w:rsidRDefault="00B603B4">
      <w:pPr>
        <w:kinsoku w:val="0"/>
        <w:overflowPunct w:val="0"/>
        <w:autoSpaceDE/>
        <w:autoSpaceDN/>
        <w:adjustRightInd/>
        <w:spacing w:before="271" w:line="259" w:lineRule="exact"/>
        <w:ind w:right="144"/>
        <w:jc w:val="both"/>
        <w:textAlignment w:val="baseline"/>
        <w:rPr>
          <w:rFonts w:ascii="Verdana" w:hAnsi="Verdana" w:cs="Verdana"/>
          <w:b/>
          <w:bCs/>
          <w:spacing w:val="1"/>
          <w:sz w:val="21"/>
          <w:szCs w:val="21"/>
          <w:lang w:val="es-ES" w:eastAsia="es-ES"/>
        </w:rPr>
      </w:pPr>
      <w:proofErr w:type="gramStart"/>
      <w:r>
        <w:rPr>
          <w:rFonts w:ascii="Verdana" w:hAnsi="Verdana" w:cs="Verdana"/>
          <w:b/>
          <w:bCs/>
          <w:spacing w:val="1"/>
          <w:sz w:val="21"/>
          <w:szCs w:val="21"/>
          <w:lang w:val="es-ES" w:eastAsia="es-ES"/>
        </w:rPr>
        <w:t xml:space="preserve">Recurso </w:t>
      </w:r>
      <w:r>
        <w:rPr>
          <w:rFonts w:ascii="Verdana" w:hAnsi="Verdana" w:cs="Verdana"/>
          <w:spacing w:val="1"/>
          <w:sz w:val="21"/>
          <w:szCs w:val="21"/>
          <w:lang w:val="es-ES" w:eastAsia="es-ES"/>
        </w:rPr>
        <w:t>,</w:t>
      </w:r>
      <w:r>
        <w:rPr>
          <w:rFonts w:ascii="Verdana" w:hAnsi="Verdana" w:cs="Verdana"/>
          <w:b/>
          <w:bCs/>
          <w:spacing w:val="1"/>
          <w:sz w:val="21"/>
          <w:szCs w:val="21"/>
          <w:lang w:val="es-ES" w:eastAsia="es-ES"/>
        </w:rPr>
        <w:t>de</w:t>
      </w:r>
      <w:proofErr w:type="gramEnd"/>
      <w:r>
        <w:rPr>
          <w:rFonts w:ascii="Verdana" w:hAnsi="Verdana" w:cs="Verdana"/>
          <w:b/>
          <w:bCs/>
          <w:spacing w:val="1"/>
          <w:sz w:val="21"/>
          <w:szCs w:val="21"/>
          <w:lang w:val="es-ES" w:eastAsia="es-ES"/>
        </w:rPr>
        <w:t xml:space="preserve"> Apelación en subsidio e incidente de Nulidad, </w:t>
      </w:r>
      <w:r>
        <w:rPr>
          <w:rFonts w:ascii="Verdana" w:hAnsi="Verdana" w:cs="Verdana"/>
          <w:spacing w:val="1"/>
          <w:sz w:val="21"/>
          <w:szCs w:val="21"/>
          <w:lang w:val="es-ES" w:eastAsia="es-ES"/>
        </w:rPr>
        <w:t xml:space="preserve">interpuesto por la </w:t>
      </w:r>
      <w:r>
        <w:rPr>
          <w:rFonts w:ascii="Verdana" w:hAnsi="Verdana" w:cs="Verdana"/>
          <w:b/>
          <w:bCs/>
          <w:spacing w:val="1"/>
          <w:sz w:val="21"/>
          <w:szCs w:val="21"/>
          <w:lang w:val="es-ES" w:eastAsia="es-ES"/>
        </w:rPr>
        <w:t xml:space="preserve">empresa T.M.Y.N.S. CÉDULA JURÍDICA NÚMERO …, </w:t>
      </w:r>
      <w:r>
        <w:rPr>
          <w:rFonts w:ascii="Verdana" w:hAnsi="Verdana" w:cs="Verdana"/>
          <w:spacing w:val="1"/>
          <w:sz w:val="21"/>
          <w:szCs w:val="21"/>
          <w:lang w:val="es-ES" w:eastAsia="es-ES"/>
        </w:rPr>
        <w:t xml:space="preserve">por medio de su Apoderada Generalísima sin límite de suma señora </w:t>
      </w:r>
      <w:r>
        <w:rPr>
          <w:rFonts w:ascii="Verdana" w:hAnsi="Verdana" w:cs="Verdana"/>
          <w:b/>
          <w:bCs/>
          <w:spacing w:val="1"/>
          <w:sz w:val="21"/>
          <w:szCs w:val="21"/>
          <w:lang w:val="es-ES" w:eastAsia="es-ES"/>
        </w:rPr>
        <w:t xml:space="preserve">L.M.M.N., cédula de identidad número …, </w:t>
      </w:r>
      <w:r>
        <w:rPr>
          <w:rFonts w:ascii="Verdana" w:hAnsi="Verdana" w:cs="Verdana"/>
          <w:spacing w:val="1"/>
          <w:sz w:val="21"/>
          <w:szCs w:val="21"/>
          <w:lang w:val="es-ES" w:eastAsia="es-ES"/>
        </w:rPr>
        <w:t xml:space="preserve">contra el </w:t>
      </w:r>
      <w:r>
        <w:rPr>
          <w:rFonts w:ascii="Verdana" w:hAnsi="Verdana" w:cs="Verdana"/>
          <w:b/>
          <w:bCs/>
          <w:spacing w:val="1"/>
          <w:sz w:val="21"/>
          <w:szCs w:val="21"/>
          <w:lang w:val="es-ES" w:eastAsia="es-ES"/>
        </w:rPr>
        <w:t xml:space="preserve">artículo 7.23 de la Sesión Ordinaria 45-2017 de 22 de noviembre de 2017, </w:t>
      </w:r>
      <w:r>
        <w:rPr>
          <w:rFonts w:ascii="Verdana" w:hAnsi="Verdana" w:cs="Verdana"/>
          <w:spacing w:val="1"/>
          <w:sz w:val="21"/>
          <w:szCs w:val="21"/>
          <w:lang w:val="es-ES" w:eastAsia="es-ES"/>
        </w:rPr>
        <w:t xml:space="preserve">dictado por la Junta Directiva del Consejo de Transporte Público. El caso es tramitado en este despacho bajo </w:t>
      </w:r>
      <w:r>
        <w:rPr>
          <w:rFonts w:ascii="Verdana" w:hAnsi="Verdana" w:cs="Verdana"/>
          <w:b/>
          <w:bCs/>
          <w:spacing w:val="1"/>
          <w:sz w:val="21"/>
          <w:szCs w:val="21"/>
          <w:lang w:val="es-ES" w:eastAsia="es-ES"/>
        </w:rPr>
        <w:t>Expediente Administrativo No.TAT-024-18.</w:t>
      </w:r>
    </w:p>
    <w:p w:rsidR="00774930" w:rsidRDefault="00B603B4">
      <w:pPr>
        <w:kinsoku w:val="0"/>
        <w:overflowPunct w:val="0"/>
        <w:autoSpaceDE/>
        <w:autoSpaceDN/>
        <w:adjustRightInd/>
        <w:spacing w:before="523" w:line="251" w:lineRule="exact"/>
        <w:jc w:val="center"/>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RESULTANDO</w:t>
      </w:r>
    </w:p>
    <w:p w:rsidR="00774930" w:rsidRDefault="00B603B4">
      <w:pPr>
        <w:kinsoku w:val="0"/>
        <w:overflowPunct w:val="0"/>
        <w:autoSpaceDE/>
        <w:autoSpaceDN/>
        <w:adjustRightInd/>
        <w:spacing w:before="268" w:line="259" w:lineRule="exact"/>
        <w:ind w:right="144"/>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PRIMERO: </w:t>
      </w:r>
      <w:r>
        <w:rPr>
          <w:rFonts w:ascii="Verdana" w:hAnsi="Verdana" w:cs="Verdana"/>
          <w:sz w:val="21"/>
          <w:szCs w:val="21"/>
          <w:lang w:val="es-ES" w:eastAsia="es-ES"/>
        </w:rPr>
        <w:t xml:space="preserve">La JUNTA DIRECTIVA DEL CONSEJO DE TRANSPORTE PÚBLICO, mediante </w:t>
      </w:r>
      <w:r>
        <w:rPr>
          <w:rFonts w:ascii="Verdana" w:hAnsi="Verdana" w:cs="Verdana"/>
          <w:b/>
          <w:bCs/>
          <w:sz w:val="21"/>
          <w:szCs w:val="21"/>
          <w:lang w:val="es-ES" w:eastAsia="es-ES"/>
        </w:rPr>
        <w:t xml:space="preserve">artículo 7.23 de la Sesión Ordinaria 45-2017 de 22 de noviembre de 2017, </w:t>
      </w:r>
      <w:r>
        <w:rPr>
          <w:rFonts w:ascii="Verdana" w:hAnsi="Verdana" w:cs="Verdana"/>
          <w:sz w:val="21"/>
          <w:szCs w:val="21"/>
          <w:lang w:val="es-ES" w:eastAsia="es-ES"/>
        </w:rPr>
        <w:t>acuerda: (Léase folio 28 del expediente administrativo)</w:t>
      </w:r>
    </w:p>
    <w:p w:rsidR="00774930" w:rsidRDefault="00B603B4">
      <w:pPr>
        <w:kinsoku w:val="0"/>
        <w:overflowPunct w:val="0"/>
        <w:autoSpaceDE/>
        <w:autoSpaceDN/>
        <w:adjustRightInd/>
        <w:spacing w:before="223" w:line="251" w:lineRule="exact"/>
        <w:ind w:left="432"/>
        <w:textAlignment w:val="baseline"/>
        <w:rPr>
          <w:rFonts w:ascii="Verdana" w:hAnsi="Verdana" w:cs="Verdana"/>
          <w:b/>
          <w:bCs/>
          <w:spacing w:val="-22"/>
          <w:sz w:val="21"/>
          <w:szCs w:val="21"/>
          <w:lang w:val="es-ES" w:eastAsia="es-ES"/>
        </w:rPr>
      </w:pPr>
      <w:r>
        <w:rPr>
          <w:rFonts w:ascii="Verdana" w:hAnsi="Verdana" w:cs="Verdana"/>
          <w:b/>
          <w:bCs/>
          <w:spacing w:val="-22"/>
          <w:sz w:val="21"/>
          <w:szCs w:val="21"/>
          <w:lang w:val="es-ES" w:eastAsia="es-ES"/>
        </w:rPr>
        <w:t>"POR TANTO, SE ACUERDA:</w:t>
      </w:r>
    </w:p>
    <w:p w:rsidR="00774930" w:rsidRDefault="00B603B4">
      <w:pPr>
        <w:numPr>
          <w:ilvl w:val="0"/>
          <w:numId w:val="1"/>
        </w:numPr>
        <w:kinsoku w:val="0"/>
        <w:overflowPunct w:val="0"/>
        <w:autoSpaceDE/>
        <w:autoSpaceDN/>
        <w:adjustRightInd/>
        <w:spacing w:before="210" w:line="212" w:lineRule="exact"/>
        <w:ind w:right="504"/>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 xml:space="preserve">Aprobar, basados en los fundamentos, motivos y contenidos, desarrollados en los considerandos del oficio </w:t>
      </w:r>
      <w:r>
        <w:rPr>
          <w:rFonts w:ascii="Verdana" w:hAnsi="Verdana" w:cs="Verdana"/>
          <w:b/>
          <w:bCs/>
          <w:i/>
          <w:iCs/>
          <w:sz w:val="18"/>
          <w:szCs w:val="18"/>
          <w:lang w:val="es-ES" w:eastAsia="es-ES"/>
        </w:rPr>
        <w:t xml:space="preserve">DE 2017-2873, </w:t>
      </w:r>
      <w:r>
        <w:rPr>
          <w:rFonts w:ascii="Verdana" w:hAnsi="Verdana" w:cs="Verdana"/>
          <w:i/>
          <w:iCs/>
          <w:sz w:val="18"/>
          <w:szCs w:val="18"/>
          <w:lang w:val="es-ES" w:eastAsia="es-ES"/>
        </w:rPr>
        <w:t>todas las recomendaciones contenidas en el oficio dicho, el cual forma parte integral de este acuerdo.</w:t>
      </w:r>
    </w:p>
    <w:p w:rsidR="00774930" w:rsidRDefault="00B603B4">
      <w:pPr>
        <w:numPr>
          <w:ilvl w:val="0"/>
          <w:numId w:val="1"/>
        </w:numPr>
        <w:kinsoku w:val="0"/>
        <w:overflowPunct w:val="0"/>
        <w:autoSpaceDE/>
        <w:autoSpaceDN/>
        <w:adjustRightInd/>
        <w:spacing w:line="210" w:lineRule="exact"/>
        <w:ind w:right="504"/>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Se autoriza a los 153 Operadores de Transporte Público (concesionarios y permisionarios) invocados en los artículos 7.2 de la sesión ordinaria 14-2017; y 7.13 de la sesión ordinaria 20-2017, para que contraten a un Organismo de Inspección acreditado ante el ECA en la norma INTE-ISO/IEC 17020 alcance tipo A, a efectos de que proceda a validar los estudios de la evaluación de la calidad del período 2016.</w:t>
      </w:r>
    </w:p>
    <w:p w:rsidR="00774930" w:rsidRDefault="00B603B4">
      <w:pPr>
        <w:numPr>
          <w:ilvl w:val="0"/>
          <w:numId w:val="1"/>
        </w:numPr>
        <w:kinsoku w:val="0"/>
        <w:overflowPunct w:val="0"/>
        <w:autoSpaceDE/>
        <w:autoSpaceDN/>
        <w:adjustRightInd/>
        <w:spacing w:before="7" w:line="212" w:lineRule="exact"/>
        <w:ind w:right="504"/>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 xml:space="preserve">En un plazo de </w:t>
      </w:r>
      <w:r>
        <w:rPr>
          <w:rFonts w:ascii="Verdana" w:hAnsi="Verdana" w:cs="Verdana"/>
          <w:b/>
          <w:bCs/>
          <w:i/>
          <w:iCs/>
          <w:sz w:val="18"/>
          <w:szCs w:val="18"/>
          <w:lang w:val="es-ES" w:eastAsia="es-ES"/>
        </w:rPr>
        <w:t xml:space="preserve">diez días hábiles, </w:t>
      </w:r>
      <w:r>
        <w:rPr>
          <w:rFonts w:ascii="Verdana" w:hAnsi="Verdana" w:cs="Verdana"/>
          <w:i/>
          <w:iCs/>
          <w:sz w:val="18"/>
          <w:szCs w:val="18"/>
          <w:lang w:val="es-ES" w:eastAsia="es-ES"/>
        </w:rPr>
        <w:t>contados a partir de la notificación de este acuerdo, deben dichos operadores comunicar por escrito a este Consejo de Transporte Público sobre el Organismo de Inspección Acreditado ante el ECA, que contrataron para tales efectos, a fin de adoptar las medidas pertinentes, respecto a los procedimientos administrativos establecidos en los acuerdos citados.</w:t>
      </w:r>
    </w:p>
    <w:p w:rsidR="00774930" w:rsidRDefault="00B603B4">
      <w:pPr>
        <w:numPr>
          <w:ilvl w:val="0"/>
          <w:numId w:val="1"/>
        </w:numPr>
        <w:kinsoku w:val="0"/>
        <w:overflowPunct w:val="0"/>
        <w:autoSpaceDE/>
        <w:autoSpaceDN/>
        <w:adjustRightInd/>
        <w:spacing w:before="49" w:after="451" w:line="212" w:lineRule="exact"/>
        <w:ind w:right="504"/>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 xml:space="preserve">Para la presentación de la validación de los estudios de la evaluación de la calidad Del servicio del período 2016, los Operadores invocados en los artículos 7.2 de la sesión ordinaria 14-2017; y 7.13 de la sesión ordinaria 20-2017 contarán con un plazo improrrogable hasta el 31 de enero del 2018. </w:t>
      </w:r>
      <w:r>
        <w:rPr>
          <w:rFonts w:ascii="Verdana" w:hAnsi="Verdana" w:cs="Verdana"/>
          <w:b/>
          <w:bCs/>
          <w:i/>
          <w:iCs/>
          <w:sz w:val="18"/>
          <w:szCs w:val="18"/>
          <w:lang w:val="es-ES" w:eastAsia="es-ES"/>
        </w:rPr>
        <w:t xml:space="preserve">5. </w:t>
      </w:r>
      <w:r>
        <w:rPr>
          <w:rFonts w:ascii="Verdana" w:hAnsi="Verdana" w:cs="Verdana"/>
          <w:i/>
          <w:iCs/>
          <w:sz w:val="18"/>
          <w:szCs w:val="18"/>
          <w:lang w:val="es-ES" w:eastAsia="es-ES"/>
        </w:rPr>
        <w:t>Si transcurrido el plazo de los diez días dispuesto en el inciso 3 anterior, el Operador (invocado en los artículos 7.2 de la sesión ordinaria 14-2017 y 7.13 de la sesión ordinaria 20-2017) hace caso omiso de la comunicación sobre el Organismo de Inspección acreditado para la validación del estudio de la evaluación de la calidad del servicio del período 2016, se brindará prosecución al procedimiento administrativo establecido. (...)"</w:t>
      </w:r>
    </w:p>
    <w:p w:rsidR="00774930" w:rsidRDefault="00774930">
      <w:pPr>
        <w:widowControl/>
        <w:rPr>
          <w:sz w:val="24"/>
          <w:szCs w:val="24"/>
        </w:rPr>
        <w:sectPr w:rsidR="00774930">
          <w:pgSz w:w="12326" w:h="15754"/>
          <w:pgMar w:top="2180" w:right="1714" w:bottom="57" w:left="1752" w:header="720" w:footer="720" w:gutter="0"/>
          <w:cols w:space="720"/>
          <w:noEndnote/>
        </w:sectPr>
      </w:pPr>
    </w:p>
    <w:p w:rsidR="00774930" w:rsidRDefault="00774930">
      <w:pPr>
        <w:widowControl/>
        <w:rPr>
          <w:sz w:val="24"/>
          <w:szCs w:val="24"/>
        </w:rPr>
        <w:sectPr w:rsidR="00774930">
          <w:type w:val="continuous"/>
          <w:pgSz w:w="12326" w:h="15754"/>
          <w:pgMar w:top="2180" w:right="1901" w:bottom="57" w:left="7445" w:header="720" w:footer="720" w:gutter="0"/>
          <w:cols w:space="720"/>
          <w:noEndnote/>
        </w:sectPr>
      </w:pPr>
    </w:p>
    <w:p w:rsidR="00774930" w:rsidRDefault="00B603B4">
      <w:pPr>
        <w:kinsoku w:val="0"/>
        <w:overflowPunct w:val="0"/>
        <w:autoSpaceDE/>
        <w:autoSpaceDN/>
        <w:adjustRightInd/>
        <w:spacing w:before="30" w:line="260"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lastRenderedPageBreak/>
        <w:t xml:space="preserve">SEGUNDO: </w:t>
      </w:r>
      <w:r>
        <w:rPr>
          <w:rFonts w:ascii="Verdana" w:hAnsi="Verdana" w:cs="Verdana"/>
          <w:sz w:val="22"/>
          <w:szCs w:val="22"/>
          <w:lang w:val="es-ES" w:eastAsia="es-ES"/>
        </w:rPr>
        <w:t xml:space="preserve">La empresa Recurrente impugna el </w:t>
      </w:r>
      <w:r>
        <w:rPr>
          <w:rFonts w:ascii="Verdana" w:hAnsi="Verdana" w:cs="Verdana"/>
          <w:b/>
          <w:bCs/>
          <w:sz w:val="22"/>
          <w:szCs w:val="22"/>
          <w:lang w:val="es-ES" w:eastAsia="es-ES"/>
        </w:rPr>
        <w:t xml:space="preserve">artículo 7.23 de la Sesión Ordinaria 45-2017 de 22 de noviembre de 2017, </w:t>
      </w:r>
      <w:r>
        <w:rPr>
          <w:rFonts w:ascii="Verdana" w:hAnsi="Verdana" w:cs="Verdana"/>
          <w:sz w:val="22"/>
          <w:szCs w:val="22"/>
          <w:lang w:val="es-ES" w:eastAsia="es-ES"/>
        </w:rPr>
        <w:t>alegando una serie de vicios, que según su criterio conllevan la nulidad del acto administrativo; tales argumentos no se desarrollan en este resultando por lo que más adelante se indica. (Léanse folios del 8 al 18 del expediente administrativo.)</w:t>
      </w:r>
    </w:p>
    <w:p w:rsidR="00774930" w:rsidRDefault="00B603B4">
      <w:pPr>
        <w:kinsoku w:val="0"/>
        <w:overflowPunct w:val="0"/>
        <w:autoSpaceDE/>
        <w:autoSpaceDN/>
        <w:adjustRightInd/>
        <w:spacing w:before="262" w:line="258"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TERCERO: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acuerdo 7.5.1 de la Sesión Ordinaria 13-2018 de 12 de abril de 2018, </w:t>
      </w:r>
      <w:r>
        <w:rPr>
          <w:rFonts w:ascii="Verdana" w:hAnsi="Verdana" w:cs="Verdana"/>
          <w:sz w:val="22"/>
          <w:szCs w:val="22"/>
          <w:lang w:val="es-ES" w:eastAsia="es-ES"/>
        </w:rPr>
        <w:t xml:space="preserve">conoce y avala el informe de la Dirección Asuntos Jurídicos el </w:t>
      </w:r>
      <w:r>
        <w:rPr>
          <w:rFonts w:ascii="Verdana" w:hAnsi="Verdana" w:cs="Verdana"/>
          <w:b/>
          <w:bCs/>
          <w:sz w:val="22"/>
          <w:szCs w:val="22"/>
          <w:lang w:val="es-ES" w:eastAsia="es-ES"/>
        </w:rPr>
        <w:t xml:space="preserve">DAJ-2018-000548 de 3 de abril de 2018 y rechaza el recurso de Revocatoria y la Nulidad invocadas por extemporáneos. </w:t>
      </w:r>
      <w:r>
        <w:rPr>
          <w:rFonts w:ascii="Verdana" w:hAnsi="Verdana" w:cs="Verdana"/>
          <w:sz w:val="22"/>
          <w:szCs w:val="22"/>
          <w:lang w:val="es-ES" w:eastAsia="es-ES"/>
        </w:rPr>
        <w:t>(Léanse folios del 4 al 7 del expediente administrativo)</w:t>
      </w:r>
    </w:p>
    <w:p w:rsidR="00774930" w:rsidRDefault="00B603B4">
      <w:pPr>
        <w:kinsoku w:val="0"/>
        <w:overflowPunct w:val="0"/>
        <w:autoSpaceDE/>
        <w:autoSpaceDN/>
        <w:adjustRightInd/>
        <w:spacing w:before="255" w:line="260"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CUARTO: </w:t>
      </w:r>
      <w:r>
        <w:rPr>
          <w:rFonts w:ascii="Verdana" w:hAnsi="Verdana" w:cs="Verdana"/>
          <w:sz w:val="22"/>
          <w:szCs w:val="22"/>
          <w:lang w:val="es-ES" w:eastAsia="es-ES"/>
        </w:rPr>
        <w:t>Mediante prevención que realizara este Tribunal Administrativo de Transporte al Consejo de Transporte Público, éste eleva la notificación que hiciera del acuerdo impugnado a la recurrente y certifica que la notificación se dio el 27 de noviembre de 2017. (Léanse folios 33, 97 y 99 del expediente administrativo)</w:t>
      </w:r>
    </w:p>
    <w:p w:rsidR="00774930" w:rsidRDefault="00B603B4">
      <w:pPr>
        <w:kinsoku w:val="0"/>
        <w:overflowPunct w:val="0"/>
        <w:autoSpaceDE/>
        <w:autoSpaceDN/>
        <w:adjustRightInd/>
        <w:spacing w:before="258" w:line="260"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QUINTO: </w:t>
      </w:r>
      <w:r>
        <w:rPr>
          <w:rFonts w:ascii="Verdana" w:hAnsi="Verdana" w:cs="Verdana"/>
          <w:sz w:val="22"/>
          <w:szCs w:val="22"/>
          <w:lang w:val="es-ES" w:eastAsia="es-ES"/>
        </w:rPr>
        <w:t>En los procedimientos seguidos se han observado las prescripciones legales.</w:t>
      </w:r>
    </w:p>
    <w:p w:rsidR="00774930" w:rsidRDefault="00B603B4">
      <w:pPr>
        <w:kinsoku w:val="0"/>
        <w:overflowPunct w:val="0"/>
        <w:autoSpaceDE/>
        <w:autoSpaceDN/>
        <w:adjustRightInd/>
        <w:spacing w:before="263" w:line="260" w:lineRule="exact"/>
        <w:ind w:left="72" w:right="72"/>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Redacta el Juez Muñoz Corea; y,</w:t>
      </w:r>
    </w:p>
    <w:p w:rsidR="00774930" w:rsidRDefault="00B603B4">
      <w:pPr>
        <w:kinsoku w:val="0"/>
        <w:overflowPunct w:val="0"/>
        <w:autoSpaceDE/>
        <w:autoSpaceDN/>
        <w:adjustRightInd/>
        <w:spacing w:before="518" w:line="255" w:lineRule="exact"/>
        <w:ind w:left="72" w:right="72"/>
        <w:jc w:val="center"/>
        <w:textAlignment w:val="baseline"/>
        <w:rPr>
          <w:rFonts w:ascii="Verdana" w:hAnsi="Verdana" w:cs="Verdana"/>
          <w:b/>
          <w:bCs/>
          <w:spacing w:val="-3"/>
          <w:sz w:val="22"/>
          <w:szCs w:val="22"/>
          <w:lang w:val="es-ES" w:eastAsia="es-ES"/>
        </w:rPr>
      </w:pPr>
      <w:r>
        <w:rPr>
          <w:rFonts w:ascii="Verdana" w:hAnsi="Verdana" w:cs="Verdana"/>
          <w:b/>
          <w:bCs/>
          <w:spacing w:val="-3"/>
          <w:sz w:val="22"/>
          <w:szCs w:val="22"/>
          <w:lang w:val="es-ES" w:eastAsia="es-ES"/>
        </w:rPr>
        <w:t>CONSIDERANDO UNICO</w:t>
      </w:r>
    </w:p>
    <w:p w:rsidR="00774930" w:rsidRDefault="00B603B4">
      <w:pPr>
        <w:kinsoku w:val="0"/>
        <w:overflowPunct w:val="0"/>
        <w:autoSpaceDE/>
        <w:autoSpaceDN/>
        <w:adjustRightInd/>
        <w:spacing w:before="261" w:line="259" w:lineRule="exact"/>
        <w:ind w:left="72" w:right="72"/>
        <w:jc w:val="both"/>
        <w:textAlignment w:val="baseline"/>
        <w:rPr>
          <w:rFonts w:ascii="Verdana" w:hAnsi="Verdana" w:cs="Verdana"/>
          <w:b/>
          <w:bCs/>
          <w:spacing w:val="-6"/>
          <w:sz w:val="22"/>
          <w:szCs w:val="22"/>
          <w:lang w:val="es-ES" w:eastAsia="es-ES"/>
        </w:rPr>
      </w:pPr>
      <w:r>
        <w:rPr>
          <w:rFonts w:ascii="Verdana" w:hAnsi="Verdana" w:cs="Verdana"/>
          <w:spacing w:val="-6"/>
          <w:sz w:val="22"/>
          <w:szCs w:val="22"/>
          <w:lang w:val="es-ES" w:eastAsia="es-ES"/>
        </w:rPr>
        <w:t xml:space="preserve">Al analizar las piezas del presente expediente, es claro que a la </w:t>
      </w:r>
      <w:r>
        <w:rPr>
          <w:rFonts w:ascii="Verdana" w:hAnsi="Verdana" w:cs="Verdana"/>
          <w:b/>
          <w:bCs/>
          <w:spacing w:val="-6"/>
          <w:sz w:val="22"/>
          <w:szCs w:val="22"/>
          <w:lang w:val="es-ES" w:eastAsia="es-ES"/>
        </w:rPr>
        <w:t xml:space="preserve">empresa T.M.Y.N.S. CÉDULA JURÍDICA NÚMERO …, </w:t>
      </w:r>
      <w:r>
        <w:rPr>
          <w:rFonts w:ascii="Verdana" w:hAnsi="Verdana" w:cs="Verdana"/>
          <w:spacing w:val="-6"/>
          <w:sz w:val="22"/>
          <w:szCs w:val="22"/>
          <w:lang w:val="es-ES" w:eastAsia="es-ES"/>
        </w:rPr>
        <w:t xml:space="preserve">se le notifica el acuerdo impugnado el 27 de noviembre de 2017 según constancia y acta de notificación, aportada por el Consejo de Transporte Público y que obran a folios 97 y 99 del expediente y por tal razón, distinto a lo indicado por el Consejo de Transporte Público el recurso de Revocatoria no fue presentado de manera extemporánea, pues al 5 de diciembre de 2017 fecha en que se presenta el líbelo, (ver folio 8), aún la recurrente se encontraba cubierta por el plazo dispuesto, en el </w:t>
      </w:r>
      <w:r>
        <w:rPr>
          <w:rFonts w:ascii="Verdana" w:hAnsi="Verdana" w:cs="Verdana"/>
          <w:b/>
          <w:bCs/>
          <w:spacing w:val="-6"/>
          <w:sz w:val="22"/>
          <w:szCs w:val="22"/>
          <w:lang w:val="es-ES" w:eastAsia="es-ES"/>
        </w:rPr>
        <w:t>numeral 11 de la Ley N. 7969.</w:t>
      </w:r>
    </w:p>
    <w:p w:rsidR="00774930" w:rsidRDefault="00B603B4">
      <w:pPr>
        <w:kinsoku w:val="0"/>
        <w:overflowPunct w:val="0"/>
        <w:autoSpaceDE/>
        <w:autoSpaceDN/>
        <w:adjustRightInd/>
        <w:spacing w:before="288" w:line="260" w:lineRule="exact"/>
        <w:ind w:left="72" w:right="72"/>
        <w:jc w:val="both"/>
        <w:textAlignment w:val="baseline"/>
        <w:rPr>
          <w:rFonts w:ascii="Verdana" w:hAnsi="Verdana" w:cs="Verdana"/>
          <w:spacing w:val="-4"/>
          <w:sz w:val="22"/>
          <w:szCs w:val="22"/>
          <w:lang w:val="es-ES" w:eastAsia="es-ES"/>
        </w:rPr>
      </w:pPr>
      <w:r>
        <w:rPr>
          <w:rFonts w:ascii="Verdana" w:hAnsi="Verdana" w:cs="Verdana"/>
          <w:spacing w:val="-4"/>
          <w:sz w:val="22"/>
          <w:szCs w:val="22"/>
          <w:lang w:val="es-ES" w:eastAsia="es-ES"/>
        </w:rPr>
        <w:t xml:space="preserve">Debe recordarse que cuando en sede administrativa se notifique por fax o correo electrónico al administrado, debe aplicarse supletoriamente la Ley de Notificaciones Judiciales, y por lo tanto el plazo para la presentación del recurso, comienza correr al día hábil siguiente, al que fue notificado, por lo </w:t>
      </w:r>
      <w:proofErr w:type="gramStart"/>
      <w:r>
        <w:rPr>
          <w:rFonts w:ascii="Verdana" w:hAnsi="Verdana" w:cs="Verdana"/>
          <w:spacing w:val="-4"/>
          <w:sz w:val="22"/>
          <w:szCs w:val="22"/>
          <w:lang w:val="es-ES" w:eastAsia="es-ES"/>
        </w:rPr>
        <w:t>que</w:t>
      </w:r>
      <w:proofErr w:type="gramEnd"/>
      <w:r>
        <w:rPr>
          <w:rFonts w:ascii="Verdana" w:hAnsi="Verdana" w:cs="Verdana"/>
          <w:spacing w:val="-4"/>
          <w:sz w:val="22"/>
          <w:szCs w:val="22"/>
          <w:lang w:val="es-ES" w:eastAsia="es-ES"/>
        </w:rPr>
        <w:t xml:space="preserve"> en el caso concreto, si se notificó el día 27 de noviembre de 2017, el plazo de los 5 días se cumplía precisamente el día 5 de diciembre del mismo año.</w:t>
      </w:r>
    </w:p>
    <w:p w:rsidR="00774930" w:rsidRDefault="00B603B4">
      <w:pPr>
        <w:kinsoku w:val="0"/>
        <w:overflowPunct w:val="0"/>
        <w:autoSpaceDE/>
        <w:autoSpaceDN/>
        <w:adjustRightInd/>
        <w:spacing w:before="270" w:after="537" w:line="273"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Ley de Notificaciones Judiciales, </w:t>
      </w:r>
      <w:r>
        <w:rPr>
          <w:rFonts w:ascii="Verdana" w:hAnsi="Verdana" w:cs="Verdana"/>
          <w:b/>
          <w:bCs/>
          <w:sz w:val="22"/>
          <w:szCs w:val="22"/>
          <w:lang w:val="es-ES" w:eastAsia="es-ES"/>
        </w:rPr>
        <w:t xml:space="preserve">Ley número 8687 </w:t>
      </w:r>
      <w:r>
        <w:rPr>
          <w:rFonts w:ascii="Verdana" w:hAnsi="Verdana" w:cs="Verdana"/>
          <w:sz w:val="22"/>
          <w:szCs w:val="22"/>
          <w:lang w:val="es-ES" w:eastAsia="es-ES"/>
        </w:rPr>
        <w:t>dispone en su artículo 38 lo siguiente:</w:t>
      </w:r>
    </w:p>
    <w:p w:rsidR="00774930" w:rsidRDefault="00774930">
      <w:pPr>
        <w:widowControl/>
        <w:rPr>
          <w:sz w:val="24"/>
          <w:szCs w:val="24"/>
        </w:rPr>
        <w:sectPr w:rsidR="00774930">
          <w:pgSz w:w="12326" w:h="15754"/>
          <w:pgMar w:top="2500" w:right="1905" w:bottom="167" w:left="1561" w:header="720" w:footer="720" w:gutter="0"/>
          <w:cols w:space="720"/>
          <w:noEndnote/>
        </w:sectPr>
      </w:pPr>
    </w:p>
    <w:p w:rsidR="00774930" w:rsidRDefault="00B603B4">
      <w:pPr>
        <w:tabs>
          <w:tab w:val="right" w:pos="3024"/>
        </w:tabs>
        <w:kinsoku w:val="0"/>
        <w:overflowPunct w:val="0"/>
        <w:autoSpaceDE/>
        <w:autoSpaceDN/>
        <w:adjustRightInd/>
        <w:spacing w:line="275" w:lineRule="exact"/>
        <w:textAlignment w:val="baseline"/>
        <w:rPr>
          <w:sz w:val="24"/>
          <w:szCs w:val="24"/>
          <w:lang w:val="es-ES" w:eastAsia="es-ES"/>
        </w:rPr>
      </w:pPr>
      <w:r>
        <w:rPr>
          <w:sz w:val="24"/>
          <w:szCs w:val="24"/>
          <w:lang w:val="es-ES" w:eastAsia="es-ES"/>
        </w:rPr>
        <w:tab/>
      </w:r>
    </w:p>
    <w:p w:rsidR="00774930" w:rsidRDefault="00774930">
      <w:pPr>
        <w:widowControl/>
        <w:rPr>
          <w:sz w:val="24"/>
          <w:szCs w:val="24"/>
        </w:rPr>
        <w:sectPr w:rsidR="00774930">
          <w:type w:val="continuous"/>
          <w:pgSz w:w="12326" w:h="15754"/>
          <w:pgMar w:top="2500" w:right="1987" w:bottom="167" w:left="7339" w:header="720" w:footer="720" w:gutter="0"/>
          <w:cols w:space="720"/>
          <w:noEndnote/>
        </w:sectPr>
      </w:pPr>
    </w:p>
    <w:p w:rsidR="00774930" w:rsidRDefault="00B603B4">
      <w:pPr>
        <w:kinsoku w:val="0"/>
        <w:overflowPunct w:val="0"/>
        <w:autoSpaceDE/>
        <w:autoSpaceDN/>
        <w:adjustRightInd/>
        <w:spacing w:before="18" w:line="220" w:lineRule="exact"/>
        <w:ind w:left="1152"/>
        <w:textAlignment w:val="baseline"/>
        <w:rPr>
          <w:rFonts w:ascii="Verdana" w:hAnsi="Verdana" w:cs="Verdana"/>
          <w:b/>
          <w:bCs/>
          <w:i/>
          <w:iCs/>
          <w:spacing w:val="3"/>
          <w:sz w:val="17"/>
          <w:szCs w:val="17"/>
          <w:lang w:val="es-ES" w:eastAsia="es-ES"/>
        </w:rPr>
      </w:pPr>
      <w:r>
        <w:rPr>
          <w:rFonts w:ascii="Verdana" w:hAnsi="Verdana" w:cs="Verdana"/>
          <w:b/>
          <w:bCs/>
          <w:i/>
          <w:iCs/>
          <w:spacing w:val="3"/>
          <w:sz w:val="17"/>
          <w:szCs w:val="17"/>
          <w:lang w:val="es-ES" w:eastAsia="es-ES"/>
        </w:rPr>
        <w:lastRenderedPageBreak/>
        <w:t>"ARTÍCULO 38.- Cómputo del plazo</w:t>
      </w:r>
    </w:p>
    <w:p w:rsidR="00774930" w:rsidRDefault="00B603B4" w:rsidP="00B603B4">
      <w:pPr>
        <w:kinsoku w:val="0"/>
        <w:overflowPunct w:val="0"/>
        <w:autoSpaceDE/>
        <w:autoSpaceDN/>
        <w:adjustRightInd/>
        <w:spacing w:before="308" w:line="214" w:lineRule="exact"/>
        <w:ind w:left="648" w:right="432"/>
        <w:jc w:val="both"/>
        <w:textAlignment w:val="baseline"/>
        <w:rPr>
          <w:rFonts w:ascii="Verdana" w:hAnsi="Verdana" w:cs="Verdana"/>
          <w:i/>
          <w:iCs/>
          <w:spacing w:val="6"/>
          <w:sz w:val="17"/>
          <w:szCs w:val="17"/>
          <w:lang w:val="es-ES" w:eastAsia="es-ES"/>
        </w:rPr>
      </w:pPr>
      <w:r>
        <w:rPr>
          <w:rFonts w:ascii="Verdana" w:hAnsi="Verdana" w:cs="Verdana"/>
          <w:i/>
          <w:iCs/>
          <w:spacing w:val="6"/>
          <w:sz w:val="17"/>
          <w:szCs w:val="17"/>
          <w:lang w:val="es-ES" w:eastAsia="es-ES"/>
        </w:rPr>
        <w:t>Cuando se señale un correo electrónico, fax o casillero, la persona quedará notificada al día "hábil" siguiente de la transmisión o del depósito respectivo. No obstante, todo plazo empieza a correr a partir del día siguiente hábil de la notificación a todas las partes."</w:t>
      </w:r>
    </w:p>
    <w:p w:rsidR="00774930" w:rsidRDefault="00B603B4">
      <w:pPr>
        <w:kinsoku w:val="0"/>
        <w:overflowPunct w:val="0"/>
        <w:autoSpaceDE/>
        <w:autoSpaceDN/>
        <w:adjustRightInd/>
        <w:spacing w:before="522" w:line="262" w:lineRule="exact"/>
        <w:ind w:left="288"/>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Por lo indicado anteriormente, es criterio de este Tribunal que debe anularse el acto que rechaza la revocatoria y el incidente de nulidad y eleva la Apelación en Subsidio, para que el Consejo de Transporte Público conozca en primera instancia del recurso de Revocatoria por el fondo y de rechazar el recurso proceda según corresponda.</w:t>
      </w:r>
    </w:p>
    <w:p w:rsidR="00774930" w:rsidRDefault="00B603B4">
      <w:pPr>
        <w:kinsoku w:val="0"/>
        <w:overflowPunct w:val="0"/>
        <w:autoSpaceDE/>
        <w:autoSpaceDN/>
        <w:adjustRightInd/>
        <w:spacing w:before="249" w:line="262" w:lineRule="exact"/>
        <w:ind w:left="288"/>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En cuanto a los demás argumentos presentados por la Recurrente, este Tribunal omite referirse a ellos, por cuanto eventualmente, podría conocer de ellos nuevamente.</w:t>
      </w:r>
    </w:p>
    <w:p w:rsidR="00774930" w:rsidRDefault="00B603B4">
      <w:pPr>
        <w:kinsoku w:val="0"/>
        <w:overflowPunct w:val="0"/>
        <w:autoSpaceDE/>
        <w:autoSpaceDN/>
        <w:adjustRightInd/>
        <w:spacing w:before="262" w:line="262" w:lineRule="exact"/>
        <w:ind w:left="288"/>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t>Una vez conocido el Recurso de Revocatoria, y si el mismo es desestimado por el CTP, se procederá a elevar la Apelación a este Tribunal, por lo que en este momento no se hace referencia alguna al fondo del Recurso.</w:t>
      </w:r>
    </w:p>
    <w:p w:rsidR="00774930" w:rsidRDefault="00B603B4">
      <w:pPr>
        <w:kinsoku w:val="0"/>
        <w:overflowPunct w:val="0"/>
        <w:autoSpaceDE/>
        <w:autoSpaceDN/>
        <w:adjustRightInd/>
        <w:spacing w:before="526" w:line="255" w:lineRule="exact"/>
        <w:jc w:val="center"/>
        <w:textAlignment w:val="baseline"/>
        <w:rPr>
          <w:rFonts w:ascii="Tahoma" w:hAnsi="Tahoma" w:cs="Tahoma"/>
          <w:b/>
          <w:bCs/>
          <w:spacing w:val="9"/>
          <w:sz w:val="22"/>
          <w:szCs w:val="22"/>
          <w:lang w:val="es-ES" w:eastAsia="es-ES"/>
        </w:rPr>
      </w:pPr>
      <w:r>
        <w:rPr>
          <w:rFonts w:ascii="Tahoma" w:hAnsi="Tahoma" w:cs="Tahoma"/>
          <w:b/>
          <w:bCs/>
          <w:spacing w:val="9"/>
          <w:sz w:val="22"/>
          <w:szCs w:val="22"/>
          <w:lang w:val="es-ES" w:eastAsia="es-ES"/>
        </w:rPr>
        <w:t>POR TANTO</w:t>
      </w:r>
    </w:p>
    <w:p w:rsidR="00774930" w:rsidRDefault="00B603B4">
      <w:pPr>
        <w:numPr>
          <w:ilvl w:val="0"/>
          <w:numId w:val="2"/>
        </w:numPr>
        <w:kinsoku w:val="0"/>
        <w:overflowPunct w:val="0"/>
        <w:autoSpaceDE/>
        <w:autoSpaceDN/>
        <w:adjustRightInd/>
        <w:spacing w:before="229" w:line="261" w:lineRule="exact"/>
        <w:jc w:val="both"/>
        <w:textAlignment w:val="baseline"/>
        <w:rPr>
          <w:rFonts w:ascii="Tahoma" w:hAnsi="Tahoma" w:cs="Tahoma"/>
          <w:spacing w:val="8"/>
          <w:sz w:val="22"/>
          <w:szCs w:val="22"/>
          <w:lang w:val="es-ES" w:eastAsia="es-ES"/>
        </w:rPr>
      </w:pPr>
      <w:r>
        <w:rPr>
          <w:rFonts w:ascii="Tahoma" w:hAnsi="Tahoma" w:cs="Tahoma"/>
          <w:spacing w:val="8"/>
          <w:sz w:val="22"/>
          <w:szCs w:val="22"/>
          <w:lang w:val="es-ES" w:eastAsia="es-ES"/>
        </w:rPr>
        <w:t xml:space="preserve">Se anula el </w:t>
      </w:r>
      <w:r>
        <w:rPr>
          <w:rFonts w:ascii="Tahoma" w:hAnsi="Tahoma" w:cs="Tahoma"/>
          <w:b/>
          <w:bCs/>
          <w:spacing w:val="8"/>
          <w:sz w:val="22"/>
          <w:szCs w:val="22"/>
          <w:lang w:val="es-ES" w:eastAsia="es-ES"/>
        </w:rPr>
        <w:t xml:space="preserve">acuerdo 7.5.1 de la Sesión Ordinaria 13-2018 de 12 de abril de 2018, </w:t>
      </w:r>
      <w:r>
        <w:rPr>
          <w:rFonts w:ascii="Tahoma" w:hAnsi="Tahoma" w:cs="Tahoma"/>
          <w:spacing w:val="8"/>
          <w:sz w:val="22"/>
          <w:szCs w:val="22"/>
          <w:lang w:val="es-ES" w:eastAsia="es-ES"/>
        </w:rPr>
        <w:t xml:space="preserve">y proceda el Consejo a conocer en primera instancia el </w:t>
      </w:r>
      <w:r>
        <w:rPr>
          <w:rFonts w:ascii="Tahoma" w:hAnsi="Tahoma" w:cs="Tahoma"/>
          <w:b/>
          <w:bCs/>
          <w:spacing w:val="8"/>
          <w:sz w:val="22"/>
          <w:szCs w:val="22"/>
          <w:lang w:val="es-ES" w:eastAsia="es-ES"/>
        </w:rPr>
        <w:t xml:space="preserve">Recurso de Revocatoria y Nulidad concomitante </w:t>
      </w:r>
      <w:r>
        <w:rPr>
          <w:rFonts w:ascii="Tahoma" w:hAnsi="Tahoma" w:cs="Tahoma"/>
          <w:spacing w:val="8"/>
          <w:sz w:val="22"/>
          <w:szCs w:val="22"/>
          <w:lang w:val="es-ES" w:eastAsia="es-ES"/>
        </w:rPr>
        <w:t xml:space="preserve">interpuesto por la </w:t>
      </w:r>
      <w:r>
        <w:rPr>
          <w:rFonts w:ascii="Tahoma" w:hAnsi="Tahoma" w:cs="Tahoma"/>
          <w:b/>
          <w:bCs/>
          <w:spacing w:val="8"/>
          <w:sz w:val="22"/>
          <w:szCs w:val="22"/>
          <w:lang w:val="es-ES" w:eastAsia="es-ES"/>
        </w:rPr>
        <w:t xml:space="preserve">empresa T.M.Y.N.S. CÉDULA JURÍDICA NÚMERO …, </w:t>
      </w:r>
      <w:r>
        <w:rPr>
          <w:rFonts w:ascii="Tahoma" w:hAnsi="Tahoma" w:cs="Tahoma"/>
          <w:spacing w:val="8"/>
          <w:sz w:val="22"/>
          <w:szCs w:val="22"/>
          <w:lang w:val="es-ES" w:eastAsia="es-ES"/>
        </w:rPr>
        <w:t xml:space="preserve">por medio de su Apoderada Generalísima sin límite de suma señora </w:t>
      </w:r>
      <w:r>
        <w:rPr>
          <w:rFonts w:ascii="Verdana" w:hAnsi="Verdana" w:cs="Verdana"/>
          <w:b/>
          <w:bCs/>
          <w:spacing w:val="8"/>
          <w:sz w:val="17"/>
          <w:szCs w:val="17"/>
          <w:lang w:val="es-ES" w:eastAsia="es-ES"/>
        </w:rPr>
        <w:t xml:space="preserve">L.M.M.N., </w:t>
      </w:r>
      <w:r>
        <w:rPr>
          <w:rFonts w:ascii="Tahoma" w:hAnsi="Tahoma" w:cs="Tahoma"/>
          <w:b/>
          <w:bCs/>
          <w:spacing w:val="8"/>
          <w:sz w:val="22"/>
          <w:szCs w:val="22"/>
          <w:lang w:val="es-ES" w:eastAsia="es-ES"/>
        </w:rPr>
        <w:t>cédula de identidad número …</w:t>
      </w:r>
      <w:r>
        <w:rPr>
          <w:rFonts w:ascii="Verdana" w:hAnsi="Verdana" w:cs="Verdana"/>
          <w:b/>
          <w:bCs/>
          <w:spacing w:val="8"/>
          <w:sz w:val="17"/>
          <w:szCs w:val="17"/>
          <w:lang w:val="es-ES" w:eastAsia="es-ES"/>
        </w:rPr>
        <w:t xml:space="preserve">, </w:t>
      </w:r>
      <w:r w:rsidRPr="00B603B4">
        <w:rPr>
          <w:rFonts w:ascii="Tahoma" w:hAnsi="Tahoma" w:cs="Tahoma"/>
          <w:spacing w:val="8"/>
          <w:sz w:val="22"/>
          <w:szCs w:val="22"/>
          <w:lang w:val="es-ES" w:eastAsia="es-ES"/>
        </w:rPr>
        <w:t>contra</w:t>
      </w:r>
      <w:r>
        <w:rPr>
          <w:rFonts w:ascii="Verdana" w:hAnsi="Verdana" w:cs="Verdana"/>
          <w:b/>
          <w:bCs/>
          <w:spacing w:val="8"/>
          <w:sz w:val="17"/>
          <w:szCs w:val="17"/>
          <w:lang w:val="es-ES" w:eastAsia="es-ES"/>
        </w:rPr>
        <w:t xml:space="preserve"> </w:t>
      </w:r>
      <w:r>
        <w:rPr>
          <w:rFonts w:ascii="Tahoma" w:hAnsi="Tahoma" w:cs="Tahoma"/>
          <w:spacing w:val="8"/>
          <w:sz w:val="22"/>
          <w:szCs w:val="22"/>
          <w:lang w:val="es-ES" w:eastAsia="es-ES"/>
        </w:rPr>
        <w:t xml:space="preserve">el </w:t>
      </w:r>
      <w:r>
        <w:rPr>
          <w:rFonts w:ascii="Tahoma" w:hAnsi="Tahoma" w:cs="Tahoma"/>
          <w:b/>
          <w:bCs/>
          <w:spacing w:val="8"/>
          <w:sz w:val="22"/>
          <w:szCs w:val="22"/>
          <w:lang w:val="es-ES" w:eastAsia="es-ES"/>
        </w:rPr>
        <w:t xml:space="preserve">artículo 7.23 de la Sesión Ordinaria 45-2017 de 22 de noviembre de 2017, </w:t>
      </w:r>
      <w:r>
        <w:rPr>
          <w:rFonts w:ascii="Tahoma" w:hAnsi="Tahoma" w:cs="Tahoma"/>
          <w:spacing w:val="8"/>
          <w:sz w:val="22"/>
          <w:szCs w:val="22"/>
          <w:lang w:val="es-ES" w:eastAsia="es-ES"/>
        </w:rPr>
        <w:t>dictado por la Junta Directiva del Consejo de Transporte Público.</w:t>
      </w:r>
    </w:p>
    <w:p w:rsidR="00774930" w:rsidRPr="00B603B4" w:rsidRDefault="00B603B4" w:rsidP="00B603B4">
      <w:pPr>
        <w:numPr>
          <w:ilvl w:val="0"/>
          <w:numId w:val="3"/>
        </w:numPr>
        <w:kinsoku w:val="0"/>
        <w:overflowPunct w:val="0"/>
        <w:autoSpaceDE/>
        <w:autoSpaceDN/>
        <w:adjustRightInd/>
        <w:spacing w:before="5" w:after="360" w:line="255" w:lineRule="exact"/>
        <w:jc w:val="both"/>
        <w:textAlignment w:val="baseline"/>
        <w:rPr>
          <w:rFonts w:ascii="Tahoma" w:hAnsi="Tahoma" w:cs="Tahoma"/>
          <w:sz w:val="22"/>
          <w:szCs w:val="22"/>
          <w:lang w:val="es-ES" w:eastAsia="es-ES"/>
        </w:rPr>
      </w:pPr>
      <w:r>
        <w:rPr>
          <w:rFonts w:ascii="Tahoma" w:hAnsi="Tahoma" w:cs="Tahoma"/>
          <w:b/>
          <w:bCs/>
          <w:spacing w:val="8"/>
          <w:sz w:val="22"/>
          <w:szCs w:val="22"/>
          <w:lang w:val="es-ES" w:eastAsia="es-ES"/>
        </w:rPr>
        <w:t xml:space="preserve">NOTIFIQUESE. – </w:t>
      </w:r>
    </w:p>
    <w:p w:rsidR="00B603B4" w:rsidRDefault="00B603B4" w:rsidP="00B603B4">
      <w:pPr>
        <w:pStyle w:val="Ttulo1"/>
        <w:spacing w:before="100" w:beforeAutospacing="1" w:after="100" w:afterAutospacing="1"/>
        <w:jc w:val="center"/>
        <w:rPr>
          <w:rFonts w:ascii="Times New Roman" w:hAnsi="Times New Roman"/>
          <w:b w:val="0"/>
          <w:color w:val="000000"/>
        </w:rPr>
      </w:pPr>
      <w:r>
        <w:rPr>
          <w:rFonts w:ascii="Times New Roman" w:hAnsi="Times New Roman"/>
          <w:b w:val="0"/>
          <w:color w:val="000000"/>
        </w:rPr>
        <w:t>Lic. Carlos Miguel Portuguez Méndez</w:t>
      </w:r>
    </w:p>
    <w:p w:rsidR="00B603B4" w:rsidRDefault="00B603B4" w:rsidP="00B603B4">
      <w:pPr>
        <w:spacing w:before="100" w:beforeAutospacing="1" w:after="100" w:afterAutospacing="1"/>
        <w:jc w:val="center"/>
        <w:rPr>
          <w:b/>
          <w:color w:val="000000"/>
        </w:rPr>
      </w:pPr>
      <w:r>
        <w:rPr>
          <w:b/>
          <w:color w:val="000000"/>
        </w:rPr>
        <w:t>PRESIDENTE</w:t>
      </w:r>
    </w:p>
    <w:p w:rsidR="00B603B4" w:rsidRDefault="00B603B4" w:rsidP="00B603B4">
      <w:pPr>
        <w:spacing w:before="100" w:beforeAutospacing="1" w:after="100" w:afterAutospacing="1"/>
        <w:jc w:val="center"/>
        <w:rPr>
          <w:color w:val="000000"/>
          <w:sz w:val="24"/>
          <w:szCs w:val="24"/>
        </w:rPr>
      </w:pPr>
    </w:p>
    <w:p w:rsidR="00B603B4" w:rsidRDefault="00B603B4" w:rsidP="00B603B4">
      <w:pPr>
        <w:pStyle w:val="Ttulo1"/>
        <w:jc w:val="center"/>
        <w:rPr>
          <w:rFonts w:ascii="Times New Roman" w:hAnsi="Times New Roman"/>
          <w:b w:val="0"/>
          <w:color w:val="000000"/>
        </w:rPr>
      </w:pPr>
      <w:r>
        <w:rPr>
          <w:rFonts w:ascii="Times New Roman" w:hAnsi="Times New Roman"/>
          <w:b w:val="0"/>
          <w:color w:val="000000"/>
        </w:rPr>
        <w:t>Lic.  Mario Quesada Aguirre</w:t>
      </w:r>
      <w:r>
        <w:rPr>
          <w:rFonts w:ascii="Times New Roman" w:hAnsi="Times New Roman"/>
          <w:b w:val="0"/>
          <w:color w:val="000000"/>
        </w:rPr>
        <w:tab/>
      </w:r>
      <w:r>
        <w:rPr>
          <w:rFonts w:ascii="Times New Roman" w:hAnsi="Times New Roman"/>
          <w:b w:val="0"/>
          <w:color w:val="000000"/>
        </w:rPr>
        <w:tab/>
        <w:t xml:space="preserve">              Lic. Ronald Muñoz Corea</w:t>
      </w:r>
    </w:p>
    <w:p w:rsidR="00B603B4" w:rsidRDefault="00B603B4" w:rsidP="00B603B4">
      <w:pPr>
        <w:kinsoku w:val="0"/>
        <w:overflowPunct w:val="0"/>
        <w:autoSpaceDE/>
        <w:adjustRightInd/>
        <w:spacing w:line="316" w:lineRule="exact"/>
        <w:ind w:left="288" w:right="72"/>
        <w:jc w:val="center"/>
        <w:textAlignment w:val="baseline"/>
        <w:rPr>
          <w:b/>
          <w:bCs/>
          <w:sz w:val="25"/>
          <w:szCs w:val="25"/>
          <w:lang w:val="es-ES" w:eastAsia="es-ES"/>
        </w:rPr>
      </w:pPr>
      <w:r>
        <w:rPr>
          <w:b/>
          <w:color w:val="000000"/>
        </w:rPr>
        <w:t xml:space="preserve">JUEZ </w:t>
      </w:r>
      <w:r>
        <w:rPr>
          <w:b/>
          <w:color w:val="000000"/>
        </w:rPr>
        <w:tab/>
      </w:r>
      <w:r>
        <w:rPr>
          <w:b/>
          <w:color w:val="000000"/>
        </w:rPr>
        <w:tab/>
      </w:r>
      <w:r>
        <w:rPr>
          <w:b/>
          <w:color w:val="000000"/>
        </w:rPr>
        <w:tab/>
      </w:r>
      <w:r>
        <w:rPr>
          <w:b/>
          <w:color w:val="000000"/>
        </w:rPr>
        <w:tab/>
      </w:r>
      <w:r>
        <w:rPr>
          <w:b/>
          <w:color w:val="000000"/>
        </w:rPr>
        <w:tab/>
        <w:t xml:space="preserve">       </w:t>
      </w:r>
      <w:proofErr w:type="spellStart"/>
      <w:r>
        <w:rPr>
          <w:b/>
          <w:color w:val="000000"/>
        </w:rPr>
        <w:t>JUEZ</w:t>
      </w:r>
      <w:proofErr w:type="spellEnd"/>
    </w:p>
    <w:p w:rsidR="00B603B4" w:rsidRDefault="00B603B4" w:rsidP="00B603B4">
      <w:pPr>
        <w:kinsoku w:val="0"/>
        <w:overflowPunct w:val="0"/>
        <w:autoSpaceDE/>
        <w:autoSpaceDN/>
        <w:adjustRightInd/>
        <w:spacing w:before="5" w:after="360" w:line="255" w:lineRule="exact"/>
        <w:ind w:left="288"/>
        <w:jc w:val="both"/>
        <w:textAlignment w:val="baseline"/>
        <w:rPr>
          <w:rFonts w:ascii="Tahoma" w:hAnsi="Tahoma" w:cs="Tahoma"/>
          <w:sz w:val="22"/>
          <w:szCs w:val="22"/>
          <w:lang w:val="es-ES" w:eastAsia="es-ES"/>
        </w:rPr>
      </w:pPr>
    </w:p>
    <w:sectPr w:rsidR="00B603B4">
      <w:pgSz w:w="12317" w:h="15773"/>
      <w:pgMar w:top="2440" w:right="1947" w:bottom="106" w:left="146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5F750"/>
    <w:multiLevelType w:val="singleLevel"/>
    <w:tmpl w:val="98E03160"/>
    <w:lvl w:ilvl="0">
      <w:start w:val="1"/>
      <w:numFmt w:val="upperRoman"/>
      <w:lvlText w:val="%1.-"/>
      <w:lvlJc w:val="left"/>
      <w:pPr>
        <w:tabs>
          <w:tab w:val="num" w:pos="792"/>
        </w:tabs>
        <w:ind w:left="288"/>
      </w:pPr>
      <w:rPr>
        <w:rFonts w:ascii="Tahoma" w:hAnsi="Tahoma" w:cs="Tahoma"/>
        <w:b/>
        <w:snapToGrid/>
        <w:spacing w:val="8"/>
        <w:sz w:val="22"/>
        <w:szCs w:val="22"/>
      </w:rPr>
    </w:lvl>
  </w:abstractNum>
  <w:abstractNum w:abstractNumId="1" w15:restartNumberingAfterBreak="0">
    <w:nsid w:val="0699EFF9"/>
    <w:multiLevelType w:val="singleLevel"/>
    <w:tmpl w:val="147A0A4E"/>
    <w:lvl w:ilvl="0">
      <w:start w:val="1"/>
      <w:numFmt w:val="decimal"/>
      <w:lvlText w:val="%1."/>
      <w:lvlJc w:val="left"/>
      <w:pPr>
        <w:tabs>
          <w:tab w:val="num" w:pos="720"/>
        </w:tabs>
        <w:ind w:left="432"/>
      </w:pPr>
      <w:rPr>
        <w:rFonts w:ascii="Verdana" w:hAnsi="Verdana" w:cs="Verdana"/>
        <w:b/>
        <w:i/>
        <w:iCs/>
        <w:snapToGrid/>
        <w:sz w:val="18"/>
        <w:szCs w:val="18"/>
      </w:rPr>
    </w:lvl>
  </w:abstractNum>
  <w:num w:numId="1">
    <w:abstractNumId w:val="1"/>
  </w:num>
  <w:num w:numId="2">
    <w:abstractNumId w:val="0"/>
  </w:num>
  <w:num w:numId="3">
    <w:abstractNumId w:val="0"/>
    <w:lvlOverride w:ilvl="0">
      <w:lvl w:ilvl="0">
        <w:numFmt w:val="upperRoman"/>
        <w:lvlText w:val="%1.-"/>
        <w:lvlJc w:val="left"/>
        <w:pPr>
          <w:tabs>
            <w:tab w:val="num" w:pos="864"/>
          </w:tabs>
          <w:ind w:left="288"/>
        </w:pPr>
        <w:rPr>
          <w:rFonts w:ascii="Tahoma" w:hAnsi="Tahoma" w:cs="Tahoma"/>
          <w:b/>
          <w:bCs/>
          <w:snapToGrid/>
          <w:spacing w:val="8"/>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3B4"/>
    <w:rsid w:val="00774930"/>
    <w:rsid w:val="00B26147"/>
    <w:rsid w:val="00B603B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218FE85-F8A3-4BA9-BEE9-0267E1ADF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B603B4"/>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03B4"/>
    <w:rPr>
      <w:rFonts w:ascii="Arial"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5652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Gerardo Vargas Arguello</cp:lastModifiedBy>
  <cp:revision>2</cp:revision>
  <dcterms:created xsi:type="dcterms:W3CDTF">2019-04-25T17:09:00Z</dcterms:created>
  <dcterms:modified xsi:type="dcterms:W3CDTF">2019-04-25T17:09:00Z</dcterms:modified>
</cp:coreProperties>
</file>