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D38" w:rsidRDefault="00DB2F43">
      <w:pPr>
        <w:kinsoku w:val="0"/>
        <w:overflowPunct w:val="0"/>
        <w:autoSpaceDE/>
        <w:autoSpaceDN/>
        <w:adjustRightInd/>
        <w:spacing w:line="264"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 xml:space="preserve">RESOLUCION No. </w:t>
      </w:r>
      <w:bookmarkStart w:id="0" w:name="_GoBack"/>
      <w:r>
        <w:rPr>
          <w:rFonts w:ascii="Verdana" w:hAnsi="Verdana" w:cs="Verdana"/>
          <w:b/>
          <w:bCs/>
          <w:spacing w:val="3"/>
          <w:sz w:val="22"/>
          <w:szCs w:val="22"/>
          <w:lang w:val="es-ES" w:eastAsia="es-ES"/>
        </w:rPr>
        <w:t>TAT-3413-2018</w:t>
      </w:r>
      <w:bookmarkEnd w:id="0"/>
    </w:p>
    <w:p w:rsidR="00714D38" w:rsidRDefault="00DB2F43">
      <w:pPr>
        <w:kinsoku w:val="0"/>
        <w:overflowPunct w:val="0"/>
        <w:autoSpaceDE/>
        <w:autoSpaceDN/>
        <w:adjustRightInd/>
        <w:spacing w:before="555" w:line="274" w:lineRule="exact"/>
        <w:ind w:right="576"/>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TRIBUNAL ADMINISTRATIVO DE TRANSPORTE. </w:t>
      </w:r>
      <w:r>
        <w:rPr>
          <w:rFonts w:ascii="Verdana" w:hAnsi="Verdana" w:cs="Verdana"/>
          <w:spacing w:val="1"/>
          <w:sz w:val="22"/>
          <w:szCs w:val="22"/>
          <w:lang w:val="es-ES" w:eastAsia="es-ES"/>
        </w:rPr>
        <w:t>San José, a las diez horas veinte minutos del treinta y uno de mayo de dos mil dieciocho.</w:t>
      </w:r>
    </w:p>
    <w:p w:rsidR="00714D38" w:rsidRDefault="00DB2F43">
      <w:pPr>
        <w:kinsoku w:val="0"/>
        <w:overflowPunct w:val="0"/>
        <w:autoSpaceDE/>
        <w:autoSpaceDN/>
        <w:adjustRightInd/>
        <w:spacing w:before="275" w:line="274" w:lineRule="exact"/>
        <w:ind w:right="576"/>
        <w:jc w:val="both"/>
        <w:textAlignment w:val="baseline"/>
        <w:rPr>
          <w:rFonts w:ascii="Verdana" w:hAnsi="Verdana" w:cs="Verdana"/>
          <w:b/>
          <w:bCs/>
          <w:spacing w:val="-13"/>
          <w:sz w:val="22"/>
          <w:szCs w:val="22"/>
          <w:lang w:val="es-ES" w:eastAsia="es-ES"/>
        </w:rPr>
      </w:pPr>
      <w:r>
        <w:rPr>
          <w:rFonts w:ascii="Verdana" w:hAnsi="Verdana" w:cs="Verdana"/>
          <w:b/>
          <w:bCs/>
          <w:spacing w:val="-13"/>
          <w:sz w:val="22"/>
          <w:szCs w:val="22"/>
          <w:lang w:val="es-ES" w:eastAsia="es-ES"/>
        </w:rPr>
        <w:t xml:space="preserve">Recurso de Apelación en subsidio, </w:t>
      </w:r>
      <w:r>
        <w:rPr>
          <w:rFonts w:ascii="Verdana" w:hAnsi="Verdana" w:cs="Verdana"/>
          <w:spacing w:val="-13"/>
          <w:sz w:val="22"/>
          <w:szCs w:val="22"/>
          <w:lang w:val="es-ES" w:eastAsia="es-ES"/>
        </w:rPr>
        <w:t xml:space="preserve">interpuesto por </w:t>
      </w:r>
      <w:r>
        <w:rPr>
          <w:rFonts w:ascii="Verdana" w:hAnsi="Verdana" w:cs="Verdana"/>
          <w:b/>
          <w:bCs/>
          <w:spacing w:val="-13"/>
          <w:sz w:val="22"/>
          <w:szCs w:val="22"/>
          <w:lang w:val="es-ES" w:eastAsia="es-ES"/>
        </w:rPr>
        <w:t xml:space="preserve">A.G.Z.G., CEDULA DE IDENTIDAD NÚMERO …, contra el artículo 7.13.2 de la Sesión Ordinaria 16-2018 de 2 de mayo de 2018, </w:t>
      </w:r>
      <w:r>
        <w:rPr>
          <w:rFonts w:ascii="Verdana" w:hAnsi="Verdana" w:cs="Verdana"/>
          <w:spacing w:val="-13"/>
          <w:sz w:val="22"/>
          <w:szCs w:val="22"/>
          <w:lang w:val="es-ES" w:eastAsia="es-ES"/>
        </w:rPr>
        <w:t xml:space="preserve">dictado por la JUNTA DIRECTIVA DEL CONSEJO DE TRANSPORTE PÚBLICO. </w:t>
      </w:r>
      <w:r>
        <w:rPr>
          <w:rFonts w:ascii="Verdana" w:hAnsi="Verdana" w:cs="Verdana"/>
          <w:b/>
          <w:bCs/>
          <w:spacing w:val="-13"/>
          <w:sz w:val="22"/>
          <w:szCs w:val="22"/>
          <w:lang w:val="es-ES" w:eastAsia="es-ES"/>
        </w:rPr>
        <w:t xml:space="preserve">El caso se tramita en </w:t>
      </w:r>
      <w:r>
        <w:rPr>
          <w:rFonts w:ascii="Verdana" w:hAnsi="Verdana" w:cs="Verdana"/>
          <w:spacing w:val="-13"/>
          <w:sz w:val="22"/>
          <w:szCs w:val="22"/>
          <w:lang w:val="es-ES" w:eastAsia="es-ES"/>
        </w:rPr>
        <w:t xml:space="preserve">Expediente </w:t>
      </w:r>
      <w:r>
        <w:rPr>
          <w:rFonts w:ascii="Verdana" w:hAnsi="Verdana" w:cs="Verdana"/>
          <w:b/>
          <w:bCs/>
          <w:spacing w:val="-13"/>
          <w:sz w:val="22"/>
          <w:szCs w:val="22"/>
          <w:lang w:val="es-ES" w:eastAsia="es-ES"/>
        </w:rPr>
        <w:t>Administrativo N. TAT-042-18.</w:t>
      </w:r>
    </w:p>
    <w:p w:rsidR="00714D38" w:rsidRDefault="00DB2F43">
      <w:pPr>
        <w:kinsoku w:val="0"/>
        <w:overflowPunct w:val="0"/>
        <w:autoSpaceDE/>
        <w:autoSpaceDN/>
        <w:adjustRightInd/>
        <w:spacing w:before="545" w:line="267"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714D38" w:rsidRDefault="00DB2F43">
      <w:pPr>
        <w:kinsoku w:val="0"/>
        <w:overflowPunct w:val="0"/>
        <w:autoSpaceDE/>
        <w:autoSpaceDN/>
        <w:adjustRightInd/>
        <w:spacing w:before="552" w:line="27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El Señor </w:t>
      </w:r>
      <w:r>
        <w:rPr>
          <w:rFonts w:ascii="Verdana" w:hAnsi="Verdana" w:cs="Verdana"/>
          <w:b/>
          <w:bCs/>
          <w:sz w:val="22"/>
          <w:szCs w:val="22"/>
          <w:lang w:val="es-ES" w:eastAsia="es-ES"/>
        </w:rPr>
        <w:t xml:space="preserve">A.G.Z.G., </w:t>
      </w:r>
      <w:r>
        <w:rPr>
          <w:rFonts w:ascii="Verdana" w:hAnsi="Verdana" w:cs="Verdana"/>
          <w:sz w:val="22"/>
          <w:szCs w:val="22"/>
          <w:lang w:val="es-ES" w:eastAsia="es-ES"/>
        </w:rPr>
        <w:t xml:space="preserve">presenta el 16 de mayo de 2018, ante este Tribunal Administrativo de Transporte </w:t>
      </w:r>
      <w:r>
        <w:rPr>
          <w:rFonts w:ascii="Verdana" w:hAnsi="Verdana" w:cs="Verdana"/>
          <w:b/>
          <w:bCs/>
          <w:sz w:val="22"/>
          <w:szCs w:val="22"/>
          <w:lang w:val="es-ES" w:eastAsia="es-ES"/>
        </w:rPr>
        <w:t xml:space="preserve">Recurso de Revocatoria con Apelación en subsidio contra el artículo 7.13.2 de la Sesión Ordinaria 16-2018 de 2 de mayo de 2018, </w:t>
      </w:r>
      <w:r>
        <w:rPr>
          <w:rFonts w:ascii="Verdana" w:hAnsi="Verdana" w:cs="Verdana"/>
          <w:sz w:val="22"/>
          <w:szCs w:val="22"/>
          <w:lang w:val="es-ES" w:eastAsia="es-ES"/>
        </w:rPr>
        <w:t xml:space="preserve">dictado por la Junta Directiva del Consejo de Transporte Público. Dicho recurso </w:t>
      </w:r>
      <w:proofErr w:type="spellStart"/>
      <w:r>
        <w:rPr>
          <w:rFonts w:ascii="Verdana" w:hAnsi="Verdana" w:cs="Verdana"/>
          <w:sz w:val="22"/>
          <w:szCs w:val="22"/>
          <w:lang w:val="es-ES" w:eastAsia="es-ES"/>
        </w:rPr>
        <w:t>esta</w:t>
      </w:r>
      <w:proofErr w:type="spellEnd"/>
      <w:r>
        <w:rPr>
          <w:rFonts w:ascii="Verdana" w:hAnsi="Verdana" w:cs="Verdana"/>
          <w:sz w:val="22"/>
          <w:szCs w:val="22"/>
          <w:lang w:val="es-ES" w:eastAsia="es-ES"/>
        </w:rPr>
        <w:t xml:space="preserve"> dirigido al Consejo de Transporte Público y subsidiariamente al Tribunal Administrativo de Transporte (Léanse folios del 1 al 7 del Expediente Administrativo)</w:t>
      </w:r>
    </w:p>
    <w:p w:rsidR="00714D38" w:rsidRDefault="00DB2F43">
      <w:pPr>
        <w:kinsoku w:val="0"/>
        <w:overflowPunct w:val="0"/>
        <w:autoSpaceDE/>
        <w:autoSpaceDN/>
        <w:adjustRightInd/>
        <w:spacing w:before="380" w:line="26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En los procedimientos seguidos se han observado las prescripciones legales.</w:t>
      </w:r>
    </w:p>
    <w:p w:rsidR="00714D38" w:rsidRDefault="00DB2F43">
      <w:pPr>
        <w:kinsoku w:val="0"/>
        <w:overflowPunct w:val="0"/>
        <w:autoSpaceDE/>
        <w:autoSpaceDN/>
        <w:adjustRightInd/>
        <w:spacing w:before="263" w:line="274" w:lineRule="exact"/>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Redacta el Juez Muñoz Corea.</w:t>
      </w:r>
    </w:p>
    <w:p w:rsidR="00714D38" w:rsidRDefault="00DB2F43">
      <w:pPr>
        <w:kinsoku w:val="0"/>
        <w:overflowPunct w:val="0"/>
        <w:autoSpaceDE/>
        <w:autoSpaceDN/>
        <w:adjustRightInd/>
        <w:spacing w:before="813" w:line="267" w:lineRule="exact"/>
        <w:jc w:val="center"/>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CONSIDERANDO UNICO</w:t>
      </w:r>
    </w:p>
    <w:p w:rsidR="00714D38" w:rsidRDefault="00DB2F43">
      <w:pPr>
        <w:kinsoku w:val="0"/>
        <w:overflowPunct w:val="0"/>
        <w:autoSpaceDE/>
        <w:autoSpaceDN/>
        <w:adjustRightInd/>
        <w:spacing w:before="266" w:after="524" w:line="274" w:lineRule="exact"/>
        <w:ind w:right="576"/>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Debe procederse al archivo del presente asunto, ya que el recurrente accionó ante el Consejo de Transporte Público mediante Recurso de Revocatoria, y con Apelación en subsidio ante el Tribunal Administrativo de Transporte, por lo que éste se ve inhibido para conocer del asunto, pues no ha sido resuelto el recurso de primera instancia.</w:t>
      </w:r>
    </w:p>
    <w:p w:rsidR="00714D38" w:rsidRDefault="00714D38">
      <w:pPr>
        <w:widowControl/>
        <w:rPr>
          <w:sz w:val="24"/>
          <w:szCs w:val="24"/>
        </w:rPr>
        <w:sectPr w:rsidR="00714D38">
          <w:pgSz w:w="12322" w:h="15725"/>
          <w:pgMar w:top="1417" w:right="1460" w:bottom="182" w:left="2222" w:header="720" w:footer="720" w:gutter="0"/>
          <w:cols w:space="720"/>
          <w:noEndnote/>
        </w:sectPr>
      </w:pPr>
    </w:p>
    <w:p w:rsidR="00714D38" w:rsidRDefault="00714D38">
      <w:pPr>
        <w:widowControl/>
        <w:rPr>
          <w:sz w:val="24"/>
          <w:szCs w:val="24"/>
        </w:rPr>
        <w:sectPr w:rsidR="00714D38">
          <w:type w:val="continuous"/>
          <w:pgSz w:w="12322" w:h="15725"/>
          <w:pgMar w:top="1417" w:right="1848" w:bottom="182" w:left="7594" w:header="720" w:footer="720" w:gutter="0"/>
          <w:cols w:space="720"/>
          <w:noEndnote/>
        </w:sectPr>
      </w:pPr>
    </w:p>
    <w:p w:rsidR="00714D38" w:rsidRDefault="00DB2F43">
      <w:pPr>
        <w:kinsoku w:val="0"/>
        <w:overflowPunct w:val="0"/>
        <w:autoSpaceDE/>
        <w:autoSpaceDN/>
        <w:adjustRightInd/>
        <w:spacing w:before="9" w:line="27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De conformidad con el numeral 22 de La Ley de Transporte Remunerado de Personas en Vehículos en la Modalidad de Taxi, N. 7969 del 22 de diciembre de 1999, el Tribunal es competente:</w:t>
      </w:r>
    </w:p>
    <w:p w:rsidR="00714D38" w:rsidRDefault="00DB2F43">
      <w:pPr>
        <w:kinsoku w:val="0"/>
        <w:overflowPunct w:val="0"/>
        <w:autoSpaceDE/>
        <w:autoSpaceDN/>
        <w:adjustRightInd/>
        <w:spacing w:before="250" w:line="225" w:lineRule="exact"/>
        <w:ind w:left="432"/>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"ARTÍCULO 22.- Competencia del Tribunal</w:t>
      </w:r>
    </w:p>
    <w:p w:rsidR="00714D38" w:rsidRDefault="00DB2F43">
      <w:pPr>
        <w:kinsoku w:val="0"/>
        <w:overflowPunct w:val="0"/>
        <w:autoSpaceDE/>
        <w:autoSpaceDN/>
        <w:adjustRightInd/>
        <w:spacing w:before="10" w:line="225" w:lineRule="exact"/>
        <w:ind w:left="432"/>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El Tribunal será competente para lo siguiente:</w:t>
      </w:r>
    </w:p>
    <w:p w:rsidR="00714D38" w:rsidRDefault="00DB2F43">
      <w:pPr>
        <w:numPr>
          <w:ilvl w:val="0"/>
          <w:numId w:val="1"/>
        </w:numPr>
        <w:kinsoku w:val="0"/>
        <w:overflowPunct w:val="0"/>
        <w:autoSpaceDE/>
        <w:autoSpaceDN/>
        <w:adjustRightInd/>
        <w:spacing w:before="236" w:line="222" w:lineRule="exact"/>
        <w:ind w:right="432"/>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Conocer y resolver, en sede administrativa, los recursos de apelación que se interpongan contra cualquier acto o resolución del Consejo.</w:t>
      </w:r>
    </w:p>
    <w:p w:rsidR="00714D38" w:rsidRDefault="00DB2F43">
      <w:pPr>
        <w:numPr>
          <w:ilvl w:val="0"/>
          <w:numId w:val="2"/>
        </w:numPr>
        <w:kinsoku w:val="0"/>
        <w:overflowPunct w:val="0"/>
        <w:autoSpaceDE/>
        <w:autoSpaceDN/>
        <w:adjustRightInd/>
        <w:spacing w:before="12" w:line="225"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Establecer, en vía administrativa, las indemnizaciones que puedan originarse en relación con los daños producidos por violaciones de la legislación del transporte público.</w:t>
      </w:r>
    </w:p>
    <w:p w:rsidR="00714D38" w:rsidRDefault="00DB2F43">
      <w:pPr>
        <w:numPr>
          <w:ilvl w:val="0"/>
          <w:numId w:val="2"/>
        </w:numPr>
        <w:kinsoku w:val="0"/>
        <w:overflowPunct w:val="0"/>
        <w:autoSpaceDE/>
        <w:autoSpaceDN/>
        <w:adjustRightInd/>
        <w:spacing w:before="6" w:line="225"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Las resoluciones del </w:t>
      </w:r>
      <w:r>
        <w:rPr>
          <w:rFonts w:ascii="Verdana" w:hAnsi="Verdana" w:cs="Verdana"/>
          <w:b/>
          <w:bCs/>
          <w:i/>
          <w:iCs/>
          <w:sz w:val="19"/>
          <w:szCs w:val="19"/>
          <w:lang w:val="es-ES" w:eastAsia="es-ES"/>
        </w:rPr>
        <w:t xml:space="preserve">Tribunal </w:t>
      </w:r>
      <w:r>
        <w:rPr>
          <w:rFonts w:ascii="Verdana" w:hAnsi="Verdana" w:cs="Verdana"/>
          <w:i/>
          <w:iCs/>
          <w:sz w:val="19"/>
          <w:szCs w:val="19"/>
          <w:lang w:val="es-ES" w:eastAsia="es-ES"/>
        </w:rPr>
        <w:t xml:space="preserve">no tendrán más recursos y darán por agotada la vía administrativa." </w:t>
      </w:r>
      <w:proofErr w:type="gramStart"/>
      <w:r>
        <w:rPr>
          <w:rFonts w:ascii="Verdana" w:hAnsi="Verdana" w:cs="Verdana"/>
          <w:i/>
          <w:iCs/>
          <w:sz w:val="19"/>
          <w:szCs w:val="19"/>
          <w:lang w:val="es-ES" w:eastAsia="es-ES"/>
        </w:rPr>
        <w:t>( el</w:t>
      </w:r>
      <w:proofErr w:type="gramEnd"/>
      <w:r>
        <w:rPr>
          <w:rFonts w:ascii="Verdana" w:hAnsi="Verdana" w:cs="Verdana"/>
          <w:i/>
          <w:iCs/>
          <w:sz w:val="19"/>
          <w:szCs w:val="19"/>
          <w:lang w:val="es-ES" w:eastAsia="es-ES"/>
        </w:rPr>
        <w:t xml:space="preserve"> resaltado es nuestro)</w:t>
      </w:r>
    </w:p>
    <w:p w:rsidR="00714D38" w:rsidRDefault="00DB2F43">
      <w:pPr>
        <w:kinsoku w:val="0"/>
        <w:overflowPunct w:val="0"/>
        <w:autoSpaceDE/>
        <w:autoSpaceDN/>
        <w:adjustRightInd/>
        <w:spacing w:before="534" w:line="27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Como se puede verificar de lo dicho, el órgano de alzada tiene la competencia para conocer de los recursos de apelación que se le presenten contra los actos del Consejo de Transporte Público, sin embargo, al revisar el recurso se puedo verificar que el señor </w:t>
      </w:r>
      <w:r>
        <w:rPr>
          <w:rFonts w:ascii="Verdana" w:hAnsi="Verdana" w:cs="Verdana"/>
          <w:b/>
          <w:bCs/>
          <w:sz w:val="19"/>
          <w:szCs w:val="19"/>
          <w:lang w:val="es-ES" w:eastAsia="es-ES"/>
        </w:rPr>
        <w:t xml:space="preserve">A.G.Z.G. </w:t>
      </w:r>
      <w:r>
        <w:rPr>
          <w:rFonts w:ascii="Verdana" w:hAnsi="Verdana" w:cs="Verdana"/>
          <w:sz w:val="23"/>
          <w:szCs w:val="23"/>
          <w:lang w:val="es-ES" w:eastAsia="es-ES"/>
        </w:rPr>
        <w:t>interpone la Revocatoria ante el CTP, mismo al que debe darse trámite en el Consejo.</w:t>
      </w:r>
    </w:p>
    <w:p w:rsidR="00714D38" w:rsidRDefault="00DB2F43">
      <w:pPr>
        <w:kinsoku w:val="0"/>
        <w:overflowPunct w:val="0"/>
        <w:autoSpaceDE/>
        <w:autoSpaceDN/>
        <w:adjustRightInd/>
        <w:spacing w:before="274" w:line="27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De acuerdo a lo anterior, el Tribunal debe inhibirse en este momento de conocer el asunto de conformidad con el artículo 347 de la Ley General de la Administración Pública, el cual dispone lo siguiente:</w:t>
      </w:r>
    </w:p>
    <w:p w:rsidR="00714D38" w:rsidRDefault="00DB2F43">
      <w:pPr>
        <w:kinsoku w:val="0"/>
        <w:overflowPunct w:val="0"/>
        <w:autoSpaceDE/>
        <w:autoSpaceDN/>
        <w:adjustRightInd/>
        <w:spacing w:before="534" w:line="272" w:lineRule="exact"/>
        <w:ind w:left="576"/>
        <w:textAlignment w:val="baseline"/>
        <w:rPr>
          <w:rFonts w:ascii="Verdana" w:hAnsi="Verdana" w:cs="Verdana"/>
          <w:sz w:val="24"/>
          <w:szCs w:val="24"/>
          <w:lang w:eastAsia="en-US"/>
        </w:rPr>
      </w:pPr>
      <w:r>
        <w:rPr>
          <w:rFonts w:ascii="Verdana" w:hAnsi="Verdana" w:cs="Verdana"/>
          <w:i/>
          <w:iCs/>
          <w:spacing w:val="-4"/>
          <w:sz w:val="23"/>
          <w:szCs w:val="23"/>
          <w:lang w:val="es-ES" w:eastAsia="es-ES"/>
        </w:rPr>
        <w:t xml:space="preserve">"Artículo </w:t>
      </w:r>
      <w:proofErr w:type="gramStart"/>
      <w:r>
        <w:rPr>
          <w:rFonts w:ascii="Verdana" w:hAnsi="Verdana" w:cs="Verdana"/>
          <w:i/>
          <w:iCs/>
          <w:spacing w:val="-4"/>
          <w:sz w:val="23"/>
          <w:szCs w:val="23"/>
          <w:lang w:val="es-ES" w:eastAsia="es-ES"/>
        </w:rPr>
        <w:t>347.</w:t>
      </w:r>
      <w:r>
        <w:rPr>
          <w:rFonts w:ascii="Verdana" w:hAnsi="Verdana" w:cs="Verdana"/>
          <w:i/>
          <w:iCs/>
          <w:spacing w:val="-4"/>
          <w:sz w:val="23"/>
          <w:szCs w:val="23"/>
          <w:lang w:val="es-ES" w:eastAsia="es-ES"/>
        </w:rPr>
        <w:noBreakHyphen/>
      </w:r>
      <w:proofErr w:type="gramEnd"/>
    </w:p>
    <w:p w:rsidR="00714D38" w:rsidRDefault="00DB2F43">
      <w:pPr>
        <w:numPr>
          <w:ilvl w:val="0"/>
          <w:numId w:val="3"/>
        </w:numPr>
        <w:kinsoku w:val="0"/>
        <w:overflowPunct w:val="0"/>
        <w:autoSpaceDE/>
        <w:autoSpaceDN/>
        <w:adjustRightInd/>
        <w:spacing w:before="264" w:line="264" w:lineRule="exact"/>
        <w:ind w:right="576"/>
        <w:textAlignment w:val="baseline"/>
        <w:rPr>
          <w:rFonts w:ascii="Verdana" w:hAnsi="Verdana" w:cs="Verdana"/>
          <w:i/>
          <w:iCs/>
          <w:sz w:val="23"/>
          <w:szCs w:val="23"/>
          <w:lang w:val="es-ES" w:eastAsia="es-ES"/>
        </w:rPr>
      </w:pPr>
      <w:r>
        <w:rPr>
          <w:rFonts w:ascii="Verdana" w:hAnsi="Verdana" w:cs="Verdana"/>
          <w:i/>
          <w:iCs/>
          <w:sz w:val="23"/>
          <w:szCs w:val="23"/>
          <w:lang w:val="es-ES" w:eastAsia="es-ES"/>
        </w:rPr>
        <w:t>Los recursos podrán también interponerse haciéndolo constar en el acta de la notificación respectiva.</w:t>
      </w:r>
    </w:p>
    <w:p w:rsidR="00714D38" w:rsidRDefault="00DB2F43">
      <w:pPr>
        <w:numPr>
          <w:ilvl w:val="0"/>
          <w:numId w:val="4"/>
        </w:numPr>
        <w:kinsoku w:val="0"/>
        <w:overflowPunct w:val="0"/>
        <w:autoSpaceDE/>
        <w:autoSpaceDN/>
        <w:adjustRightInd/>
        <w:spacing w:line="271" w:lineRule="exact"/>
        <w:ind w:right="576"/>
        <w:jc w:val="both"/>
        <w:textAlignment w:val="baseline"/>
        <w:rPr>
          <w:rFonts w:ascii="Verdana" w:hAnsi="Verdana" w:cs="Verdana"/>
          <w:i/>
          <w:iCs/>
          <w:sz w:val="23"/>
          <w:szCs w:val="23"/>
          <w:lang w:val="es-ES" w:eastAsia="es-ES"/>
        </w:rPr>
      </w:pPr>
      <w:r>
        <w:rPr>
          <w:rFonts w:ascii="Verdana" w:hAnsi="Verdana" w:cs="Verdana"/>
          <w:i/>
          <w:iCs/>
          <w:sz w:val="23"/>
          <w:szCs w:val="23"/>
          <w:lang w:val="es-ES" w:eastAsia="es-ES"/>
        </w:rPr>
        <w:t>Es potestativo usar ambos recursos ordinarios o uno solo de ellos, pero será inadmisible el que se interponga pasados los términos fijados en el artículo anterior.</w:t>
      </w:r>
    </w:p>
    <w:p w:rsidR="00714D38" w:rsidRDefault="00DB2F43">
      <w:pPr>
        <w:numPr>
          <w:ilvl w:val="0"/>
          <w:numId w:val="5"/>
        </w:numPr>
        <w:kinsoku w:val="0"/>
        <w:overflowPunct w:val="0"/>
        <w:autoSpaceDE/>
        <w:autoSpaceDN/>
        <w:adjustRightInd/>
        <w:spacing w:line="271" w:lineRule="exact"/>
        <w:ind w:right="576"/>
        <w:jc w:val="both"/>
        <w:textAlignment w:val="baseline"/>
        <w:rPr>
          <w:rFonts w:ascii="Verdana" w:hAnsi="Verdana" w:cs="Verdana"/>
          <w:i/>
          <w:iCs/>
          <w:sz w:val="23"/>
          <w:szCs w:val="23"/>
          <w:lang w:val="es-ES" w:eastAsia="es-ES"/>
        </w:rPr>
      </w:pPr>
      <w:r>
        <w:rPr>
          <w:rFonts w:ascii="Verdana" w:hAnsi="Verdana" w:cs="Verdana"/>
          <w:b/>
          <w:bCs/>
          <w:i/>
          <w:iCs/>
          <w:sz w:val="23"/>
          <w:szCs w:val="23"/>
          <w:lang w:val="es-ES" w:eastAsia="es-ES"/>
        </w:rPr>
        <w:t>Sí se Interponen ambos recursos a la vez, se tramitará la apelación una vez declarada sin lugar la revocatoria</w:t>
      </w:r>
      <w:r w:rsidRPr="00DB2F43">
        <w:rPr>
          <w:rFonts w:ascii="Verdana" w:hAnsi="Verdana" w:cs="Verdana"/>
          <w:b/>
          <w:bCs/>
          <w:i/>
          <w:iCs/>
          <w:sz w:val="23"/>
          <w:szCs w:val="23"/>
          <w:lang w:val="es-ES" w:eastAsia="es-ES"/>
        </w:rPr>
        <w:t>. "</w:t>
      </w:r>
      <w:r w:rsidRPr="00DB2F43">
        <w:rPr>
          <w:rFonts w:ascii="Verdana" w:hAnsi="Verdana" w:cs="Verdana"/>
          <w:bCs/>
          <w:i/>
          <w:iCs/>
          <w:sz w:val="23"/>
          <w:szCs w:val="23"/>
          <w:lang w:val="es-ES" w:eastAsia="es-ES"/>
        </w:rPr>
        <w:t>(El</w:t>
      </w:r>
      <w:r>
        <w:rPr>
          <w:rFonts w:ascii="Verdana" w:hAnsi="Verdana" w:cs="Verdana"/>
          <w:b/>
          <w:bCs/>
          <w:i/>
          <w:iCs/>
          <w:sz w:val="23"/>
          <w:szCs w:val="23"/>
          <w:lang w:val="es-ES" w:eastAsia="es-ES"/>
        </w:rPr>
        <w:t xml:space="preserve"> </w:t>
      </w:r>
      <w:r>
        <w:rPr>
          <w:rFonts w:ascii="Verdana" w:hAnsi="Verdana" w:cs="Verdana"/>
          <w:i/>
          <w:iCs/>
          <w:sz w:val="23"/>
          <w:szCs w:val="23"/>
          <w:lang w:val="es-ES" w:eastAsia="es-ES"/>
        </w:rPr>
        <w:t>Resaltado es nuestro)</w:t>
      </w:r>
    </w:p>
    <w:p w:rsidR="00714D38" w:rsidRDefault="00DB2F43">
      <w:pPr>
        <w:kinsoku w:val="0"/>
        <w:overflowPunct w:val="0"/>
        <w:autoSpaceDE/>
        <w:autoSpaceDN/>
        <w:adjustRightInd/>
        <w:spacing w:before="575" w:after="1804" w:line="27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En conclusión, una vez resuelto el recurso de primera instancia y de ser declarado sin lugar por el CTP, el Tribunal Administrativo de Transporte podrá conocer del Recurso de Alzada, más en este momento debe procederse al archivo del mismo por prematuro.</w:t>
      </w:r>
    </w:p>
    <w:p w:rsidR="00714D38" w:rsidRDefault="00714D38">
      <w:pPr>
        <w:widowControl/>
        <w:rPr>
          <w:sz w:val="24"/>
          <w:szCs w:val="24"/>
        </w:rPr>
        <w:sectPr w:rsidR="00714D38">
          <w:pgSz w:w="12322" w:h="15725"/>
          <w:pgMar w:top="1240" w:right="2102" w:bottom="269" w:left="2140" w:header="720" w:footer="720" w:gutter="0"/>
          <w:cols w:space="720"/>
          <w:noEndnote/>
        </w:sectPr>
      </w:pPr>
    </w:p>
    <w:p w:rsidR="00714D38" w:rsidRDefault="00714D38">
      <w:pPr>
        <w:widowControl/>
        <w:rPr>
          <w:sz w:val="24"/>
          <w:szCs w:val="24"/>
        </w:rPr>
        <w:sectPr w:rsidR="00714D38">
          <w:type w:val="continuous"/>
          <w:pgSz w:w="12322" w:h="15725"/>
          <w:pgMar w:top="1240" w:right="2091" w:bottom="269" w:left="7531" w:header="720" w:footer="720" w:gutter="0"/>
          <w:cols w:space="720"/>
          <w:noEndnote/>
        </w:sectPr>
      </w:pPr>
    </w:p>
    <w:p w:rsidR="00714D38" w:rsidRDefault="00DB2F43">
      <w:pPr>
        <w:kinsoku w:val="0"/>
        <w:overflowPunct w:val="0"/>
        <w:autoSpaceDE/>
        <w:autoSpaceDN/>
        <w:adjustRightInd/>
        <w:spacing w:after="247" w:line="265" w:lineRule="exact"/>
        <w:jc w:val="center"/>
        <w:textAlignment w:val="baseline"/>
        <w:rPr>
          <w:rFonts w:ascii="Verdana" w:hAnsi="Verdana" w:cs="Verdana"/>
          <w:b/>
          <w:bCs/>
          <w:spacing w:val="8"/>
          <w:sz w:val="21"/>
          <w:szCs w:val="21"/>
          <w:lang w:val="es-ES" w:eastAsia="es-ES"/>
        </w:rPr>
      </w:pPr>
      <w:r>
        <w:rPr>
          <w:rFonts w:ascii="Verdana" w:hAnsi="Verdana" w:cs="Verdana"/>
          <w:b/>
          <w:bCs/>
          <w:spacing w:val="8"/>
          <w:sz w:val="21"/>
          <w:szCs w:val="21"/>
          <w:lang w:val="es-ES" w:eastAsia="es-ES"/>
        </w:rPr>
        <w:lastRenderedPageBreak/>
        <w:t>POR TANTO</w:t>
      </w:r>
    </w:p>
    <w:p w:rsidR="00714D38" w:rsidRDefault="00714D38">
      <w:pPr>
        <w:widowControl/>
        <w:rPr>
          <w:sz w:val="24"/>
          <w:szCs w:val="24"/>
        </w:rPr>
        <w:sectPr w:rsidR="00714D38">
          <w:pgSz w:w="12312" w:h="15758"/>
          <w:pgMar w:top="1460" w:right="4591" w:bottom="149" w:left="4841" w:header="720" w:footer="720" w:gutter="0"/>
          <w:cols w:space="720"/>
          <w:noEndnote/>
        </w:sectPr>
      </w:pPr>
    </w:p>
    <w:p w:rsidR="00714D38" w:rsidRDefault="00DB2F43">
      <w:pPr>
        <w:numPr>
          <w:ilvl w:val="0"/>
          <w:numId w:val="6"/>
        </w:numPr>
        <w:kinsoku w:val="0"/>
        <w:overflowPunct w:val="0"/>
        <w:autoSpaceDE/>
        <w:autoSpaceDN/>
        <w:adjustRightInd/>
        <w:spacing w:before="8" w:line="275"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 xml:space="preserve">Se ordena el archivo por prematuro del </w:t>
      </w:r>
      <w:r>
        <w:rPr>
          <w:rFonts w:ascii="Verdana" w:hAnsi="Verdana" w:cs="Verdana"/>
          <w:b/>
          <w:bCs/>
          <w:spacing w:val="-2"/>
          <w:sz w:val="21"/>
          <w:szCs w:val="21"/>
          <w:lang w:val="es-ES" w:eastAsia="es-ES"/>
        </w:rPr>
        <w:t xml:space="preserve">Recurso de Apelación en subsidio, </w:t>
      </w:r>
      <w:r>
        <w:rPr>
          <w:rFonts w:ascii="Verdana" w:hAnsi="Verdana" w:cs="Verdana"/>
          <w:spacing w:val="-2"/>
          <w:sz w:val="21"/>
          <w:szCs w:val="21"/>
          <w:lang w:val="es-ES" w:eastAsia="es-ES"/>
        </w:rPr>
        <w:t xml:space="preserve">interpuesto por </w:t>
      </w:r>
      <w:r>
        <w:rPr>
          <w:rFonts w:ascii="Verdana" w:hAnsi="Verdana" w:cs="Verdana"/>
          <w:b/>
          <w:bCs/>
          <w:spacing w:val="-2"/>
          <w:sz w:val="21"/>
          <w:szCs w:val="21"/>
          <w:lang w:val="es-ES" w:eastAsia="es-ES"/>
        </w:rPr>
        <w:t xml:space="preserve">AG.Z.G., CEDULA DE IDENTIDAD NÚMERO …, contra el artículo 7.13.2 de la Sesión Ordinaria 16-2018 de 2 de mayo de 2018, </w:t>
      </w:r>
      <w:r>
        <w:rPr>
          <w:rFonts w:ascii="Verdana" w:hAnsi="Verdana" w:cs="Verdana"/>
          <w:spacing w:val="-2"/>
          <w:sz w:val="21"/>
          <w:szCs w:val="21"/>
          <w:lang w:val="es-ES" w:eastAsia="es-ES"/>
        </w:rPr>
        <w:t>dictado por la JUNTA DIRECTIVA DEL CONSEJO DE TRANSPORTE PÚBLICO.</w:t>
      </w:r>
    </w:p>
    <w:p w:rsidR="00714D38" w:rsidRDefault="00DB2F43" w:rsidP="00DB2F43">
      <w:pPr>
        <w:numPr>
          <w:ilvl w:val="0"/>
          <w:numId w:val="7"/>
        </w:numPr>
        <w:kinsoku w:val="0"/>
        <w:overflowPunct w:val="0"/>
        <w:autoSpaceDE/>
        <w:autoSpaceDN/>
        <w:adjustRightInd/>
        <w:spacing w:before="267" w:line="276" w:lineRule="exact"/>
        <w:jc w:val="both"/>
        <w:textAlignment w:val="baseline"/>
        <w:rPr>
          <w:sz w:val="24"/>
          <w:szCs w:val="24"/>
        </w:rPr>
      </w:pPr>
      <w:r>
        <w:rPr>
          <w:rFonts w:ascii="Verdana" w:hAnsi="Verdana" w:cs="Verdana"/>
          <w:b/>
          <w:bCs/>
          <w:spacing w:val="4"/>
          <w:sz w:val="21"/>
          <w:szCs w:val="21"/>
          <w:lang w:val="es-ES" w:eastAsia="es-ES"/>
        </w:rPr>
        <w:t>NOTIFIQUESE.</w:t>
      </w:r>
      <w:r>
        <w:rPr>
          <w:sz w:val="24"/>
          <w:szCs w:val="24"/>
        </w:rPr>
        <w:t xml:space="preserve"> </w:t>
      </w:r>
    </w:p>
    <w:p w:rsidR="00DB2F43" w:rsidRDefault="00DB2F43" w:rsidP="00DB2F43">
      <w:pPr>
        <w:kinsoku w:val="0"/>
        <w:overflowPunct w:val="0"/>
        <w:autoSpaceDE/>
        <w:autoSpaceDN/>
        <w:adjustRightInd/>
        <w:spacing w:before="267" w:line="276" w:lineRule="exact"/>
        <w:jc w:val="both"/>
        <w:textAlignment w:val="baseline"/>
        <w:rPr>
          <w:sz w:val="24"/>
          <w:szCs w:val="24"/>
        </w:rPr>
      </w:pPr>
    </w:p>
    <w:p w:rsidR="00DB2F43" w:rsidRDefault="00DB2F43" w:rsidP="00DB2F43">
      <w:pPr>
        <w:kinsoku w:val="0"/>
        <w:overflowPunct w:val="0"/>
        <w:autoSpaceDE/>
        <w:autoSpaceDN/>
        <w:adjustRightInd/>
        <w:spacing w:before="267" w:line="276" w:lineRule="exact"/>
        <w:jc w:val="both"/>
        <w:textAlignment w:val="baseline"/>
        <w:rPr>
          <w:sz w:val="24"/>
          <w:szCs w:val="24"/>
        </w:rPr>
      </w:pPr>
    </w:p>
    <w:p w:rsidR="00DB2F43" w:rsidRDefault="00DB2F43" w:rsidP="00DB2F43">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DB2F43" w:rsidRDefault="00DB2F43" w:rsidP="00DB2F43">
      <w:pPr>
        <w:spacing w:before="100" w:beforeAutospacing="1" w:after="100" w:afterAutospacing="1"/>
        <w:jc w:val="center"/>
        <w:rPr>
          <w:b/>
          <w:color w:val="000000"/>
        </w:rPr>
      </w:pPr>
      <w:r>
        <w:rPr>
          <w:b/>
          <w:color w:val="000000"/>
        </w:rPr>
        <w:t>PRESIDENTE</w:t>
      </w:r>
    </w:p>
    <w:p w:rsidR="00DB2F43" w:rsidRDefault="00DB2F43" w:rsidP="00DB2F43">
      <w:pPr>
        <w:spacing w:before="100" w:beforeAutospacing="1" w:after="100" w:afterAutospacing="1"/>
        <w:jc w:val="center"/>
        <w:rPr>
          <w:color w:val="000000"/>
          <w:sz w:val="24"/>
          <w:szCs w:val="24"/>
        </w:rPr>
      </w:pPr>
    </w:p>
    <w:p w:rsidR="00DB2F43" w:rsidRDefault="00DB2F43" w:rsidP="00DB2F43">
      <w:pPr>
        <w:pStyle w:val="Ttulo1"/>
        <w:jc w:val="center"/>
        <w:rPr>
          <w:rFonts w:ascii="Times New Roman" w:hAnsi="Times New Roman"/>
          <w:b w:val="0"/>
          <w:color w:val="000000"/>
        </w:rPr>
      </w:pPr>
      <w:r>
        <w:rPr>
          <w:rFonts w:ascii="Times New Roman" w:hAnsi="Times New Roman"/>
          <w:b w:val="0"/>
          <w:color w:val="000000"/>
        </w:rPr>
        <w:t>Lic. Ronald Muñoz Corea</w:t>
      </w:r>
      <w:r w:rsidRPr="002D0738">
        <w:rPr>
          <w:rFonts w:ascii="Times New Roman" w:hAnsi="Times New Roman"/>
          <w:b w:val="0"/>
          <w:color w:val="000000"/>
        </w:rPr>
        <w:t xml:space="preserve"> </w:t>
      </w:r>
      <w:r>
        <w:rPr>
          <w:rFonts w:ascii="Times New Roman" w:hAnsi="Times New Roman"/>
          <w:b w:val="0"/>
          <w:color w:val="000000"/>
        </w:rPr>
        <w:t xml:space="preserve">                       Lic.  Mario Quesada Aguirre</w:t>
      </w:r>
    </w:p>
    <w:p w:rsidR="00DB2F43" w:rsidRDefault="00DB2F43" w:rsidP="00DB2F43">
      <w:pPr>
        <w:kinsoku w:val="0"/>
        <w:overflowPunct w:val="0"/>
        <w:autoSpaceDE/>
        <w:autoSpaceDN/>
        <w:adjustRightInd/>
        <w:spacing w:before="42" w:after="182" w:line="270" w:lineRule="exact"/>
        <w:ind w:left="72"/>
        <w:jc w:val="center"/>
        <w:textAlignment w:val="baseline"/>
        <w:rPr>
          <w:b/>
          <w:color w:val="000000"/>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DB2F43" w:rsidRDefault="00DB2F43" w:rsidP="00DB2F43">
      <w:pPr>
        <w:kinsoku w:val="0"/>
        <w:overflowPunct w:val="0"/>
        <w:autoSpaceDE/>
        <w:autoSpaceDN/>
        <w:adjustRightInd/>
        <w:spacing w:before="42" w:after="182" w:line="270" w:lineRule="exact"/>
        <w:ind w:left="72"/>
        <w:jc w:val="center"/>
        <w:textAlignment w:val="baseline"/>
        <w:rPr>
          <w:sz w:val="24"/>
          <w:szCs w:val="24"/>
        </w:rPr>
      </w:pPr>
    </w:p>
    <w:p w:rsidR="00DB2F43" w:rsidRDefault="00DB2F43" w:rsidP="00DB2F43">
      <w:pPr>
        <w:kinsoku w:val="0"/>
        <w:overflowPunct w:val="0"/>
        <w:autoSpaceDE/>
        <w:autoSpaceDN/>
        <w:adjustRightInd/>
        <w:spacing w:before="267" w:line="276" w:lineRule="exact"/>
        <w:jc w:val="both"/>
        <w:textAlignment w:val="baseline"/>
        <w:rPr>
          <w:sz w:val="24"/>
          <w:szCs w:val="24"/>
        </w:rPr>
        <w:sectPr w:rsidR="00DB2F43">
          <w:type w:val="continuous"/>
          <w:pgSz w:w="12312" w:h="15758"/>
          <w:pgMar w:top="1460" w:right="1994" w:bottom="149" w:left="2261" w:header="720" w:footer="720" w:gutter="0"/>
          <w:cols w:space="720"/>
          <w:noEndnote/>
        </w:sectPr>
      </w:pPr>
    </w:p>
    <w:p w:rsidR="00714D38" w:rsidRDefault="00714D38" w:rsidP="00DB2F43">
      <w:pPr>
        <w:tabs>
          <w:tab w:val="right" w:pos="5400"/>
        </w:tabs>
        <w:kinsoku w:val="0"/>
        <w:overflowPunct w:val="0"/>
        <w:autoSpaceDE/>
        <w:autoSpaceDN/>
        <w:adjustRightInd/>
        <w:spacing w:line="229" w:lineRule="exact"/>
        <w:textAlignment w:val="baseline"/>
        <w:rPr>
          <w:rFonts w:ascii="Verdana" w:hAnsi="Verdana" w:cs="Verdana"/>
          <w:sz w:val="19"/>
          <w:szCs w:val="19"/>
          <w:lang w:val="es-ES" w:eastAsia="es-ES"/>
        </w:rPr>
      </w:pPr>
    </w:p>
    <w:sectPr w:rsidR="00714D38">
      <w:type w:val="continuous"/>
      <w:pgSz w:w="12312" w:h="15758"/>
      <w:pgMar w:top="1460" w:right="1994" w:bottom="149" w:left="48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AE1"/>
    <w:multiLevelType w:val="singleLevel"/>
    <w:tmpl w:val="67BCA989"/>
    <w:lvl w:ilvl="0">
      <w:start w:val="1"/>
      <w:numFmt w:val="lowerLetter"/>
      <w:lvlText w:val="%1)"/>
      <w:lvlJc w:val="left"/>
      <w:pPr>
        <w:tabs>
          <w:tab w:val="num" w:pos="720"/>
        </w:tabs>
        <w:ind w:left="432"/>
      </w:pPr>
      <w:rPr>
        <w:rFonts w:ascii="Verdana" w:hAnsi="Verdana" w:cs="Verdana"/>
        <w:b/>
        <w:bCs/>
        <w:i/>
        <w:iCs/>
        <w:snapToGrid/>
        <w:sz w:val="19"/>
        <w:szCs w:val="19"/>
      </w:rPr>
    </w:lvl>
  </w:abstractNum>
  <w:abstractNum w:abstractNumId="1" w15:restartNumberingAfterBreak="0">
    <w:nsid w:val="053525B1"/>
    <w:multiLevelType w:val="singleLevel"/>
    <w:tmpl w:val="517EA364"/>
    <w:lvl w:ilvl="0">
      <w:start w:val="1"/>
      <w:numFmt w:val="decimal"/>
      <w:lvlText w:val="%1."/>
      <w:lvlJc w:val="left"/>
      <w:pPr>
        <w:tabs>
          <w:tab w:val="num" w:pos="936"/>
        </w:tabs>
        <w:ind w:left="576"/>
      </w:pPr>
      <w:rPr>
        <w:rFonts w:ascii="Verdana" w:hAnsi="Verdana" w:cs="Verdana"/>
        <w:i/>
        <w:iCs/>
        <w:snapToGrid/>
        <w:sz w:val="23"/>
        <w:szCs w:val="23"/>
      </w:rPr>
    </w:lvl>
  </w:abstractNum>
  <w:abstractNum w:abstractNumId="2" w15:restartNumberingAfterBreak="0">
    <w:nsid w:val="060B28CF"/>
    <w:multiLevelType w:val="singleLevel"/>
    <w:tmpl w:val="2F76496E"/>
    <w:lvl w:ilvl="0">
      <w:start w:val="1"/>
      <w:numFmt w:val="upperRoman"/>
      <w:lvlText w:val="%1.-"/>
      <w:lvlJc w:val="left"/>
      <w:pPr>
        <w:tabs>
          <w:tab w:val="num" w:pos="504"/>
        </w:tabs>
      </w:pPr>
      <w:rPr>
        <w:rFonts w:ascii="Verdana" w:hAnsi="Verdana" w:cs="Verdana"/>
        <w:b/>
        <w:snapToGrid/>
        <w:spacing w:val="-2"/>
        <w:sz w:val="21"/>
        <w:szCs w:val="21"/>
      </w:rPr>
    </w:lvl>
  </w:abstractNum>
  <w:num w:numId="1">
    <w:abstractNumId w:val="0"/>
  </w:num>
  <w:num w:numId="2">
    <w:abstractNumId w:val="0"/>
    <w:lvlOverride w:ilvl="0">
      <w:lvl w:ilvl="0">
        <w:numFmt w:val="lowerLetter"/>
        <w:lvlText w:val="%1)"/>
        <w:lvlJc w:val="left"/>
        <w:pPr>
          <w:tabs>
            <w:tab w:val="num" w:pos="720"/>
          </w:tabs>
          <w:ind w:left="432"/>
        </w:pPr>
        <w:rPr>
          <w:rFonts w:ascii="Verdana" w:hAnsi="Verdana" w:cs="Verdana"/>
          <w:i/>
          <w:iCs/>
          <w:snapToGrid/>
          <w:sz w:val="19"/>
          <w:szCs w:val="19"/>
        </w:rPr>
      </w:lvl>
    </w:lvlOverride>
  </w:num>
  <w:num w:numId="3">
    <w:abstractNumId w:val="1"/>
  </w:num>
  <w:num w:numId="4">
    <w:abstractNumId w:val="1"/>
    <w:lvlOverride w:ilvl="0">
      <w:lvl w:ilvl="0">
        <w:numFmt w:val="decimal"/>
        <w:lvlText w:val="%1."/>
        <w:lvlJc w:val="left"/>
        <w:pPr>
          <w:tabs>
            <w:tab w:val="num" w:pos="864"/>
          </w:tabs>
          <w:ind w:left="576"/>
        </w:pPr>
        <w:rPr>
          <w:rFonts w:ascii="Verdana" w:hAnsi="Verdana" w:cs="Verdana"/>
          <w:i/>
          <w:iCs/>
          <w:snapToGrid/>
          <w:sz w:val="23"/>
          <w:szCs w:val="23"/>
        </w:rPr>
      </w:lvl>
    </w:lvlOverride>
  </w:num>
  <w:num w:numId="5">
    <w:abstractNumId w:val="1"/>
    <w:lvlOverride w:ilvl="0">
      <w:lvl w:ilvl="0">
        <w:numFmt w:val="decimal"/>
        <w:lvlText w:val="%1."/>
        <w:lvlJc w:val="left"/>
        <w:pPr>
          <w:tabs>
            <w:tab w:val="num" w:pos="1008"/>
          </w:tabs>
          <w:ind w:left="576"/>
        </w:pPr>
        <w:rPr>
          <w:rFonts w:ascii="Verdana" w:hAnsi="Verdana" w:cs="Verdana"/>
          <w:b/>
          <w:bCs/>
          <w:i/>
          <w:iCs/>
          <w:snapToGrid/>
          <w:sz w:val="23"/>
          <w:szCs w:val="23"/>
        </w:rPr>
      </w:lvl>
    </w:lvlOverride>
  </w:num>
  <w:num w:numId="6">
    <w:abstractNumId w:val="2"/>
  </w:num>
  <w:num w:numId="7">
    <w:abstractNumId w:val="2"/>
    <w:lvlOverride w:ilvl="0">
      <w:lvl w:ilvl="0">
        <w:numFmt w:val="upperRoman"/>
        <w:lvlText w:val="%1.-"/>
        <w:lvlJc w:val="left"/>
        <w:pPr>
          <w:tabs>
            <w:tab w:val="num" w:pos="648"/>
          </w:tabs>
        </w:pPr>
        <w:rPr>
          <w:rFonts w:ascii="Verdana" w:hAnsi="Verdana" w:cs="Verdana"/>
          <w:b/>
          <w:bCs/>
          <w:snapToGrid/>
          <w:spacing w:val="4"/>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43"/>
    <w:rsid w:val="00714D38"/>
    <w:rsid w:val="00DA3808"/>
    <w:rsid w:val="00DB2F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5BD442-EB61-4FE3-A454-A2AEC53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DB2F43"/>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2F43"/>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2019-04-25T17:10:00Z</dcterms:created>
  <dcterms:modified xsi:type="dcterms:W3CDTF">2019-04-25T17:10:00Z</dcterms:modified>
</cp:coreProperties>
</file>