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DB9" w:rsidRDefault="0034101A">
      <w:pPr>
        <w:kinsoku w:val="0"/>
        <w:overflowPunct w:val="0"/>
        <w:autoSpaceDE/>
        <w:autoSpaceDN/>
        <w:adjustRightInd/>
        <w:spacing w:before="1" w:line="284" w:lineRule="exact"/>
        <w:jc w:val="center"/>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 xml:space="preserve">RESOLUCION </w:t>
      </w:r>
      <w:bookmarkStart w:id="0" w:name="_GoBack"/>
      <w:r>
        <w:rPr>
          <w:rFonts w:ascii="Verdana" w:hAnsi="Verdana" w:cs="Verdana"/>
          <w:b/>
          <w:bCs/>
          <w:spacing w:val="1"/>
          <w:sz w:val="24"/>
          <w:szCs w:val="24"/>
          <w:lang w:val="es-ES" w:eastAsia="es-ES"/>
        </w:rPr>
        <w:t>TAT</w:t>
      </w:r>
      <w:r w:rsidR="00B34AD4">
        <w:rPr>
          <w:rFonts w:ascii="Verdana" w:hAnsi="Verdana" w:cs="Verdana"/>
          <w:b/>
          <w:bCs/>
          <w:spacing w:val="1"/>
          <w:sz w:val="24"/>
          <w:szCs w:val="24"/>
          <w:lang w:val="es-ES" w:eastAsia="es-ES"/>
        </w:rPr>
        <w:t>-</w:t>
      </w:r>
      <w:r>
        <w:rPr>
          <w:rFonts w:ascii="Verdana" w:hAnsi="Verdana" w:cs="Verdana"/>
          <w:b/>
          <w:bCs/>
          <w:spacing w:val="1"/>
          <w:sz w:val="24"/>
          <w:szCs w:val="24"/>
          <w:lang w:val="es-ES" w:eastAsia="es-ES"/>
        </w:rPr>
        <w:t>3435-2018</w:t>
      </w:r>
      <w:bookmarkEnd w:id="0"/>
    </w:p>
    <w:p w:rsidR="00DC4DB9" w:rsidRDefault="0034101A">
      <w:pPr>
        <w:kinsoku w:val="0"/>
        <w:overflowPunct w:val="0"/>
        <w:autoSpaceDE/>
        <w:autoSpaceDN/>
        <w:adjustRightInd/>
        <w:spacing w:before="593" w:line="293" w:lineRule="exact"/>
        <w:ind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TRIBUNAL ADMINISTRATIVO DE TRANSPORTE. </w:t>
      </w:r>
      <w:r>
        <w:rPr>
          <w:rFonts w:ascii="Verdana" w:hAnsi="Verdana" w:cs="Verdana"/>
          <w:sz w:val="24"/>
          <w:szCs w:val="24"/>
          <w:lang w:val="es-ES" w:eastAsia="es-ES"/>
        </w:rPr>
        <w:t>San José, a las diez horas veinticinco minutos del veintiocho de junio de dos mil dieciocho.</w:t>
      </w:r>
    </w:p>
    <w:p w:rsidR="00DC4DB9" w:rsidRDefault="0034101A">
      <w:pPr>
        <w:kinsoku w:val="0"/>
        <w:overflowPunct w:val="0"/>
        <w:autoSpaceDE/>
        <w:autoSpaceDN/>
        <w:adjustRightInd/>
        <w:spacing w:before="285" w:line="291" w:lineRule="exact"/>
        <w:ind w:right="144"/>
        <w:jc w:val="both"/>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 xml:space="preserve">RECURSOS DE APELACIÓN Y NULIDAD CONCOMITANTE, </w:t>
      </w:r>
      <w:r>
        <w:rPr>
          <w:rFonts w:ascii="Verdana" w:hAnsi="Verdana" w:cs="Verdana"/>
          <w:spacing w:val="-1"/>
          <w:sz w:val="24"/>
          <w:szCs w:val="24"/>
          <w:lang w:val="es-ES" w:eastAsia="es-ES"/>
        </w:rPr>
        <w:t xml:space="preserve">interpuesto por </w:t>
      </w:r>
      <w:r>
        <w:rPr>
          <w:rFonts w:ascii="Verdana" w:hAnsi="Verdana" w:cs="Verdana"/>
          <w:b/>
          <w:bCs/>
          <w:spacing w:val="-1"/>
          <w:sz w:val="24"/>
          <w:szCs w:val="24"/>
          <w:lang w:val="es-ES" w:eastAsia="es-ES"/>
        </w:rPr>
        <w:t>T</w:t>
      </w:r>
      <w:r w:rsidR="005B1D1F">
        <w:rPr>
          <w:rFonts w:ascii="Verdana" w:hAnsi="Verdana" w:cs="Verdana"/>
          <w:b/>
          <w:bCs/>
          <w:spacing w:val="-1"/>
          <w:sz w:val="24"/>
          <w:szCs w:val="24"/>
          <w:lang w:val="es-ES" w:eastAsia="es-ES"/>
        </w:rPr>
        <w:t>.R.Y.C.S.A.</w:t>
      </w:r>
      <w:r>
        <w:rPr>
          <w:rFonts w:ascii="Verdana" w:hAnsi="Verdana" w:cs="Verdana"/>
          <w:b/>
          <w:bCs/>
          <w:spacing w:val="-1"/>
          <w:sz w:val="24"/>
          <w:szCs w:val="24"/>
          <w:lang w:val="es-ES" w:eastAsia="es-ES"/>
        </w:rPr>
        <w:t xml:space="preserve">, cédula jurídica número </w:t>
      </w:r>
      <w:r w:rsidR="005B1D1F">
        <w:rPr>
          <w:rFonts w:ascii="Verdana" w:hAnsi="Verdana" w:cs="Verdana"/>
          <w:b/>
          <w:bCs/>
          <w:spacing w:val="-1"/>
          <w:sz w:val="24"/>
          <w:szCs w:val="24"/>
          <w:lang w:val="es-ES" w:eastAsia="es-ES"/>
        </w:rPr>
        <w:t>…</w:t>
      </w:r>
      <w:r>
        <w:rPr>
          <w:rFonts w:ascii="Verdana" w:hAnsi="Verdana" w:cs="Verdana"/>
          <w:b/>
          <w:bCs/>
          <w:spacing w:val="-1"/>
          <w:sz w:val="24"/>
          <w:szCs w:val="24"/>
          <w:lang w:val="es-ES" w:eastAsia="es-ES"/>
        </w:rPr>
        <w:t xml:space="preserve">, </w:t>
      </w:r>
      <w:r>
        <w:rPr>
          <w:rFonts w:ascii="Verdana" w:hAnsi="Verdana" w:cs="Verdana"/>
          <w:spacing w:val="-1"/>
          <w:sz w:val="24"/>
          <w:szCs w:val="24"/>
          <w:lang w:val="es-ES" w:eastAsia="es-ES"/>
        </w:rPr>
        <w:t xml:space="preserve">por medio de su apoderado Generalísimo sin Límite de suma, señor </w:t>
      </w:r>
      <w:r>
        <w:rPr>
          <w:rFonts w:ascii="Verdana" w:hAnsi="Verdana" w:cs="Verdana"/>
          <w:b/>
          <w:bCs/>
          <w:spacing w:val="-1"/>
          <w:sz w:val="24"/>
          <w:szCs w:val="24"/>
          <w:lang w:val="es-ES" w:eastAsia="es-ES"/>
        </w:rPr>
        <w:t>R</w:t>
      </w:r>
      <w:r w:rsidR="005B1D1F">
        <w:rPr>
          <w:rFonts w:ascii="Verdana" w:hAnsi="Verdana" w:cs="Verdana"/>
          <w:b/>
          <w:bCs/>
          <w:spacing w:val="-1"/>
          <w:sz w:val="24"/>
          <w:szCs w:val="24"/>
          <w:lang w:val="es-ES" w:eastAsia="es-ES"/>
        </w:rPr>
        <w:t>.A.A.R.</w:t>
      </w:r>
      <w:r>
        <w:rPr>
          <w:rFonts w:ascii="Verdana" w:hAnsi="Verdana" w:cs="Verdana"/>
          <w:b/>
          <w:bCs/>
          <w:spacing w:val="-1"/>
          <w:sz w:val="24"/>
          <w:szCs w:val="24"/>
          <w:lang w:val="es-ES" w:eastAsia="es-ES"/>
        </w:rPr>
        <w:t xml:space="preserve"> cédula de identidad número </w:t>
      </w:r>
      <w:r w:rsidR="005B1D1F">
        <w:rPr>
          <w:rFonts w:ascii="Verdana" w:hAnsi="Verdana" w:cs="Verdana"/>
          <w:b/>
          <w:bCs/>
          <w:spacing w:val="-1"/>
          <w:sz w:val="24"/>
          <w:szCs w:val="24"/>
          <w:lang w:val="es-ES" w:eastAsia="es-ES"/>
        </w:rPr>
        <w:t>…</w:t>
      </w:r>
      <w:r>
        <w:rPr>
          <w:rFonts w:ascii="Verdana" w:hAnsi="Verdana" w:cs="Verdana"/>
          <w:b/>
          <w:bCs/>
          <w:spacing w:val="-1"/>
          <w:sz w:val="24"/>
          <w:szCs w:val="24"/>
          <w:lang w:val="es-ES" w:eastAsia="es-ES"/>
        </w:rPr>
        <w:t xml:space="preserve">, </w:t>
      </w:r>
      <w:r>
        <w:rPr>
          <w:rFonts w:ascii="Verdana" w:hAnsi="Verdana" w:cs="Verdana"/>
          <w:spacing w:val="-1"/>
          <w:sz w:val="24"/>
          <w:szCs w:val="24"/>
          <w:lang w:val="es-ES" w:eastAsia="es-ES"/>
        </w:rPr>
        <w:t xml:space="preserve">contra </w:t>
      </w:r>
      <w:r>
        <w:rPr>
          <w:rFonts w:ascii="Verdana" w:hAnsi="Verdana" w:cs="Verdana"/>
          <w:b/>
          <w:bCs/>
          <w:spacing w:val="-1"/>
          <w:sz w:val="24"/>
          <w:szCs w:val="24"/>
          <w:lang w:val="es-ES" w:eastAsia="es-ES"/>
        </w:rPr>
        <w:t xml:space="preserve">el artículo 7.12.24 de la Sesión Ordinaria 34-2017 de 30 de agosto de 2017, celebrado por la Junta Directiva del Consejo de Transporte Público. </w:t>
      </w:r>
      <w:r>
        <w:rPr>
          <w:rFonts w:ascii="Verdana" w:hAnsi="Verdana" w:cs="Verdana"/>
          <w:spacing w:val="-1"/>
          <w:sz w:val="24"/>
          <w:szCs w:val="24"/>
          <w:lang w:val="es-ES" w:eastAsia="es-ES"/>
        </w:rPr>
        <w:t xml:space="preserve">El caso es tramitado en este Despacho bajo el </w:t>
      </w:r>
      <w:r>
        <w:rPr>
          <w:rFonts w:ascii="Verdana" w:hAnsi="Verdana" w:cs="Verdana"/>
          <w:b/>
          <w:bCs/>
          <w:spacing w:val="-1"/>
          <w:sz w:val="24"/>
          <w:szCs w:val="24"/>
          <w:lang w:val="es-ES" w:eastAsia="es-ES"/>
        </w:rPr>
        <w:t>Expediente Administrativo No. TAT-069-18</w:t>
      </w:r>
    </w:p>
    <w:p w:rsidR="00DC4DB9" w:rsidRDefault="0034101A">
      <w:pPr>
        <w:kinsoku w:val="0"/>
        <w:overflowPunct w:val="0"/>
        <w:autoSpaceDE/>
        <w:autoSpaceDN/>
        <w:adjustRightInd/>
        <w:spacing w:before="310" w:line="284" w:lineRule="exact"/>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RESULTANDO</w:t>
      </w:r>
    </w:p>
    <w:p w:rsidR="00DC4DB9" w:rsidRDefault="0034101A" w:rsidP="005B1D1F">
      <w:pPr>
        <w:kinsoku w:val="0"/>
        <w:overflowPunct w:val="0"/>
        <w:autoSpaceDE/>
        <w:autoSpaceDN/>
        <w:adjustRightInd/>
        <w:spacing w:before="312" w:line="291" w:lineRule="exact"/>
        <w:ind w:right="144"/>
        <w:jc w:val="both"/>
        <w:textAlignment w:val="baseline"/>
        <w:rPr>
          <w:rFonts w:ascii="Verdana" w:hAnsi="Verdana" w:cs="Verdana"/>
          <w:sz w:val="24"/>
          <w:szCs w:val="24"/>
          <w:lang w:val="es-ES" w:eastAsia="es-ES"/>
        </w:rPr>
      </w:pPr>
      <w:r>
        <w:rPr>
          <w:rFonts w:ascii="Verdana" w:hAnsi="Verdana" w:cs="Verdana"/>
          <w:b/>
          <w:bCs/>
          <w:spacing w:val="-1"/>
          <w:sz w:val="24"/>
          <w:szCs w:val="24"/>
          <w:lang w:val="es-ES" w:eastAsia="es-ES"/>
        </w:rPr>
        <w:t xml:space="preserve">PRIMERO: </w:t>
      </w:r>
      <w:r>
        <w:rPr>
          <w:rFonts w:ascii="Verdana" w:hAnsi="Verdana" w:cs="Verdana"/>
          <w:spacing w:val="-1"/>
          <w:sz w:val="24"/>
          <w:szCs w:val="24"/>
          <w:lang w:val="es-ES" w:eastAsia="es-ES"/>
        </w:rPr>
        <w:t xml:space="preserve">La Junta Directiva del Consejo de Transporte Público, mediante </w:t>
      </w:r>
      <w:r>
        <w:rPr>
          <w:rFonts w:ascii="Verdana" w:hAnsi="Verdana" w:cs="Verdana"/>
          <w:b/>
          <w:bCs/>
          <w:spacing w:val="-1"/>
          <w:sz w:val="24"/>
          <w:szCs w:val="24"/>
          <w:lang w:val="es-ES" w:eastAsia="es-ES"/>
        </w:rPr>
        <w:t>artículo 7.12.24 de la Sesión Ordinaria 34-2017 de 30 de agosto de 2017, celebrado por la Junta Directiva del Consejo de</w:t>
      </w:r>
      <w:r w:rsidR="005B1D1F">
        <w:rPr>
          <w:rFonts w:ascii="Verdana" w:hAnsi="Verdana" w:cs="Verdana"/>
          <w:b/>
          <w:bCs/>
          <w:spacing w:val="-1"/>
          <w:sz w:val="24"/>
          <w:szCs w:val="24"/>
          <w:lang w:val="es-ES" w:eastAsia="es-ES"/>
        </w:rPr>
        <w:t xml:space="preserve"> </w:t>
      </w:r>
      <w:r>
        <w:rPr>
          <w:rFonts w:ascii="Verdana" w:hAnsi="Verdana" w:cs="Verdana"/>
          <w:b/>
          <w:bCs/>
          <w:sz w:val="24"/>
          <w:szCs w:val="24"/>
          <w:lang w:val="es-ES" w:eastAsia="es-ES"/>
        </w:rPr>
        <w:t xml:space="preserve">Transporte Público, </w:t>
      </w:r>
      <w:r>
        <w:rPr>
          <w:rFonts w:ascii="Verdana" w:hAnsi="Verdana" w:cs="Verdana"/>
          <w:sz w:val="24"/>
          <w:szCs w:val="24"/>
          <w:lang w:val="es-ES" w:eastAsia="es-ES"/>
        </w:rPr>
        <w:t>dispuso. (Léase folio</w:t>
      </w:r>
      <w:r>
        <w:rPr>
          <w:rFonts w:ascii="Verdana" w:hAnsi="Verdana" w:cs="Verdana"/>
          <w:sz w:val="24"/>
          <w:szCs w:val="24"/>
          <w:lang w:val="es-ES" w:eastAsia="es-ES"/>
        </w:rPr>
        <w:tab/>
        <w:t>11 cara y vuelto del</w:t>
      </w:r>
      <w:r>
        <w:rPr>
          <w:rFonts w:ascii="Verdana" w:hAnsi="Verdana" w:cs="Verdana"/>
          <w:sz w:val="24"/>
          <w:szCs w:val="24"/>
          <w:lang w:val="es-ES" w:eastAsia="es-ES"/>
        </w:rPr>
        <w:br/>
        <w:t>expediente administrativo)</w:t>
      </w:r>
    </w:p>
    <w:p w:rsidR="00DC4DB9" w:rsidRDefault="0034101A">
      <w:pPr>
        <w:kinsoku w:val="0"/>
        <w:overflowPunct w:val="0"/>
        <w:autoSpaceDE/>
        <w:autoSpaceDN/>
        <w:adjustRightInd/>
        <w:spacing w:before="196" w:line="231" w:lineRule="exact"/>
        <w:ind w:left="360"/>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"POR TANTO, SE ACUERDA:</w:t>
      </w:r>
    </w:p>
    <w:p w:rsidR="00DC4DB9" w:rsidRDefault="0034101A">
      <w:pPr>
        <w:kinsoku w:val="0"/>
        <w:overflowPunct w:val="0"/>
        <w:autoSpaceDE/>
        <w:autoSpaceDN/>
        <w:adjustRightInd/>
        <w:spacing w:before="247" w:line="162" w:lineRule="exact"/>
        <w:ind w:left="360"/>
        <w:jc w:val="both"/>
        <w:textAlignment w:val="baseline"/>
        <w:rPr>
          <w:rFonts w:ascii="Verdana" w:hAnsi="Verdana" w:cs="Verdana"/>
          <w:i/>
          <w:iCs/>
          <w:spacing w:val="9"/>
          <w:sz w:val="16"/>
          <w:szCs w:val="16"/>
          <w:lang w:val="es-ES" w:eastAsia="es-ES"/>
        </w:rPr>
      </w:pPr>
      <w:r>
        <w:rPr>
          <w:rFonts w:ascii="Verdana" w:hAnsi="Verdana" w:cs="Verdana"/>
          <w:i/>
          <w:iCs/>
          <w:spacing w:val="9"/>
          <w:sz w:val="16"/>
          <w:szCs w:val="16"/>
          <w:lang w:val="es-ES" w:eastAsia="es-ES"/>
        </w:rPr>
        <w:t>(.)</w:t>
      </w:r>
    </w:p>
    <w:p w:rsidR="00DC4DB9" w:rsidRDefault="0034101A">
      <w:pPr>
        <w:kinsoku w:val="0"/>
        <w:overflowPunct w:val="0"/>
        <w:autoSpaceDE/>
        <w:autoSpaceDN/>
        <w:adjustRightInd/>
        <w:spacing w:before="18" w:line="192" w:lineRule="exact"/>
        <w:ind w:left="360"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2. Declarar extemporánea la solicitud de excepcionalidad y/o dispensa, planteada por el señor </w:t>
      </w:r>
      <w:r>
        <w:rPr>
          <w:rFonts w:ascii="Verdana" w:hAnsi="Verdana" w:cs="Verdana"/>
          <w:b/>
          <w:bCs/>
          <w:i/>
          <w:iCs/>
          <w:sz w:val="16"/>
          <w:szCs w:val="16"/>
          <w:lang w:val="es-ES" w:eastAsia="es-ES"/>
        </w:rPr>
        <w:t>R</w:t>
      </w:r>
      <w:r w:rsidR="005B1D1F">
        <w:rPr>
          <w:rFonts w:ascii="Verdana" w:hAnsi="Verdana" w:cs="Verdana"/>
          <w:b/>
          <w:bCs/>
          <w:i/>
          <w:iCs/>
          <w:sz w:val="16"/>
          <w:szCs w:val="16"/>
          <w:lang w:val="es-ES" w:eastAsia="es-ES"/>
        </w:rPr>
        <w:t>.A.A.R.</w:t>
      </w:r>
      <w:r>
        <w:rPr>
          <w:rFonts w:ascii="Verdana" w:hAnsi="Verdana" w:cs="Verdana"/>
          <w:b/>
          <w:bCs/>
          <w:i/>
          <w:iCs/>
          <w:sz w:val="16"/>
          <w:szCs w:val="16"/>
          <w:lang w:val="es-ES" w:eastAsia="es-ES"/>
        </w:rPr>
        <w:t xml:space="preserve"> APODERADO GENERALISIMO SIN LIMITE DE SUMA DE LA FIRMA T</w:t>
      </w:r>
      <w:r w:rsidR="005B1D1F">
        <w:rPr>
          <w:rFonts w:ascii="Verdana" w:hAnsi="Verdana" w:cs="Verdana"/>
          <w:b/>
          <w:bCs/>
          <w:i/>
          <w:iCs/>
          <w:sz w:val="16"/>
          <w:szCs w:val="16"/>
          <w:lang w:val="es-ES" w:eastAsia="es-ES"/>
        </w:rPr>
        <w:t>.R.Y.C.S.A.</w:t>
      </w:r>
      <w:r>
        <w:rPr>
          <w:rFonts w:ascii="Verdana" w:hAnsi="Verdana" w:cs="Verdana"/>
          <w:b/>
          <w:bCs/>
          <w:i/>
          <w:iCs/>
          <w:sz w:val="16"/>
          <w:szCs w:val="16"/>
          <w:lang w:val="es-ES" w:eastAsia="es-ES"/>
        </w:rPr>
        <w:t xml:space="preserve">, Operadora de la Rutas </w:t>
      </w:r>
      <w:proofErr w:type="spellStart"/>
      <w:r>
        <w:rPr>
          <w:rFonts w:ascii="Verdana" w:hAnsi="Verdana" w:cs="Verdana"/>
          <w:b/>
          <w:bCs/>
          <w:i/>
          <w:iCs/>
          <w:sz w:val="16"/>
          <w:szCs w:val="16"/>
          <w:lang w:val="es-ES" w:eastAsia="es-ES"/>
        </w:rPr>
        <w:t>Nros</w:t>
      </w:r>
      <w:proofErr w:type="spellEnd"/>
      <w:r>
        <w:rPr>
          <w:rFonts w:ascii="Verdana" w:hAnsi="Verdana" w:cs="Verdana"/>
          <w:b/>
          <w:bCs/>
          <w:i/>
          <w:iCs/>
          <w:sz w:val="16"/>
          <w:szCs w:val="16"/>
          <w:lang w:val="es-ES" w:eastAsia="es-ES"/>
        </w:rPr>
        <w:t xml:space="preserve"> 327 </w:t>
      </w:r>
      <w:r>
        <w:rPr>
          <w:rFonts w:ascii="Verdana" w:hAnsi="Verdana" w:cs="Verdana"/>
          <w:sz w:val="16"/>
          <w:szCs w:val="16"/>
          <w:lang w:val="es-ES" w:eastAsia="es-ES"/>
        </w:rPr>
        <w:t xml:space="preserve">y </w:t>
      </w:r>
      <w:r>
        <w:rPr>
          <w:rFonts w:ascii="Verdana" w:hAnsi="Verdana" w:cs="Verdana"/>
          <w:b/>
          <w:bCs/>
          <w:i/>
          <w:iCs/>
          <w:sz w:val="16"/>
          <w:szCs w:val="16"/>
          <w:lang w:val="es-ES" w:eastAsia="es-ES"/>
        </w:rPr>
        <w:t xml:space="preserve">370, </w:t>
      </w:r>
      <w:r>
        <w:rPr>
          <w:rFonts w:ascii="Verdana" w:hAnsi="Verdana" w:cs="Verdana"/>
          <w:i/>
          <w:iCs/>
          <w:sz w:val="16"/>
          <w:szCs w:val="16"/>
          <w:lang w:val="es-ES" w:eastAsia="es-ES"/>
        </w:rPr>
        <w:t xml:space="preserve">en virtud de lo establecido en el punto </w:t>
      </w:r>
      <w:proofErr w:type="spellStart"/>
      <w:r>
        <w:rPr>
          <w:rFonts w:ascii="Verdana" w:hAnsi="Verdana" w:cs="Verdana"/>
          <w:i/>
          <w:iCs/>
          <w:sz w:val="16"/>
          <w:szCs w:val="16"/>
          <w:lang w:val="es-ES" w:eastAsia="es-ES"/>
        </w:rPr>
        <w:t>N°</w:t>
      </w:r>
      <w:proofErr w:type="spellEnd"/>
      <w:r>
        <w:rPr>
          <w:rFonts w:ascii="Verdana" w:hAnsi="Verdana" w:cs="Verdana"/>
          <w:i/>
          <w:iCs/>
          <w:sz w:val="16"/>
          <w:szCs w:val="16"/>
          <w:lang w:val="es-ES" w:eastAsia="es-ES"/>
        </w:rPr>
        <w:t xml:space="preserve"> </w:t>
      </w:r>
      <w:r>
        <w:rPr>
          <w:rFonts w:ascii="Verdana" w:hAnsi="Verdana" w:cs="Verdana"/>
          <w:sz w:val="16"/>
          <w:szCs w:val="16"/>
          <w:lang w:val="es-ES" w:eastAsia="es-ES"/>
        </w:rPr>
        <w:t xml:space="preserve">7 </w:t>
      </w:r>
      <w:r>
        <w:rPr>
          <w:rFonts w:ascii="Verdana" w:hAnsi="Verdana" w:cs="Verdana"/>
          <w:i/>
          <w:iCs/>
          <w:sz w:val="16"/>
          <w:szCs w:val="16"/>
          <w:lang w:val="es-ES" w:eastAsia="es-ES"/>
        </w:rPr>
        <w:t>de la parte dispositiva del artículo 7.18 de la Sesión Ordinaria 23-2017 del 07 de junio del 2017, adoptado por la Junta Directiva, ya que la misma, fue presentada hasta el 18 de agosto de 2017 a las 9:00 horas, de conformidad con los motivos fundamentos y exposiciones emitidas anteriormente. (...)"</w:t>
      </w:r>
    </w:p>
    <w:p w:rsidR="00DC4DB9" w:rsidRDefault="0034101A">
      <w:pPr>
        <w:kinsoku w:val="0"/>
        <w:overflowPunct w:val="0"/>
        <w:autoSpaceDE/>
        <w:autoSpaceDN/>
        <w:adjustRightInd/>
        <w:spacing w:before="213" w:line="298" w:lineRule="exact"/>
        <w:ind w:right="144"/>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SEGUNDO: </w:t>
      </w:r>
      <w:r>
        <w:rPr>
          <w:rFonts w:ascii="Verdana" w:hAnsi="Verdana" w:cs="Verdana"/>
          <w:spacing w:val="-2"/>
          <w:sz w:val="24"/>
          <w:szCs w:val="24"/>
          <w:lang w:val="es-ES" w:eastAsia="es-ES"/>
        </w:rPr>
        <w:t xml:space="preserve">La empresa recurrente, impugna el </w:t>
      </w:r>
      <w:r>
        <w:rPr>
          <w:rFonts w:ascii="Verdana" w:hAnsi="Verdana" w:cs="Verdana"/>
          <w:b/>
          <w:bCs/>
          <w:spacing w:val="-2"/>
          <w:sz w:val="24"/>
          <w:szCs w:val="24"/>
          <w:lang w:val="es-ES" w:eastAsia="es-ES"/>
        </w:rPr>
        <w:t xml:space="preserve">acuerdo 7.12.24 de la Sesión Ordinaria 34-2017 de 30 de agosto de 2017, </w:t>
      </w:r>
      <w:r>
        <w:rPr>
          <w:rFonts w:ascii="Verdana" w:hAnsi="Verdana" w:cs="Verdana"/>
          <w:spacing w:val="-2"/>
          <w:sz w:val="24"/>
          <w:szCs w:val="24"/>
          <w:lang w:val="es-ES" w:eastAsia="es-ES"/>
        </w:rPr>
        <w:t xml:space="preserve">indicando en lo conducente, que se le rechaza la solicitud de prórroga para informar cual empresa les realizaría el estudio de evaluación de la calidad, basándose la Junta Directiva del CTP en lo acordado en el </w:t>
      </w:r>
      <w:r>
        <w:rPr>
          <w:rFonts w:ascii="Verdana" w:hAnsi="Verdana" w:cs="Verdana"/>
          <w:b/>
          <w:bCs/>
          <w:spacing w:val="-2"/>
          <w:sz w:val="24"/>
          <w:szCs w:val="24"/>
          <w:lang w:val="es-ES" w:eastAsia="es-ES"/>
        </w:rPr>
        <w:t xml:space="preserve">artículo 7.18 de la Sesión Ordinaria 23-2017 de 7 de junio de 2017, </w:t>
      </w:r>
      <w:r>
        <w:rPr>
          <w:rFonts w:ascii="Verdana" w:hAnsi="Verdana" w:cs="Verdana"/>
          <w:spacing w:val="-2"/>
          <w:sz w:val="24"/>
          <w:szCs w:val="24"/>
          <w:lang w:val="es-ES" w:eastAsia="es-ES"/>
        </w:rPr>
        <w:t>no obstante, omitió dicho cuerpo colegiado y la Dirección de Asuntos Jurídicos quien preparó el informe técnico que sustento el acto que se recurre, que dicho plazo del 1 de agosto de 2017 para presentar la solicitud de extensión de plazo no</w:t>
      </w:r>
    </w:p>
    <w:p w:rsidR="00DC4DB9" w:rsidRDefault="00DC4DB9">
      <w:pPr>
        <w:widowControl/>
        <w:rPr>
          <w:sz w:val="24"/>
          <w:szCs w:val="24"/>
        </w:rPr>
        <w:sectPr w:rsidR="00DC4DB9">
          <w:pgSz w:w="12283" w:h="15763"/>
          <w:pgMar w:top="1480" w:right="1457" w:bottom="171" w:left="1786" w:header="720" w:footer="720" w:gutter="0"/>
          <w:cols w:space="720"/>
          <w:noEndnote/>
        </w:sectPr>
      </w:pPr>
    </w:p>
    <w:p w:rsidR="00DC4DB9" w:rsidRDefault="0034101A">
      <w:pPr>
        <w:kinsoku w:val="0"/>
        <w:overflowPunct w:val="0"/>
        <w:autoSpaceDE/>
        <w:autoSpaceDN/>
        <w:adjustRightInd/>
        <w:spacing w:before="38" w:line="287"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 xml:space="preserve">era perentorio sino </w:t>
      </w:r>
      <w:proofErr w:type="spellStart"/>
      <w:r>
        <w:rPr>
          <w:rFonts w:ascii="Verdana" w:hAnsi="Verdana" w:cs="Verdana"/>
          <w:sz w:val="24"/>
          <w:szCs w:val="24"/>
          <w:lang w:val="es-ES" w:eastAsia="es-ES"/>
        </w:rPr>
        <w:t>orden</w:t>
      </w:r>
      <w:r w:rsidR="005B1D1F">
        <w:rPr>
          <w:rFonts w:ascii="Verdana" w:hAnsi="Verdana" w:cs="Verdana"/>
          <w:sz w:val="24"/>
          <w:szCs w:val="24"/>
          <w:lang w:val="es-ES" w:eastAsia="es-ES"/>
        </w:rPr>
        <w:t>a</w:t>
      </w:r>
      <w:r>
        <w:rPr>
          <w:rFonts w:ascii="Verdana" w:hAnsi="Verdana" w:cs="Verdana"/>
          <w:sz w:val="24"/>
          <w:szCs w:val="24"/>
          <w:lang w:val="es-ES" w:eastAsia="es-ES"/>
        </w:rPr>
        <w:t>torio</w:t>
      </w:r>
      <w:proofErr w:type="spellEnd"/>
      <w:r>
        <w:rPr>
          <w:rFonts w:ascii="Verdana" w:hAnsi="Verdana" w:cs="Verdana"/>
          <w:sz w:val="24"/>
          <w:szCs w:val="24"/>
          <w:lang w:val="es-ES" w:eastAsia="es-ES"/>
        </w:rPr>
        <w:t xml:space="preserve">, por haberlo decidido así la misma Junta Directiva del Consejo de Transporte Público, mediante </w:t>
      </w:r>
      <w:r>
        <w:rPr>
          <w:rFonts w:ascii="Verdana" w:hAnsi="Verdana" w:cs="Verdana"/>
          <w:b/>
          <w:bCs/>
          <w:sz w:val="24"/>
          <w:szCs w:val="24"/>
          <w:lang w:val="es-ES" w:eastAsia="es-ES"/>
        </w:rPr>
        <w:t xml:space="preserve">acuerdo 5.1 de la Sesión Ordinaria 30-2017 del 26 de julio de 2017, </w:t>
      </w:r>
      <w:r>
        <w:rPr>
          <w:rFonts w:ascii="Verdana" w:hAnsi="Verdana" w:cs="Verdana"/>
          <w:sz w:val="24"/>
          <w:szCs w:val="24"/>
          <w:lang w:val="es-ES" w:eastAsia="es-ES"/>
        </w:rPr>
        <w:t>por tal razón solicita sea revocado el acto impugnado. (Léanse folios 8 vuelto y 9 frente y vuelto del expediente administrativo)</w:t>
      </w:r>
    </w:p>
    <w:p w:rsidR="00DC4DB9" w:rsidRDefault="0034101A">
      <w:pPr>
        <w:kinsoku w:val="0"/>
        <w:overflowPunct w:val="0"/>
        <w:autoSpaceDE/>
        <w:autoSpaceDN/>
        <w:adjustRightInd/>
        <w:spacing w:before="294" w:line="292" w:lineRule="exact"/>
        <w:ind w:left="72" w:right="72"/>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TERCERO: </w:t>
      </w:r>
      <w:r>
        <w:rPr>
          <w:rFonts w:ascii="Verdana" w:hAnsi="Verdana" w:cs="Verdana"/>
          <w:spacing w:val="-2"/>
          <w:sz w:val="24"/>
          <w:szCs w:val="24"/>
          <w:lang w:val="es-ES" w:eastAsia="es-ES"/>
        </w:rPr>
        <w:t xml:space="preserve">La Junta Directiva del Consejo de Transporte Público mediante </w:t>
      </w:r>
      <w:r>
        <w:rPr>
          <w:rFonts w:ascii="Verdana" w:hAnsi="Verdana" w:cs="Verdana"/>
          <w:b/>
          <w:bCs/>
          <w:spacing w:val="-2"/>
          <w:sz w:val="24"/>
          <w:szCs w:val="24"/>
          <w:lang w:val="es-ES" w:eastAsia="es-ES"/>
        </w:rPr>
        <w:t xml:space="preserve">acuerdo 7.6.5 de la Sesión Ordinaria 17-2018 de 3 de mayo de 2018, </w:t>
      </w:r>
      <w:r>
        <w:rPr>
          <w:rFonts w:ascii="Verdana" w:hAnsi="Verdana" w:cs="Verdana"/>
          <w:spacing w:val="-2"/>
          <w:sz w:val="24"/>
          <w:szCs w:val="24"/>
          <w:lang w:val="es-ES" w:eastAsia="es-ES"/>
        </w:rPr>
        <w:t xml:space="preserve">conoce y avala el Informe de la Dirección de Asuntos Jurídicos el </w:t>
      </w:r>
      <w:r>
        <w:rPr>
          <w:rFonts w:ascii="Verdana" w:hAnsi="Verdana" w:cs="Verdana"/>
          <w:b/>
          <w:bCs/>
          <w:spacing w:val="-2"/>
          <w:sz w:val="24"/>
          <w:szCs w:val="24"/>
          <w:lang w:val="es-ES" w:eastAsia="es-ES"/>
        </w:rPr>
        <w:t>D</w:t>
      </w:r>
      <w:r w:rsidR="005B1D1F">
        <w:rPr>
          <w:rFonts w:ascii="Verdana" w:hAnsi="Verdana" w:cs="Verdana"/>
          <w:b/>
          <w:bCs/>
          <w:spacing w:val="-2"/>
          <w:sz w:val="24"/>
          <w:szCs w:val="24"/>
          <w:lang w:val="es-ES" w:eastAsia="es-ES"/>
        </w:rPr>
        <w:t>AJ</w:t>
      </w:r>
      <w:r>
        <w:rPr>
          <w:rFonts w:ascii="Verdana" w:hAnsi="Verdana" w:cs="Verdana"/>
          <w:b/>
          <w:bCs/>
          <w:spacing w:val="-2"/>
          <w:sz w:val="24"/>
          <w:szCs w:val="24"/>
          <w:lang w:val="es-ES" w:eastAsia="es-ES"/>
        </w:rPr>
        <w:t xml:space="preserve">- 2018-000722 de 23 de abril de 2018, </w:t>
      </w:r>
      <w:r>
        <w:rPr>
          <w:rFonts w:ascii="Verdana" w:hAnsi="Verdana" w:cs="Verdana"/>
          <w:spacing w:val="-2"/>
          <w:sz w:val="24"/>
          <w:szCs w:val="24"/>
          <w:lang w:val="es-ES" w:eastAsia="es-ES"/>
        </w:rPr>
        <w:t>y dispone rechazar por improcedente el Recurso de Revocatoria y la Nulidad concomitante presentada por la Recurrente, por considerar que la actuación del Consejo de Transporte Público se dio dentro del marco de la Legalidad. (Léanse folios del 2 al 7 del expediente administrativo.)</w:t>
      </w:r>
    </w:p>
    <w:p w:rsidR="00DC4DB9" w:rsidRDefault="0034101A">
      <w:pPr>
        <w:kinsoku w:val="0"/>
        <w:overflowPunct w:val="0"/>
        <w:autoSpaceDE/>
        <w:autoSpaceDN/>
        <w:adjustRightInd/>
        <w:spacing w:before="300" w:line="292" w:lineRule="exact"/>
        <w:ind w:left="72" w:right="72"/>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CUARTO: </w:t>
      </w:r>
      <w:r>
        <w:rPr>
          <w:rFonts w:ascii="Verdana" w:hAnsi="Verdana" w:cs="Verdana"/>
          <w:spacing w:val="-2"/>
          <w:sz w:val="24"/>
          <w:szCs w:val="24"/>
          <w:lang w:val="es-ES" w:eastAsia="es-ES"/>
        </w:rPr>
        <w:t xml:space="preserve">La Junta Directiva del Consejo de Transporte Público, mediante </w:t>
      </w:r>
      <w:r>
        <w:rPr>
          <w:rFonts w:ascii="Verdana" w:hAnsi="Verdana" w:cs="Verdana"/>
          <w:b/>
          <w:bCs/>
          <w:spacing w:val="-2"/>
          <w:sz w:val="24"/>
          <w:szCs w:val="24"/>
          <w:lang w:val="es-ES" w:eastAsia="es-ES"/>
        </w:rPr>
        <w:t xml:space="preserve">acuerdo 7.18 de la Sesión Ordinaria 23-2017 de 7 de junio de 2017, </w:t>
      </w:r>
      <w:r>
        <w:rPr>
          <w:rFonts w:ascii="Verdana" w:hAnsi="Verdana" w:cs="Verdana"/>
          <w:spacing w:val="-2"/>
          <w:sz w:val="24"/>
          <w:szCs w:val="24"/>
          <w:lang w:val="es-ES" w:eastAsia="es-ES"/>
        </w:rPr>
        <w:t>dispuso: (Léanse folios 38 y 39 del expediente administrativo)</w:t>
      </w:r>
    </w:p>
    <w:p w:rsidR="00DC4DB9" w:rsidRDefault="0034101A">
      <w:pPr>
        <w:kinsoku w:val="0"/>
        <w:overflowPunct w:val="0"/>
        <w:autoSpaceDE/>
        <w:autoSpaceDN/>
        <w:adjustRightInd/>
        <w:spacing w:before="229" w:line="196" w:lineRule="exact"/>
        <w:ind w:left="432" w:right="432"/>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"ARTICULO 7.18.- </w:t>
      </w:r>
      <w:r>
        <w:rPr>
          <w:rFonts w:ascii="Verdana" w:hAnsi="Verdana" w:cs="Verdana"/>
          <w:i/>
          <w:iCs/>
          <w:sz w:val="16"/>
          <w:szCs w:val="16"/>
          <w:lang w:val="es-ES" w:eastAsia="es-ES"/>
        </w:rPr>
        <w:t xml:space="preserve">Se conoce oficio </w:t>
      </w:r>
      <w:r>
        <w:rPr>
          <w:rFonts w:ascii="Verdana" w:hAnsi="Verdana" w:cs="Verdana"/>
          <w:b/>
          <w:bCs/>
          <w:i/>
          <w:iCs/>
          <w:sz w:val="16"/>
          <w:szCs w:val="16"/>
          <w:lang w:val="es-ES" w:eastAsia="es-ES"/>
        </w:rPr>
        <w:t xml:space="preserve">DTE 2017-0317, </w:t>
      </w:r>
      <w:r>
        <w:rPr>
          <w:rFonts w:ascii="Verdana" w:hAnsi="Verdana" w:cs="Verdana"/>
          <w:i/>
          <w:iCs/>
          <w:sz w:val="16"/>
          <w:szCs w:val="16"/>
          <w:lang w:val="es-ES" w:eastAsia="es-ES"/>
        </w:rPr>
        <w:t xml:space="preserve">referido a la </w:t>
      </w:r>
      <w:r>
        <w:rPr>
          <w:rFonts w:ascii="Verdana" w:hAnsi="Verdana" w:cs="Verdana"/>
          <w:b/>
          <w:bCs/>
          <w:i/>
          <w:iCs/>
          <w:sz w:val="16"/>
          <w:szCs w:val="16"/>
          <w:lang w:val="es-ES" w:eastAsia="es-ES"/>
        </w:rPr>
        <w:t xml:space="preserve">Revisión del Manual para la Evaluación y Calificación de la Calidad del Servicio Público de Transporte Remunerado de Personas, </w:t>
      </w:r>
      <w:r>
        <w:rPr>
          <w:rFonts w:ascii="Verdana" w:hAnsi="Verdana" w:cs="Verdana"/>
          <w:i/>
          <w:iCs/>
          <w:sz w:val="16"/>
          <w:szCs w:val="16"/>
          <w:lang w:val="es-ES" w:eastAsia="es-ES"/>
        </w:rPr>
        <w:t>tal y como lo establece el artículo 30 del Decreto Ejecutivo No. 28833-MOPT y sus reformas.</w:t>
      </w:r>
    </w:p>
    <w:p w:rsidR="00DC4DB9" w:rsidRDefault="0034101A">
      <w:pPr>
        <w:kinsoku w:val="0"/>
        <w:overflowPunct w:val="0"/>
        <w:autoSpaceDE/>
        <w:autoSpaceDN/>
        <w:adjustRightInd/>
        <w:spacing w:before="197" w:line="193" w:lineRule="exact"/>
        <w:ind w:left="432"/>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CONSIDERANDO:</w:t>
      </w:r>
    </w:p>
    <w:p w:rsidR="00DC4DB9" w:rsidRDefault="0034101A">
      <w:pPr>
        <w:kinsoku w:val="0"/>
        <w:overflowPunct w:val="0"/>
        <w:autoSpaceDE/>
        <w:autoSpaceDN/>
        <w:adjustRightInd/>
        <w:spacing w:before="194" w:line="196" w:lineRule="exact"/>
        <w:ind w:left="432" w:right="432"/>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PRIMERO: </w:t>
      </w:r>
      <w:r>
        <w:rPr>
          <w:rFonts w:ascii="Verdana" w:hAnsi="Verdana" w:cs="Verdana"/>
          <w:i/>
          <w:iCs/>
          <w:sz w:val="16"/>
          <w:szCs w:val="16"/>
          <w:lang w:val="es-ES" w:eastAsia="es-ES"/>
        </w:rPr>
        <w:t>Mediante el artículo 8.1 de la sesión ordinaria 20-2017, la Junta Directiva integró formalmente la Comisión encargada de la revisión del Modelo y Manual de Calidad, de conformidad con lo establecido en el Decreto Ejecutivo No. 28833-MOPT, mismo que establece los criterios de evaluación en cuanto a la calidad del servicio del transporte público.</w:t>
      </w:r>
    </w:p>
    <w:p w:rsidR="00DC4DB9" w:rsidRDefault="0034101A">
      <w:pPr>
        <w:kinsoku w:val="0"/>
        <w:overflowPunct w:val="0"/>
        <w:autoSpaceDE/>
        <w:autoSpaceDN/>
        <w:adjustRightInd/>
        <w:spacing w:before="202" w:line="191" w:lineRule="exact"/>
        <w:ind w:left="432" w:right="432"/>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SEGUNDO: </w:t>
      </w:r>
      <w:r>
        <w:rPr>
          <w:rFonts w:ascii="Verdana" w:hAnsi="Verdana" w:cs="Verdana"/>
          <w:i/>
          <w:iCs/>
          <w:sz w:val="16"/>
          <w:szCs w:val="16"/>
          <w:lang w:val="es-ES" w:eastAsia="es-ES"/>
        </w:rPr>
        <w:t xml:space="preserve">Este Órgano Colegiado procede analizar el oficio </w:t>
      </w:r>
      <w:r>
        <w:rPr>
          <w:rFonts w:ascii="Verdana" w:hAnsi="Verdana" w:cs="Verdana"/>
          <w:b/>
          <w:bCs/>
          <w:i/>
          <w:iCs/>
          <w:sz w:val="16"/>
          <w:szCs w:val="16"/>
          <w:lang w:val="es-ES" w:eastAsia="es-ES"/>
        </w:rPr>
        <w:t xml:space="preserve">DTE 2017-0317, </w:t>
      </w:r>
      <w:r>
        <w:rPr>
          <w:rFonts w:ascii="Verdana" w:hAnsi="Verdana" w:cs="Verdana"/>
          <w:i/>
          <w:iCs/>
          <w:sz w:val="16"/>
          <w:szCs w:val="16"/>
          <w:lang w:val="es-ES" w:eastAsia="es-ES"/>
        </w:rPr>
        <w:t xml:space="preserve">referido a la </w:t>
      </w:r>
      <w:r>
        <w:rPr>
          <w:rFonts w:ascii="Verdana" w:hAnsi="Verdana" w:cs="Verdana"/>
          <w:b/>
          <w:bCs/>
          <w:i/>
          <w:iCs/>
          <w:sz w:val="16"/>
          <w:szCs w:val="16"/>
          <w:lang w:val="es-ES" w:eastAsia="es-ES"/>
        </w:rPr>
        <w:t xml:space="preserve">Revisión del Manual para la Evaluación y Calificación de la Calidad del Servicio Público de Transporte Remunerado de Personas, </w:t>
      </w:r>
      <w:proofErr w:type="spellStart"/>
      <w:r>
        <w:rPr>
          <w:rFonts w:ascii="Verdana" w:hAnsi="Verdana" w:cs="Verdana"/>
          <w:i/>
          <w:iCs/>
          <w:sz w:val="16"/>
          <w:szCs w:val="16"/>
          <w:lang w:val="es-ES" w:eastAsia="es-ES"/>
        </w:rPr>
        <w:t>mocionándose</w:t>
      </w:r>
      <w:proofErr w:type="spellEnd"/>
      <w:r>
        <w:rPr>
          <w:rFonts w:ascii="Verdana" w:hAnsi="Verdana" w:cs="Verdana"/>
          <w:i/>
          <w:iCs/>
          <w:sz w:val="16"/>
          <w:szCs w:val="16"/>
          <w:lang w:val="es-ES" w:eastAsia="es-ES"/>
        </w:rPr>
        <w:t xml:space="preserve"> para acoger las recomendaciones contenidas en el oficio dicho, en lo atinente a la revisión del Manual para la aplicación del Modelo de Calidad del Servicio para el período 2017, basados en los fundamentos, motivos y contenidos, desarrollados en dicha herramienta técnica.</w:t>
      </w:r>
    </w:p>
    <w:p w:rsidR="00DC4DB9" w:rsidRDefault="0034101A">
      <w:pPr>
        <w:kinsoku w:val="0"/>
        <w:overflowPunct w:val="0"/>
        <w:autoSpaceDE/>
        <w:autoSpaceDN/>
        <w:adjustRightInd/>
        <w:spacing w:before="182" w:line="196" w:lineRule="exact"/>
        <w:ind w:left="432" w:right="432"/>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TERCERO: </w:t>
      </w:r>
      <w:r>
        <w:rPr>
          <w:rFonts w:ascii="Verdana" w:hAnsi="Verdana" w:cs="Verdana"/>
          <w:i/>
          <w:iCs/>
          <w:sz w:val="16"/>
          <w:szCs w:val="16"/>
          <w:lang w:val="es-ES" w:eastAsia="es-ES"/>
        </w:rPr>
        <w:t>Luego de las reuniones sostenidas con los integrantes de dicha Comisión, se logró un instrumento transitorio de consenso, con aplicación para el año 2017, el cual contiene las disposiciones generales que deben de ser aprobadas por la Junta Directiva, las cuales están basadas en aspectos técnicos vinculados a la materia, una vez que el Manual sea aprobado conforme a la recomendación de la Comisión.</w:t>
      </w:r>
    </w:p>
    <w:p w:rsidR="00DC4DB9" w:rsidRDefault="0034101A">
      <w:pPr>
        <w:kinsoku w:val="0"/>
        <w:overflowPunct w:val="0"/>
        <w:autoSpaceDE/>
        <w:autoSpaceDN/>
        <w:adjustRightInd/>
        <w:spacing w:before="201" w:line="196" w:lineRule="exact"/>
        <w:ind w:left="432" w:right="432"/>
        <w:jc w:val="both"/>
        <w:textAlignment w:val="baseline"/>
        <w:rPr>
          <w:rFonts w:ascii="Verdana" w:hAnsi="Verdana" w:cs="Verdana"/>
          <w:i/>
          <w:iCs/>
          <w:spacing w:val="-1"/>
          <w:sz w:val="16"/>
          <w:szCs w:val="16"/>
          <w:lang w:val="es-ES" w:eastAsia="es-ES"/>
        </w:rPr>
      </w:pPr>
      <w:r>
        <w:rPr>
          <w:rFonts w:ascii="Verdana" w:hAnsi="Verdana" w:cs="Verdana"/>
          <w:b/>
          <w:bCs/>
          <w:i/>
          <w:iCs/>
          <w:spacing w:val="-1"/>
          <w:sz w:val="16"/>
          <w:szCs w:val="16"/>
          <w:lang w:val="es-ES" w:eastAsia="es-ES"/>
        </w:rPr>
        <w:t xml:space="preserve">CUARTO: </w:t>
      </w:r>
      <w:r>
        <w:rPr>
          <w:rFonts w:ascii="Verdana" w:hAnsi="Verdana" w:cs="Verdana"/>
          <w:i/>
          <w:iCs/>
          <w:spacing w:val="-1"/>
          <w:sz w:val="16"/>
          <w:szCs w:val="16"/>
          <w:lang w:val="es-ES" w:eastAsia="es-ES"/>
        </w:rPr>
        <w:t xml:space="preserve">Los cambios medulares del Manual, se resumen en la variación de los porcentajes de la evaluación final de las notas por criterios ("criterio o", que es el </w:t>
      </w:r>
      <w:r>
        <w:rPr>
          <w:rFonts w:ascii="Verdana" w:hAnsi="Verdana" w:cs="Verdana"/>
          <w:b/>
          <w:bCs/>
          <w:i/>
          <w:iCs/>
          <w:spacing w:val="-1"/>
          <w:sz w:val="16"/>
          <w:szCs w:val="16"/>
          <w:lang w:val="es-ES" w:eastAsia="es-ES"/>
        </w:rPr>
        <w:t xml:space="preserve">operativo; </w:t>
      </w:r>
      <w:r>
        <w:rPr>
          <w:rFonts w:ascii="Verdana" w:hAnsi="Verdana" w:cs="Verdana"/>
          <w:i/>
          <w:iCs/>
          <w:spacing w:val="-1"/>
          <w:sz w:val="16"/>
          <w:szCs w:val="16"/>
          <w:lang w:val="es-ES" w:eastAsia="es-ES"/>
        </w:rPr>
        <w:t xml:space="preserve">el "criterio a" que es el de la </w:t>
      </w:r>
      <w:r>
        <w:rPr>
          <w:rFonts w:ascii="Verdana" w:hAnsi="Verdana" w:cs="Verdana"/>
          <w:b/>
          <w:bCs/>
          <w:i/>
          <w:iCs/>
          <w:spacing w:val="-1"/>
          <w:sz w:val="16"/>
          <w:szCs w:val="16"/>
          <w:lang w:val="es-ES" w:eastAsia="es-ES"/>
        </w:rPr>
        <w:t xml:space="preserve">Administración; </w:t>
      </w:r>
      <w:r>
        <w:rPr>
          <w:rFonts w:ascii="Verdana" w:hAnsi="Verdana" w:cs="Verdana"/>
          <w:i/>
          <w:iCs/>
          <w:spacing w:val="-1"/>
          <w:sz w:val="16"/>
          <w:szCs w:val="16"/>
          <w:lang w:val="es-ES" w:eastAsia="es-ES"/>
        </w:rPr>
        <w:t xml:space="preserve">y el "criterio u" que es el del </w:t>
      </w:r>
      <w:r>
        <w:rPr>
          <w:rFonts w:ascii="Verdana" w:hAnsi="Verdana" w:cs="Verdana"/>
          <w:b/>
          <w:bCs/>
          <w:i/>
          <w:iCs/>
          <w:spacing w:val="-1"/>
          <w:sz w:val="16"/>
          <w:szCs w:val="16"/>
          <w:lang w:val="es-ES" w:eastAsia="es-ES"/>
        </w:rPr>
        <w:t xml:space="preserve">usuario) </w:t>
      </w:r>
      <w:r>
        <w:rPr>
          <w:rFonts w:ascii="Verdana" w:hAnsi="Verdana" w:cs="Verdana"/>
          <w:i/>
          <w:iCs/>
          <w:spacing w:val="-1"/>
          <w:sz w:val="16"/>
          <w:szCs w:val="16"/>
          <w:lang w:val="es-ES" w:eastAsia="es-ES"/>
        </w:rPr>
        <w:t>en el peso relativo, siendo que al operador se le está asignando un 45%; en cuanto a la encuesta del Usuario, otro 45%; y finalmente un 10% al peso relativo de la, Administración. Estos pesos relativos pueden variar año con año.</w:t>
      </w:r>
    </w:p>
    <w:p w:rsidR="00DC4DB9" w:rsidRDefault="0034101A">
      <w:pPr>
        <w:kinsoku w:val="0"/>
        <w:overflowPunct w:val="0"/>
        <w:autoSpaceDE/>
        <w:autoSpaceDN/>
        <w:adjustRightInd/>
        <w:spacing w:before="220" w:line="196" w:lineRule="exact"/>
        <w:ind w:left="432" w:right="432"/>
        <w:jc w:val="both"/>
        <w:textAlignment w:val="baseline"/>
        <w:rPr>
          <w:rFonts w:ascii="Verdana" w:hAnsi="Verdana" w:cs="Verdana"/>
          <w:i/>
          <w:iCs/>
          <w:spacing w:val="-1"/>
          <w:sz w:val="16"/>
          <w:szCs w:val="16"/>
          <w:lang w:val="es-ES" w:eastAsia="es-ES"/>
        </w:rPr>
      </w:pPr>
      <w:r>
        <w:rPr>
          <w:rFonts w:ascii="Verdana" w:hAnsi="Verdana" w:cs="Verdana"/>
          <w:b/>
          <w:bCs/>
          <w:i/>
          <w:iCs/>
          <w:spacing w:val="-1"/>
          <w:sz w:val="16"/>
          <w:szCs w:val="16"/>
          <w:lang w:val="es-ES" w:eastAsia="es-ES"/>
        </w:rPr>
        <w:t xml:space="preserve">QUINTO: </w:t>
      </w:r>
      <w:r>
        <w:rPr>
          <w:rFonts w:ascii="Verdana" w:hAnsi="Verdana" w:cs="Verdana"/>
          <w:i/>
          <w:iCs/>
          <w:spacing w:val="-1"/>
          <w:sz w:val="16"/>
          <w:szCs w:val="16"/>
          <w:lang w:val="es-ES" w:eastAsia="es-ES"/>
        </w:rPr>
        <w:t>En razón de todo lo anterior, lo que se recomienda y se somete a conocimiento de la Junta Directiva es la aprobación de las consideraciones generales para la contratación de Organismos de Inspección y del Manual para la Evaluación de la Calidad para el año 2017. También se somete a conocimiento de esta Junta Directiva la recomendación del valor del peso relativo dado a los diferentes criterios anteriormente mencionados. Adicionalmente, de conformidad con el artículo 21 del Decreto Ejecutivo No. 28833-MOPT, y a lo expresado por la ARESEP en el oficio No. 1369-IT-2016/135423-2016 del 31 de agosto del 2016, referido a que el costo del estudio será reconocido tarifariamente, se debe disponer su reconocimiento por parte de la Junta Directiva, en relación con la contratación que realicen los concesionarios y permisionarios con los Organismos de Inspección acreditados ante el ECA. Asimismo, procede destacar la aprobación del punto particular de las Disposiciones Generales para el año 2017, en relación a las excepciones y dispensas del requisito de</w:t>
      </w:r>
    </w:p>
    <w:p w:rsidR="00DC4DB9" w:rsidRDefault="00DC4DB9">
      <w:pPr>
        <w:widowControl/>
        <w:rPr>
          <w:sz w:val="24"/>
          <w:szCs w:val="24"/>
        </w:rPr>
        <w:sectPr w:rsidR="00DC4DB9">
          <w:pgSz w:w="12283" w:h="15763"/>
          <w:pgMar w:top="740" w:right="1600" w:bottom="327" w:left="1643" w:header="720" w:footer="720" w:gutter="0"/>
          <w:cols w:space="720"/>
          <w:noEndnote/>
        </w:sectPr>
      </w:pPr>
    </w:p>
    <w:p w:rsidR="00DC4DB9" w:rsidRDefault="0034101A">
      <w:pPr>
        <w:kinsoku w:val="0"/>
        <w:overflowPunct w:val="0"/>
        <w:autoSpaceDE/>
        <w:autoSpaceDN/>
        <w:adjustRightInd/>
        <w:spacing w:before="11" w:line="191"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lastRenderedPageBreak/>
        <w:t>contratación de Organismos de Inspección acreditados ante el EC, así como deberá ponderarse y definirse el mecanismo por el cual, se procederá a reconocer dichos estudios.</w:t>
      </w:r>
    </w:p>
    <w:p w:rsidR="00DC4DB9" w:rsidRDefault="0034101A">
      <w:pPr>
        <w:kinsoku w:val="0"/>
        <w:overflowPunct w:val="0"/>
        <w:autoSpaceDE/>
        <w:autoSpaceDN/>
        <w:adjustRightInd/>
        <w:spacing w:before="184" w:line="195" w:lineRule="exact"/>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POR TANTO, SE ACUERDA:</w:t>
      </w:r>
    </w:p>
    <w:p w:rsidR="00DC4DB9" w:rsidRDefault="0034101A">
      <w:pPr>
        <w:numPr>
          <w:ilvl w:val="0"/>
          <w:numId w:val="1"/>
        </w:numPr>
        <w:kinsoku w:val="0"/>
        <w:overflowPunct w:val="0"/>
        <w:autoSpaceDE/>
        <w:autoSpaceDN/>
        <w:adjustRightInd/>
        <w:spacing w:before="200" w:line="191"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basados en los fundamentos, motivos y contenidos, desarrollados en los considerandos del oficio </w:t>
      </w:r>
      <w:r>
        <w:rPr>
          <w:rFonts w:ascii="Verdana" w:hAnsi="Verdana" w:cs="Verdana"/>
          <w:b/>
          <w:bCs/>
          <w:i/>
          <w:iCs/>
          <w:sz w:val="16"/>
          <w:szCs w:val="16"/>
          <w:lang w:val="es-ES" w:eastAsia="es-ES"/>
        </w:rPr>
        <w:t xml:space="preserve">DTE 2017-0317, </w:t>
      </w:r>
      <w:r>
        <w:rPr>
          <w:rFonts w:ascii="Verdana" w:hAnsi="Verdana" w:cs="Verdana"/>
          <w:i/>
          <w:iCs/>
          <w:sz w:val="16"/>
          <w:szCs w:val="16"/>
          <w:lang w:val="es-ES" w:eastAsia="es-ES"/>
        </w:rPr>
        <w:t>todas las recomendaciones contenidas en el oficio dicho, el cual forma parte integral de este acuerdo.</w:t>
      </w:r>
    </w:p>
    <w:p w:rsidR="00DC4DB9" w:rsidRDefault="0034101A">
      <w:pPr>
        <w:numPr>
          <w:ilvl w:val="0"/>
          <w:numId w:val="1"/>
        </w:numPr>
        <w:kinsoku w:val="0"/>
        <w:overflowPunct w:val="0"/>
        <w:autoSpaceDE/>
        <w:autoSpaceDN/>
        <w:adjustRightInd/>
        <w:spacing w:before="215" w:line="191"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DC4DB9" w:rsidRDefault="0034101A">
      <w:pPr>
        <w:numPr>
          <w:ilvl w:val="0"/>
          <w:numId w:val="1"/>
        </w:numPr>
        <w:kinsoku w:val="0"/>
        <w:overflowPunct w:val="0"/>
        <w:autoSpaceDE/>
        <w:autoSpaceDN/>
        <w:adjustRightInd/>
        <w:spacing w:before="204" w:line="191"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las Consideraciones Generales para la Contratación de Organismos de Inspección para la evaluación del período 2017, en su totalidad.</w:t>
      </w:r>
    </w:p>
    <w:p w:rsidR="00DC4DB9" w:rsidRDefault="0034101A">
      <w:pPr>
        <w:numPr>
          <w:ilvl w:val="0"/>
          <w:numId w:val="1"/>
        </w:numPr>
        <w:kinsoku w:val="0"/>
        <w:overflowPunct w:val="0"/>
        <w:autoSpaceDE/>
        <w:autoSpaceDN/>
        <w:adjustRightInd/>
        <w:spacing w:before="230" w:line="191"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la recomendación dada por la Comisión revisión del </w:t>
      </w:r>
      <w:r>
        <w:rPr>
          <w:rFonts w:ascii="Verdana" w:hAnsi="Verdana" w:cs="Verdana"/>
          <w:b/>
          <w:bCs/>
          <w:i/>
          <w:iCs/>
          <w:sz w:val="16"/>
          <w:szCs w:val="16"/>
          <w:lang w:val="es-ES" w:eastAsia="es-ES"/>
        </w:rPr>
        <w:t xml:space="preserve">Manual para la Evaluación y Calificación de la Calidad del Servicio Público de Transporte Remunerado de Personas, </w:t>
      </w:r>
      <w:r>
        <w:rPr>
          <w:rFonts w:ascii="Verdana" w:hAnsi="Verdana" w:cs="Verdana"/>
          <w:i/>
          <w:iCs/>
          <w:sz w:val="16"/>
          <w:szCs w:val="16"/>
          <w:lang w:val="es-ES" w:eastAsia="es-ES"/>
        </w:rPr>
        <w:t xml:space="preserve">relacionada con el valor del peso relativo dado a los diferentes criterios, quedando el mismo de la siguiente manera: "Criterio O", que es el </w:t>
      </w:r>
      <w:r>
        <w:rPr>
          <w:rFonts w:ascii="Verdana" w:hAnsi="Verdana" w:cs="Verdana"/>
          <w:b/>
          <w:bCs/>
          <w:i/>
          <w:iCs/>
          <w:sz w:val="16"/>
          <w:szCs w:val="16"/>
          <w:lang w:val="es-ES" w:eastAsia="es-ES"/>
        </w:rPr>
        <w:t xml:space="preserve">operativo, </w:t>
      </w:r>
      <w:r>
        <w:rPr>
          <w:rFonts w:ascii="Verdana" w:hAnsi="Verdana" w:cs="Verdana"/>
          <w:i/>
          <w:iCs/>
          <w:sz w:val="16"/>
          <w:szCs w:val="16"/>
          <w:lang w:val="es-ES" w:eastAsia="es-ES"/>
        </w:rPr>
        <w:t xml:space="preserve">un 45%; el "Criterio A" que es el de la </w:t>
      </w:r>
      <w:r>
        <w:rPr>
          <w:rFonts w:ascii="Verdana" w:hAnsi="Verdana" w:cs="Verdana"/>
          <w:b/>
          <w:bCs/>
          <w:i/>
          <w:iCs/>
          <w:sz w:val="16"/>
          <w:szCs w:val="16"/>
          <w:lang w:val="es-ES" w:eastAsia="es-ES"/>
        </w:rPr>
        <w:t xml:space="preserve">Administración, </w:t>
      </w:r>
      <w:r>
        <w:rPr>
          <w:rFonts w:ascii="Verdana" w:hAnsi="Verdana" w:cs="Verdana"/>
          <w:i/>
          <w:iCs/>
          <w:sz w:val="16"/>
          <w:szCs w:val="16"/>
          <w:lang w:val="es-ES" w:eastAsia="es-ES"/>
        </w:rPr>
        <w:t xml:space="preserve">un 10%; y el "Criterio U" que es el del </w:t>
      </w:r>
      <w:r>
        <w:rPr>
          <w:rFonts w:ascii="Verdana" w:hAnsi="Verdana" w:cs="Verdana"/>
          <w:b/>
          <w:bCs/>
          <w:i/>
          <w:iCs/>
          <w:sz w:val="16"/>
          <w:szCs w:val="16"/>
          <w:lang w:val="es-ES" w:eastAsia="es-ES"/>
        </w:rPr>
        <w:t xml:space="preserve">usuario, </w:t>
      </w:r>
      <w:r>
        <w:rPr>
          <w:rFonts w:ascii="Verdana" w:hAnsi="Verdana" w:cs="Verdana"/>
          <w:i/>
          <w:iCs/>
          <w:sz w:val="16"/>
          <w:szCs w:val="16"/>
          <w:lang w:val="es-ES" w:eastAsia="es-ES"/>
        </w:rPr>
        <w:t>el restante 45%.</w:t>
      </w:r>
    </w:p>
    <w:p w:rsidR="00DC4DB9" w:rsidRDefault="0034101A">
      <w:pPr>
        <w:numPr>
          <w:ilvl w:val="0"/>
          <w:numId w:val="1"/>
        </w:numPr>
        <w:kinsoku w:val="0"/>
        <w:overflowPunct w:val="0"/>
        <w:autoSpaceDE/>
        <w:autoSpaceDN/>
        <w:adjustRightInd/>
        <w:spacing w:before="229" w:line="191"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w:t>
      </w:r>
    </w:p>
    <w:p w:rsidR="00DC4DB9" w:rsidRDefault="0034101A">
      <w:pPr>
        <w:numPr>
          <w:ilvl w:val="0"/>
          <w:numId w:val="1"/>
        </w:numPr>
        <w:kinsoku w:val="0"/>
        <w:overflowPunct w:val="0"/>
        <w:autoSpaceDE/>
        <w:autoSpaceDN/>
        <w:adjustRightInd/>
        <w:spacing w:before="219" w:after="1" w:line="191" w:lineRule="exact"/>
        <w:jc w:val="both"/>
        <w:textAlignment w:val="baseline"/>
        <w:rPr>
          <w:rFonts w:ascii="Verdana" w:hAnsi="Verdana" w:cs="Verdana"/>
          <w:b/>
          <w:bCs/>
          <w:i/>
          <w:iCs/>
          <w:sz w:val="16"/>
          <w:szCs w:val="16"/>
          <w:u w:val="single"/>
          <w:lang w:val="es-ES" w:eastAsia="es-ES"/>
        </w:rPr>
      </w:pPr>
      <w:r>
        <w:rPr>
          <w:rFonts w:ascii="Verdana" w:hAnsi="Verdana" w:cs="Verdana"/>
          <w:i/>
          <w:iCs/>
          <w:sz w:val="16"/>
          <w:szCs w:val="16"/>
          <w:lang w:val="es-ES" w:eastAsia="es-ES"/>
        </w:rPr>
        <w:t xml:space="preserve">De conformidad con lo establecido en el artículo 16 del Decreto Ejecutivo 28833-MOPT y sus reformas, la realización del estudio, y la entrega del informe de la evaluación </w:t>
      </w:r>
      <w:r>
        <w:rPr>
          <w:rFonts w:ascii="Verdana" w:hAnsi="Verdana" w:cs="Verdana"/>
          <w:b/>
          <w:bCs/>
          <w:i/>
          <w:iCs/>
          <w:sz w:val="16"/>
          <w:szCs w:val="16"/>
          <w:lang w:val="es-ES" w:eastAsia="es-ES"/>
        </w:rPr>
        <w:t xml:space="preserve">debe realizarse en un plazo de 3 meses calendario, </w:t>
      </w:r>
      <w:r>
        <w:rPr>
          <w:rFonts w:ascii="Verdana" w:hAnsi="Verdana" w:cs="Verdana"/>
          <w:i/>
          <w:iCs/>
          <w:sz w:val="16"/>
          <w:szCs w:val="16"/>
          <w:lang w:val="es-ES" w:eastAsia="es-ES"/>
        </w:rPr>
        <w:t xml:space="preserve">contados a partir de la fecha que se notifique al CTP el inicio del proceso de evaluación de conformidad. Los concesionarios y permisionarios - sin excepción - deben </w:t>
      </w:r>
      <w:r>
        <w:rPr>
          <w:rFonts w:ascii="Verdana" w:hAnsi="Verdana" w:cs="Verdana"/>
          <w:b/>
          <w:bCs/>
          <w:i/>
          <w:iCs/>
          <w:sz w:val="16"/>
          <w:szCs w:val="16"/>
          <w:u w:val="single"/>
          <w:lang w:val="es-ES" w:eastAsia="es-ES"/>
        </w:rPr>
        <w:t>comunicar por escrito</w:t>
      </w:r>
      <w:r>
        <w:rPr>
          <w:rFonts w:ascii="Verdana" w:hAnsi="Verdana" w:cs="Verdana"/>
          <w:i/>
          <w:iCs/>
          <w:sz w:val="16"/>
          <w:szCs w:val="16"/>
          <w:lang w:val="es-ES" w:eastAsia="es-ES"/>
        </w:rPr>
        <w:t xml:space="preserve"> al CTP, el inicio del proceso de evaluación de la conformidad, con una antelación de </w:t>
      </w:r>
      <w:r>
        <w:rPr>
          <w:rFonts w:ascii="Verdana" w:hAnsi="Verdana" w:cs="Verdana"/>
          <w:b/>
          <w:bCs/>
          <w:i/>
          <w:iCs/>
          <w:sz w:val="16"/>
          <w:szCs w:val="16"/>
          <w:u w:val="single"/>
          <w:lang w:val="es-ES" w:eastAsia="es-ES"/>
        </w:rPr>
        <w:t>diez días hábiles</w:t>
      </w:r>
      <w:r>
        <w:rPr>
          <w:rFonts w:ascii="Verdana" w:hAnsi="Verdana" w:cs="Verdana"/>
          <w:i/>
          <w:iCs/>
          <w:sz w:val="16"/>
          <w:szCs w:val="16"/>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Pr>
          <w:rFonts w:ascii="Verdana" w:hAnsi="Verdana" w:cs="Verdana"/>
          <w:b/>
          <w:bCs/>
          <w:i/>
          <w:iCs/>
          <w:sz w:val="16"/>
          <w:szCs w:val="16"/>
          <w:u w:val="single"/>
          <w:lang w:val="es-ES" w:eastAsia="es-ES"/>
        </w:rPr>
        <w:t xml:space="preserve">se debe muestrear antes del 31 de </w:t>
      </w:r>
      <w:proofErr w:type="gramStart"/>
      <w:r>
        <w:rPr>
          <w:rFonts w:ascii="Verdana" w:hAnsi="Verdana" w:cs="Verdana"/>
          <w:b/>
          <w:bCs/>
          <w:i/>
          <w:iCs/>
          <w:sz w:val="16"/>
          <w:szCs w:val="16"/>
          <w:u w:val="single"/>
          <w:lang w:val="es-ES" w:eastAsia="es-ES"/>
        </w:rPr>
        <w:t>Diciembre</w:t>
      </w:r>
      <w:proofErr w:type="gramEnd"/>
      <w:r>
        <w:rPr>
          <w:rFonts w:ascii="Verdana" w:hAnsi="Verdana" w:cs="Verdana"/>
          <w:b/>
          <w:bCs/>
          <w:i/>
          <w:iCs/>
          <w:sz w:val="16"/>
          <w:szCs w:val="16"/>
          <w:u w:val="single"/>
          <w:lang w:val="es-ES" w:eastAsia="es-ES"/>
        </w:rPr>
        <w:t xml:space="preserve"> del 2017.</w:t>
      </w:r>
    </w:p>
    <w:p w:rsidR="00DC4DB9" w:rsidRDefault="0034101A">
      <w:pPr>
        <w:numPr>
          <w:ilvl w:val="0"/>
          <w:numId w:val="2"/>
        </w:numPr>
        <w:kinsoku w:val="0"/>
        <w:overflowPunct w:val="0"/>
        <w:autoSpaceDE/>
        <w:autoSpaceDN/>
        <w:adjustRightInd/>
        <w:spacing w:before="242" w:line="189" w:lineRule="exact"/>
        <w:jc w:val="both"/>
        <w:textAlignment w:val="baseline"/>
        <w:rPr>
          <w:rFonts w:ascii="Verdana" w:hAnsi="Verdana" w:cs="Verdana"/>
          <w:b/>
          <w:bCs/>
          <w:i/>
          <w:iCs/>
          <w:spacing w:val="-1"/>
          <w:sz w:val="16"/>
          <w:szCs w:val="16"/>
          <w:lang w:val="es-ES" w:eastAsia="es-ES"/>
        </w:rPr>
      </w:pPr>
      <w:r>
        <w:rPr>
          <w:noProof/>
        </w:rPr>
        <mc:AlternateContent>
          <mc:Choice Requires="wps">
            <w:drawing>
              <wp:anchor distT="0" distB="0" distL="0" distR="0" simplePos="0" relativeHeight="251658240" behindDoc="0" locked="0" layoutInCell="0" allowOverlap="1">
                <wp:simplePos x="0" y="0"/>
                <wp:positionH relativeFrom="page">
                  <wp:posOffset>1883410</wp:posOffset>
                </wp:positionH>
                <wp:positionV relativeFrom="page">
                  <wp:posOffset>5702935</wp:posOffset>
                </wp:positionV>
                <wp:extent cx="3137535" cy="0"/>
                <wp:effectExtent l="0" t="0" r="0" b="0"/>
                <wp:wrapSquare wrapText="bothSides"/>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75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BF499"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48.3pt,449.05pt" to="395.35pt,4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Im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" o:allowincell="f" strokeweight=".7pt">
                <w10:wrap type="square" anchorx="page" anchory="page"/>
              </v:line>
            </w:pict>
          </mc:Fallback>
        </mc:AlternateContent>
      </w:r>
      <w:r>
        <w:rPr>
          <w:rFonts w:ascii="Verdana" w:hAnsi="Verdana" w:cs="Verdana"/>
          <w:b/>
          <w:bCs/>
          <w:i/>
          <w:iCs/>
          <w:spacing w:val="-1"/>
          <w:sz w:val="16"/>
          <w:szCs w:val="16"/>
          <w:u w:val="single"/>
          <w:lang w:val="es-ES" w:eastAsia="es-ES"/>
        </w:rPr>
        <w:t>Se establecen las Excepciones V dispensas del requisito de contratación de Organismos de Inspección Acreditados ante el ECA para el año 2017,</w:t>
      </w:r>
      <w:r>
        <w:rPr>
          <w:rFonts w:ascii="Verdana" w:hAnsi="Verdana" w:cs="Verdana"/>
          <w:i/>
          <w:iCs/>
          <w:spacing w:val="-1"/>
          <w:sz w:val="16"/>
          <w:szCs w:val="16"/>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pacing w:val="-1"/>
          <w:sz w:val="16"/>
          <w:szCs w:val="16"/>
          <w:u w:val="single"/>
          <w:lang w:val="es-ES" w:eastAsia="es-ES"/>
        </w:rPr>
        <w:t xml:space="preserve">improrrogable </w:t>
      </w:r>
      <w:r>
        <w:rPr>
          <w:rFonts w:ascii="Verdana" w:hAnsi="Verdana" w:cs="Verdana"/>
          <w:i/>
          <w:iCs/>
          <w:spacing w:val="-1"/>
          <w:sz w:val="16"/>
          <w:szCs w:val="16"/>
          <w:lang w:val="es-ES" w:eastAsia="es-ES"/>
        </w:rPr>
        <w:t xml:space="preserve"> hasta el </w:t>
      </w:r>
      <w:r>
        <w:rPr>
          <w:rFonts w:ascii="Verdana" w:hAnsi="Verdana" w:cs="Verdana"/>
          <w:b/>
          <w:bCs/>
          <w:i/>
          <w:iCs/>
          <w:spacing w:val="-1"/>
          <w:sz w:val="16"/>
          <w:szCs w:val="16"/>
          <w:u w:val="single"/>
          <w:lang w:val="es-ES" w:eastAsia="es-ES"/>
        </w:rPr>
        <w:t xml:space="preserve">1 de agosto del 2017, </w:t>
      </w:r>
      <w:r>
        <w:rPr>
          <w:rFonts w:ascii="Verdana" w:hAnsi="Verdana" w:cs="Verdana"/>
          <w:i/>
          <w:iCs/>
          <w:spacing w:val="-1"/>
          <w:sz w:val="16"/>
          <w:szCs w:val="16"/>
          <w:u w:val="single"/>
          <w:lang w:val="es-ES" w:eastAsia="es-ES"/>
        </w:rPr>
        <w:t xml:space="preserve">para  demostrar ante el Consejo de Transporte Público, </w:t>
      </w:r>
      <w:r>
        <w:rPr>
          <w:rFonts w:ascii="Verdana" w:hAnsi="Verdana" w:cs="Verdana"/>
          <w:b/>
          <w:bCs/>
          <w:i/>
          <w:iCs/>
          <w:spacing w:val="-1"/>
          <w:sz w:val="16"/>
          <w:szCs w:val="16"/>
          <w:u w:val="single"/>
          <w:lang w:val="es-ES" w:eastAsia="es-ES"/>
        </w:rPr>
        <w:t>la imposibilidad de aplicar la evaluación de inconformidad contratando Organismos de Evaluación acreditados ante el ECA;</w:t>
      </w:r>
      <w:r>
        <w:rPr>
          <w:rFonts w:ascii="Verdana" w:hAnsi="Verdana" w:cs="Verdana"/>
          <w:i/>
          <w:iCs/>
          <w:spacing w:val="-1"/>
          <w:sz w:val="16"/>
          <w:szCs w:val="16"/>
          <w:lang w:val="es-ES" w:eastAsia="es-ES"/>
        </w:rPr>
        <w:t xml:space="preserve"> para lo cual deberán demostrar con </w:t>
      </w:r>
      <w:r>
        <w:rPr>
          <w:rFonts w:ascii="Verdana" w:hAnsi="Verdana" w:cs="Verdana"/>
          <w:b/>
          <w:bCs/>
          <w:i/>
          <w:iCs/>
          <w:spacing w:val="-1"/>
          <w:sz w:val="16"/>
          <w:szCs w:val="16"/>
          <w:u w:val="single"/>
          <w:lang w:val="es-ES" w:eastAsia="es-ES"/>
        </w:rPr>
        <w:t>documentos idóneos,</w:t>
      </w:r>
      <w:r>
        <w:rPr>
          <w:rFonts w:ascii="Verdana" w:hAnsi="Verdana" w:cs="Verdana"/>
          <w:i/>
          <w:iCs/>
          <w:spacing w:val="-1"/>
          <w:sz w:val="16"/>
          <w:szCs w:val="16"/>
          <w:lang w:val="es-ES" w:eastAsia="es-ES"/>
        </w:rPr>
        <w:t xml:space="preserve"> que gestionaron </w:t>
      </w:r>
      <w:r>
        <w:rPr>
          <w:rFonts w:ascii="Verdana" w:hAnsi="Verdana" w:cs="Verdana"/>
          <w:b/>
          <w:bCs/>
          <w:i/>
          <w:iCs/>
          <w:spacing w:val="-1"/>
          <w:sz w:val="16"/>
          <w:szCs w:val="16"/>
          <w:u w:val="single"/>
          <w:lang w:val="es-ES" w:eastAsia="es-ES"/>
        </w:rPr>
        <w:t>ante todos los organismos de  inspección acreditados por el ECA,</w:t>
      </w:r>
      <w:r>
        <w:rPr>
          <w:rFonts w:ascii="Verdana" w:hAnsi="Verdana" w:cs="Verdana"/>
          <w:i/>
          <w:iCs/>
          <w:spacing w:val="-1"/>
          <w:sz w:val="16"/>
          <w:szCs w:val="16"/>
          <w:lang w:val="es-ES" w:eastAsia="es-ES"/>
        </w:rPr>
        <w:t xml:space="preserve"> la cotización para la realización y levantamiento del estudio de calidad del año 2017, </w:t>
      </w:r>
      <w:r>
        <w:rPr>
          <w:rFonts w:ascii="Verdana" w:hAnsi="Verdana" w:cs="Verdana"/>
          <w:i/>
          <w:iCs/>
          <w:spacing w:val="-1"/>
          <w:sz w:val="16"/>
          <w:szCs w:val="16"/>
          <w:u w:val="single"/>
          <w:lang w:val="es-ES" w:eastAsia="es-ES"/>
        </w:rPr>
        <w:t>y que estas diligencias fueron infructuosas, por hechos no imputables al prestatario.</w:t>
      </w:r>
      <w:r>
        <w:rPr>
          <w:rFonts w:ascii="Verdana" w:hAnsi="Verdana" w:cs="Verdana"/>
          <w:i/>
          <w:iCs/>
          <w:spacing w:val="-1"/>
          <w:sz w:val="16"/>
          <w:szCs w:val="16"/>
          <w:lang w:val="es-ES" w:eastAsia="es-ES"/>
        </w:rPr>
        <w:t xml:space="preserve"> Para la eventual aplicación de esta condición de excepcionalidad y dispensa, </w:t>
      </w:r>
      <w:r>
        <w:rPr>
          <w:rFonts w:ascii="Verdana" w:hAnsi="Verdana" w:cs="Verdana"/>
          <w:b/>
          <w:bCs/>
          <w:i/>
          <w:iCs/>
          <w:spacing w:val="-1"/>
          <w:sz w:val="16"/>
          <w:szCs w:val="16"/>
          <w:u w:val="single"/>
          <w:lang w:val="es-ES" w:eastAsia="es-ES"/>
        </w:rPr>
        <w:t>se tienen como documentos probatorios idóneos,</w:t>
      </w:r>
      <w:r>
        <w:rPr>
          <w:rFonts w:ascii="Verdana" w:hAnsi="Verdana" w:cs="Verdana"/>
          <w:i/>
          <w:iCs/>
          <w:spacing w:val="-1"/>
          <w:sz w:val="16"/>
          <w:szCs w:val="16"/>
          <w:lang w:val="es-ES" w:eastAsia="es-ES"/>
        </w:rPr>
        <w:t xml:space="preserve"> los que seguidamente se señalan; mismos que deberá presentar el interesado </w:t>
      </w:r>
      <w:r>
        <w:rPr>
          <w:rFonts w:ascii="Verdana" w:hAnsi="Verdana" w:cs="Verdana"/>
          <w:b/>
          <w:bCs/>
          <w:i/>
          <w:iCs/>
          <w:spacing w:val="-1"/>
          <w:sz w:val="16"/>
          <w:szCs w:val="16"/>
          <w:u w:val="single"/>
          <w:lang w:val="es-ES" w:eastAsia="es-ES"/>
        </w:rPr>
        <w:t>en su totalidad,</w:t>
      </w:r>
      <w:r>
        <w:rPr>
          <w:rFonts w:ascii="Verdana" w:hAnsi="Verdana" w:cs="Verdana"/>
          <w:i/>
          <w:iCs/>
          <w:spacing w:val="-1"/>
          <w:sz w:val="16"/>
          <w:szCs w:val="16"/>
          <w:lang w:val="es-ES" w:eastAsia="es-ES"/>
        </w:rPr>
        <w:t xml:space="preserve"> conjuntamente con la petición justificada de aplicación de la dispensa ante esta Autoridad, para su valoración y resolución final, </w:t>
      </w:r>
      <w:r>
        <w:rPr>
          <w:rFonts w:ascii="Verdana" w:hAnsi="Verdana" w:cs="Verdana"/>
          <w:b/>
          <w:bCs/>
          <w:i/>
          <w:iCs/>
          <w:spacing w:val="-1"/>
          <w:sz w:val="16"/>
          <w:szCs w:val="16"/>
          <w:lang w:val="es-ES" w:eastAsia="es-ES"/>
        </w:rPr>
        <w:t>a más tardar el 1 de agosto del 2017:</w:t>
      </w:r>
    </w:p>
    <w:p w:rsidR="00DC4DB9" w:rsidRDefault="0034101A">
      <w:pPr>
        <w:kinsoku w:val="0"/>
        <w:overflowPunct w:val="0"/>
        <w:autoSpaceDE/>
        <w:autoSpaceDN/>
        <w:adjustRightInd/>
        <w:spacing w:before="228" w:line="191" w:lineRule="exact"/>
        <w:ind w:left="216" w:firstLine="14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Solicitud formal debidamente motivada de la dispensa requerida, firmada por el representante legal de la compañía prestataria, acompañada de la personería jurídica de la empresa concesionaria y/o permisionaria.</w:t>
      </w:r>
    </w:p>
    <w:p w:rsidR="00DC4DB9" w:rsidRDefault="0034101A">
      <w:pPr>
        <w:kinsoku w:val="0"/>
        <w:overflowPunct w:val="0"/>
        <w:autoSpaceDE/>
        <w:autoSpaceDN/>
        <w:adjustRightInd/>
        <w:spacing w:before="27" w:line="191" w:lineRule="exact"/>
        <w:ind w:left="216"/>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 evidencia pertinente que acredite que el prestatario, envió las solicitudes de cotización y programación, ante todos los organismos de inspección acreditados por el ECA.</w:t>
      </w:r>
    </w:p>
    <w:p w:rsidR="00DC4DB9" w:rsidRDefault="0034101A">
      <w:pPr>
        <w:kinsoku w:val="0"/>
        <w:overflowPunct w:val="0"/>
        <w:autoSpaceDE/>
        <w:autoSpaceDN/>
        <w:adjustRightInd/>
        <w:spacing w:before="17" w:line="191" w:lineRule="exact"/>
        <w:ind w:left="216"/>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las respuestas recibidas por parte de todos los organismos de inspección acreditados por el ECA, que fueron requeridos para la aplicación del estudio de calidad del año 2017.</w:t>
      </w:r>
    </w:p>
    <w:p w:rsidR="00DC4DB9" w:rsidRDefault="0034101A">
      <w:pPr>
        <w:kinsoku w:val="0"/>
        <w:overflowPunct w:val="0"/>
        <w:autoSpaceDE/>
        <w:autoSpaceDN/>
        <w:adjustRightInd/>
        <w:spacing w:before="224" w:after="428" w:line="186" w:lineRule="exact"/>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DC4DB9" w:rsidRDefault="00DC4DB9">
      <w:pPr>
        <w:widowControl/>
        <w:rPr>
          <w:sz w:val="24"/>
          <w:szCs w:val="24"/>
        </w:rPr>
        <w:sectPr w:rsidR="00DC4DB9">
          <w:pgSz w:w="12288" w:h="15763"/>
          <w:pgMar w:top="980" w:right="1994" w:bottom="191" w:left="2174" w:header="720" w:footer="720" w:gutter="0"/>
          <w:cols w:space="720"/>
          <w:noEndnote/>
        </w:sectPr>
      </w:pPr>
    </w:p>
    <w:p w:rsidR="00DC4DB9" w:rsidRDefault="00DC4DB9">
      <w:pPr>
        <w:widowControl/>
        <w:rPr>
          <w:sz w:val="24"/>
          <w:szCs w:val="24"/>
        </w:rPr>
        <w:sectPr w:rsidR="00DC4DB9">
          <w:type w:val="continuous"/>
          <w:pgSz w:w="12288" w:h="15763"/>
          <w:pgMar w:top="980" w:right="1636" w:bottom="191" w:left="8832" w:header="720" w:footer="720" w:gutter="0"/>
          <w:cols w:space="720"/>
          <w:noEndnote/>
        </w:sectPr>
      </w:pPr>
    </w:p>
    <w:p w:rsidR="00DC4DB9" w:rsidRDefault="0034101A">
      <w:pPr>
        <w:kinsoku w:val="0"/>
        <w:overflowPunct w:val="0"/>
        <w:autoSpaceDE/>
        <w:autoSpaceDN/>
        <w:adjustRightInd/>
        <w:spacing w:before="34" w:line="193" w:lineRule="exact"/>
        <w:ind w:left="504" w:right="504"/>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lastRenderedPageBreak/>
        <w:t xml:space="preserve">Una vez recibida la gestión en la que se alegue la imposibilidad de contratar un ente acreditado ante el CTP, éste contará con un plazo </w:t>
      </w:r>
      <w:r>
        <w:rPr>
          <w:rFonts w:ascii="Verdana" w:hAnsi="Verdana" w:cs="Verdana"/>
          <w:b/>
          <w:bCs/>
          <w:i/>
          <w:iCs/>
          <w:spacing w:val="-2"/>
          <w:sz w:val="16"/>
          <w:szCs w:val="16"/>
          <w:u w:val="single"/>
          <w:lang w:val="es-ES" w:eastAsia="es-ES"/>
        </w:rPr>
        <w:t>máximo de 15 días naturales</w:t>
      </w:r>
      <w:r>
        <w:rPr>
          <w:rFonts w:ascii="Verdana" w:hAnsi="Verdana" w:cs="Verdana"/>
          <w:i/>
          <w:iCs/>
          <w:spacing w:val="-2"/>
          <w:sz w:val="16"/>
          <w:szCs w:val="16"/>
          <w:lang w:val="es-ES" w:eastAsia="es-ES"/>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DC4DB9" w:rsidRDefault="0034101A">
      <w:pPr>
        <w:numPr>
          <w:ilvl w:val="0"/>
          <w:numId w:val="3"/>
        </w:numPr>
        <w:kinsoku w:val="0"/>
        <w:overflowPunct w:val="0"/>
        <w:autoSpaceDE/>
        <w:autoSpaceDN/>
        <w:adjustRightInd/>
        <w:spacing w:before="167" w:line="197" w:lineRule="exact"/>
        <w:ind w:right="504"/>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 xml:space="preserve">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Pr>
          <w:rFonts w:ascii="Verdana" w:hAnsi="Verdana" w:cs="Verdana"/>
          <w:i/>
          <w:iCs/>
          <w:spacing w:val="-2"/>
          <w:sz w:val="16"/>
          <w:szCs w:val="16"/>
          <w:u w:val="single"/>
          <w:lang w:val="es-ES" w:eastAsia="es-ES"/>
        </w:rPr>
        <w:t>sin excepción alguna,</w:t>
      </w:r>
      <w:r>
        <w:rPr>
          <w:rFonts w:ascii="Verdana" w:hAnsi="Verdana" w:cs="Verdana"/>
          <w:i/>
          <w:iCs/>
          <w:spacing w:val="-2"/>
          <w:sz w:val="16"/>
          <w:szCs w:val="16"/>
          <w:lang w:val="es-ES" w:eastAsia="es-ES"/>
        </w:rPr>
        <w:t xml:space="preserve"> al Procedimiento Administrativo correspondiente, a efecto de determinar la cancelación del derecho de concesión y/o el permiso de operación, conforme a lo establecido en la Ley No. 3503, Decreto Ejecutivo No. 28833-MOPT y sus reformas, y el presente acuerdo.</w:t>
      </w:r>
    </w:p>
    <w:p w:rsidR="00DC4DB9" w:rsidRDefault="0034101A">
      <w:pPr>
        <w:numPr>
          <w:ilvl w:val="0"/>
          <w:numId w:val="3"/>
        </w:numPr>
        <w:kinsoku w:val="0"/>
        <w:overflowPunct w:val="0"/>
        <w:autoSpaceDE/>
        <w:autoSpaceDN/>
        <w:adjustRightInd/>
        <w:spacing w:before="201" w:line="197" w:lineRule="exact"/>
        <w:jc w:val="both"/>
        <w:textAlignment w:val="baseline"/>
        <w:rPr>
          <w:rFonts w:ascii="Verdana" w:hAnsi="Verdana" w:cs="Verdana"/>
          <w:i/>
          <w:iCs/>
          <w:spacing w:val="-5"/>
          <w:sz w:val="16"/>
          <w:szCs w:val="16"/>
          <w:lang w:val="es-ES" w:eastAsia="es-ES"/>
        </w:rPr>
      </w:pPr>
      <w:r>
        <w:rPr>
          <w:rFonts w:ascii="Verdana" w:hAnsi="Verdana" w:cs="Verdana"/>
          <w:i/>
          <w:iCs/>
          <w:spacing w:val="-5"/>
          <w:sz w:val="16"/>
          <w:szCs w:val="16"/>
          <w:lang w:val="es-ES" w:eastAsia="es-ES"/>
        </w:rPr>
        <w:t>Notifíquese: (...)</w:t>
      </w:r>
    </w:p>
    <w:p w:rsidR="00DC4DB9" w:rsidRDefault="0034101A">
      <w:pPr>
        <w:numPr>
          <w:ilvl w:val="0"/>
          <w:numId w:val="4"/>
        </w:numPr>
        <w:kinsoku w:val="0"/>
        <w:overflowPunct w:val="0"/>
        <w:autoSpaceDE/>
        <w:autoSpaceDN/>
        <w:adjustRightInd/>
        <w:spacing w:before="197" w:line="195" w:lineRule="exact"/>
        <w:jc w:val="both"/>
        <w:textAlignment w:val="baseline"/>
        <w:rPr>
          <w:rFonts w:ascii="Verdana" w:hAnsi="Verdana" w:cs="Verdana"/>
          <w:b/>
          <w:bCs/>
          <w:i/>
          <w:iCs/>
          <w:spacing w:val="2"/>
          <w:sz w:val="16"/>
          <w:szCs w:val="16"/>
          <w:lang w:val="es-ES" w:eastAsia="es-ES"/>
        </w:rPr>
      </w:pPr>
      <w:r>
        <w:rPr>
          <w:rFonts w:ascii="Verdana" w:hAnsi="Verdana" w:cs="Verdana"/>
          <w:b/>
          <w:bCs/>
          <w:i/>
          <w:iCs/>
          <w:spacing w:val="2"/>
          <w:sz w:val="16"/>
          <w:szCs w:val="16"/>
          <w:lang w:val="es-ES" w:eastAsia="es-ES"/>
        </w:rPr>
        <w:t>Se declara firme. -"</w:t>
      </w:r>
    </w:p>
    <w:p w:rsidR="00DC4DB9" w:rsidRDefault="0034101A">
      <w:pPr>
        <w:kinsoku w:val="0"/>
        <w:overflowPunct w:val="0"/>
        <w:autoSpaceDE/>
        <w:autoSpaceDN/>
        <w:adjustRightInd/>
        <w:spacing w:before="292" w:line="297" w:lineRule="exact"/>
        <w:ind w:left="72" w:right="72"/>
        <w:jc w:val="both"/>
        <w:textAlignment w:val="baseline"/>
        <w:rPr>
          <w:rFonts w:ascii="Verdana" w:hAnsi="Verdana" w:cs="Verdana"/>
          <w:spacing w:val="-3"/>
          <w:sz w:val="24"/>
          <w:szCs w:val="24"/>
          <w:lang w:val="es-ES" w:eastAsia="es-ES"/>
        </w:rPr>
      </w:pPr>
      <w:r>
        <w:rPr>
          <w:rFonts w:ascii="Verdana" w:hAnsi="Verdana" w:cs="Verdana"/>
          <w:b/>
          <w:bCs/>
          <w:spacing w:val="-3"/>
          <w:sz w:val="24"/>
          <w:szCs w:val="24"/>
          <w:lang w:val="es-ES" w:eastAsia="es-ES"/>
        </w:rPr>
        <w:t xml:space="preserve">QUINTO: </w:t>
      </w:r>
      <w:r>
        <w:rPr>
          <w:rFonts w:ascii="Verdana" w:hAnsi="Verdana" w:cs="Verdana"/>
          <w:spacing w:val="-3"/>
          <w:sz w:val="24"/>
          <w:szCs w:val="24"/>
          <w:lang w:val="es-ES" w:eastAsia="es-ES"/>
        </w:rPr>
        <w:t xml:space="preserve">La Junta Directiva del Consejo de Transporte Público, mediante </w:t>
      </w:r>
      <w:r>
        <w:rPr>
          <w:rFonts w:ascii="Verdana" w:hAnsi="Verdana" w:cs="Verdana"/>
          <w:b/>
          <w:bCs/>
          <w:spacing w:val="-3"/>
          <w:sz w:val="24"/>
          <w:szCs w:val="24"/>
          <w:lang w:val="es-ES" w:eastAsia="es-ES"/>
        </w:rPr>
        <w:t xml:space="preserve">Artículo 5.1 de la Sesión Ordinaria 30-2017 de 26 de julio de 2017, </w:t>
      </w:r>
      <w:r>
        <w:rPr>
          <w:rFonts w:ascii="Verdana" w:hAnsi="Verdana" w:cs="Verdana"/>
          <w:spacing w:val="-3"/>
          <w:sz w:val="24"/>
          <w:szCs w:val="24"/>
          <w:lang w:val="es-ES" w:eastAsia="es-ES"/>
        </w:rPr>
        <w:t>dispuso: (Léanse folios del 112 al 116 del expediente administrativo)</w:t>
      </w:r>
    </w:p>
    <w:p w:rsidR="00DC4DB9" w:rsidRDefault="0034101A">
      <w:pPr>
        <w:kinsoku w:val="0"/>
        <w:overflowPunct w:val="0"/>
        <w:autoSpaceDE/>
        <w:autoSpaceDN/>
        <w:adjustRightInd/>
        <w:spacing w:before="578" w:line="193" w:lineRule="exact"/>
        <w:ind w:left="504" w:right="504"/>
        <w:jc w:val="both"/>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"POR TANTO, SE ACUERDA por seis votos a favor y uno en contra (del director Badila Castro):</w:t>
      </w:r>
    </w:p>
    <w:p w:rsidR="00DC4DB9" w:rsidRDefault="0034101A">
      <w:pPr>
        <w:numPr>
          <w:ilvl w:val="0"/>
          <w:numId w:val="5"/>
        </w:numPr>
        <w:kinsoku w:val="0"/>
        <w:overflowPunct w:val="0"/>
        <w:autoSpaceDE/>
        <w:autoSpaceDN/>
        <w:adjustRightInd/>
        <w:spacing w:line="194"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Brindar respuesta a la petición de prórroga planteada por la Comisión Nacional de Pequeños y Medianos Empresarios Autobuseros, dentro de la cual se debe de indicar lo siguiente:</w:t>
      </w:r>
    </w:p>
    <w:p w:rsidR="00DC4DB9" w:rsidRDefault="0034101A">
      <w:pPr>
        <w:numPr>
          <w:ilvl w:val="0"/>
          <w:numId w:val="5"/>
        </w:numPr>
        <w:kinsoku w:val="0"/>
        <w:overflowPunct w:val="0"/>
        <w:autoSpaceDE/>
        <w:autoSpaceDN/>
        <w:adjustRightInd/>
        <w:spacing w:before="9" w:line="197" w:lineRule="exact"/>
        <w:ind w:right="504"/>
        <w:jc w:val="both"/>
        <w:textAlignment w:val="baseline"/>
        <w:rPr>
          <w:rFonts w:ascii="Verdana" w:hAnsi="Verdana" w:cs="Verdana"/>
          <w:i/>
          <w:iCs/>
          <w:spacing w:val="-3"/>
          <w:sz w:val="16"/>
          <w:szCs w:val="16"/>
          <w:lang w:val="es-ES" w:eastAsia="es-ES"/>
        </w:rPr>
      </w:pPr>
      <w:r>
        <w:rPr>
          <w:rFonts w:ascii="Verdana" w:hAnsi="Verdana" w:cs="Verdana"/>
          <w:i/>
          <w:iCs/>
          <w:spacing w:val="-3"/>
          <w:sz w:val="16"/>
          <w:szCs w:val="16"/>
          <w:lang w:val="es-ES" w:eastAsia="es-ES"/>
        </w:rPr>
        <w:t xml:space="preserve">La fecha del primero de agosto del 2017 quedó establecida básicamente con el objetivo de que los transportistas puedan comunicar si tienen la posibilidad real o no, de contratar a un Organismo de Inspección acreditado ante el ECA en la Norma INTE - ISO/IEC 17020, o si no es así, para que la Administración, en un plazo de quince días posteriores a esta fecha, pueda valorar si les autoriza o no, la contratación de un organismo que no esté acreditado ante el ECA, y por ello el establecimiento de dicha fecha, la cual no constituye un plazo perentorio, sino que es un plazo </w:t>
      </w:r>
      <w:proofErr w:type="spellStart"/>
      <w:r>
        <w:rPr>
          <w:rFonts w:ascii="Verdana" w:hAnsi="Verdana" w:cs="Verdana"/>
          <w:i/>
          <w:iCs/>
          <w:spacing w:val="-3"/>
          <w:sz w:val="16"/>
          <w:szCs w:val="16"/>
          <w:lang w:val="es-ES" w:eastAsia="es-ES"/>
        </w:rPr>
        <w:t>ordenatorio</w:t>
      </w:r>
      <w:proofErr w:type="spellEnd"/>
      <w:r>
        <w:rPr>
          <w:rFonts w:ascii="Verdana" w:hAnsi="Verdana" w:cs="Verdana"/>
          <w:i/>
          <w:iCs/>
          <w:spacing w:val="-3"/>
          <w:sz w:val="16"/>
          <w:szCs w:val="16"/>
          <w:lang w:val="es-ES" w:eastAsia="es-ES"/>
        </w:rPr>
        <w:t>.</w:t>
      </w:r>
    </w:p>
    <w:p w:rsidR="00DC4DB9" w:rsidRDefault="0034101A">
      <w:pPr>
        <w:numPr>
          <w:ilvl w:val="0"/>
          <w:numId w:val="5"/>
        </w:numPr>
        <w:kinsoku w:val="0"/>
        <w:overflowPunct w:val="0"/>
        <w:autoSpaceDE/>
        <w:autoSpaceDN/>
        <w:adjustRightInd/>
        <w:spacing w:before="6" w:line="197"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En </w:t>
      </w:r>
      <w:proofErr w:type="gramStart"/>
      <w:r>
        <w:rPr>
          <w:rFonts w:ascii="Verdana" w:hAnsi="Verdana" w:cs="Verdana"/>
          <w:i/>
          <w:iCs/>
          <w:sz w:val="16"/>
          <w:szCs w:val="16"/>
          <w:lang w:val="es-ES" w:eastAsia="es-ES"/>
        </w:rPr>
        <w:t>realidad</w:t>
      </w:r>
      <w:proofErr w:type="gramEnd"/>
      <w:r>
        <w:rPr>
          <w:rFonts w:ascii="Verdana" w:hAnsi="Verdana" w:cs="Verdana"/>
          <w:i/>
          <w:iCs/>
          <w:sz w:val="16"/>
          <w:szCs w:val="16"/>
          <w:lang w:val="es-ES" w:eastAsia="es-ES"/>
        </w:rPr>
        <w:t xml:space="preserve"> la contratación para la realización de estos estudios, los transportistas la pueden realizar en cualquier momento, solo que tienen que tomar en consideración que a este Consejo de Transporte Público se le debe de informar con diez días de anticipación al inicio del estudio para efectos de la fiscalización correspondiente, conforme al artículo 16 del Decreto Ejecutivo número 28833-MOPT.</w:t>
      </w:r>
    </w:p>
    <w:p w:rsidR="00DC4DB9" w:rsidRDefault="0034101A">
      <w:pPr>
        <w:numPr>
          <w:ilvl w:val="0"/>
          <w:numId w:val="5"/>
        </w:numPr>
        <w:kinsoku w:val="0"/>
        <w:overflowPunct w:val="0"/>
        <w:autoSpaceDE/>
        <w:autoSpaceDN/>
        <w:adjustRightInd/>
        <w:spacing w:before="11" w:line="197" w:lineRule="exact"/>
        <w:ind w:right="504"/>
        <w:jc w:val="both"/>
        <w:textAlignment w:val="baseline"/>
        <w:rPr>
          <w:rFonts w:ascii="Verdana" w:hAnsi="Verdana" w:cs="Verdana"/>
          <w:i/>
          <w:iCs/>
          <w:spacing w:val="-2"/>
          <w:sz w:val="16"/>
          <w:szCs w:val="16"/>
          <w:lang w:val="es-ES" w:eastAsia="es-ES"/>
        </w:rPr>
      </w:pPr>
      <w:proofErr w:type="gramStart"/>
      <w:r>
        <w:rPr>
          <w:rFonts w:ascii="Verdana" w:hAnsi="Verdana" w:cs="Verdana"/>
          <w:i/>
          <w:iCs/>
          <w:spacing w:val="-2"/>
          <w:sz w:val="16"/>
          <w:szCs w:val="16"/>
          <w:lang w:val="es-ES" w:eastAsia="es-ES"/>
        </w:rPr>
        <w:t>Asimismo</w:t>
      </w:r>
      <w:proofErr w:type="gramEnd"/>
      <w:r>
        <w:rPr>
          <w:rFonts w:ascii="Verdana" w:hAnsi="Verdana" w:cs="Verdana"/>
          <w:i/>
          <w:iCs/>
          <w:spacing w:val="-2"/>
          <w:sz w:val="16"/>
          <w:szCs w:val="16"/>
          <w:lang w:val="es-ES" w:eastAsia="es-ES"/>
        </w:rPr>
        <w:t xml:space="preserve"> deben de tomar en consideración el período válido para la realización de las mediciones, siendo éste en la temporada típica de operación, para que las mismas sean representativas del período típico de operación de la ruta, tal y como se dispone en el artículo 7.18 de la sesión ordinaria número 23-2017.</w:t>
      </w:r>
    </w:p>
    <w:p w:rsidR="00DC4DB9" w:rsidRDefault="0034101A">
      <w:pPr>
        <w:numPr>
          <w:ilvl w:val="0"/>
          <w:numId w:val="5"/>
        </w:numPr>
        <w:kinsoku w:val="0"/>
        <w:overflowPunct w:val="0"/>
        <w:autoSpaceDE/>
        <w:autoSpaceDN/>
        <w:adjustRightInd/>
        <w:spacing w:line="195"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Se aclara además que esa evaluación tiene que ejecutarse en un plazo de tres meses posteriores a los diez días después de la fecha en que se notifica con cuál Organismo de Inspección acreditado ante el ECA en la Norma INTE - ISO/IEC 17020 se va a realizar el estudio de calidad, al Consejo de Transporte Público.</w:t>
      </w:r>
    </w:p>
    <w:p w:rsidR="00DC4DB9" w:rsidRDefault="0034101A" w:rsidP="005B1D1F">
      <w:pPr>
        <w:numPr>
          <w:ilvl w:val="0"/>
          <w:numId w:val="5"/>
        </w:numPr>
        <w:kinsoku w:val="0"/>
        <w:overflowPunct w:val="0"/>
        <w:autoSpaceDE/>
        <w:autoSpaceDN/>
        <w:adjustRightInd/>
        <w:spacing w:line="193"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Se aclara igualmente, </w:t>
      </w:r>
      <w:proofErr w:type="gramStart"/>
      <w:r>
        <w:rPr>
          <w:rFonts w:ascii="Verdana" w:hAnsi="Verdana" w:cs="Verdana"/>
          <w:i/>
          <w:iCs/>
          <w:sz w:val="16"/>
          <w:szCs w:val="16"/>
          <w:lang w:val="es-ES" w:eastAsia="es-ES"/>
        </w:rPr>
        <w:t>que</w:t>
      </w:r>
      <w:proofErr w:type="gramEnd"/>
      <w:r>
        <w:rPr>
          <w:rFonts w:ascii="Verdana" w:hAnsi="Verdana" w:cs="Verdana"/>
          <w:i/>
          <w:iCs/>
          <w:sz w:val="16"/>
          <w:szCs w:val="16"/>
          <w:lang w:val="es-ES" w:eastAsia="es-ES"/>
        </w:rPr>
        <w:t xml:space="preserve"> si el Organismo de Inspección seleccionado está acreditado ante el ECA, debe de serlo bajo la Norma INTE - ISO/IEC 17020, siendo ésta la norma que debe de cumplir el consultor que vaya a realizar ese estudio y es una norma general, no específica de transporte público o que los acredite en transporte público para realizar el estudio.</w:t>
      </w:r>
    </w:p>
    <w:p w:rsidR="00DC4DB9" w:rsidRDefault="0034101A" w:rsidP="005B1D1F">
      <w:pPr>
        <w:numPr>
          <w:ilvl w:val="0"/>
          <w:numId w:val="5"/>
        </w:numPr>
        <w:kinsoku w:val="0"/>
        <w:overflowPunct w:val="0"/>
        <w:autoSpaceDE/>
        <w:autoSpaceDN/>
        <w:adjustRightInd/>
        <w:spacing w:before="9" w:line="197"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También se aclara, que en caso de que la empresa el próximo primero de agosto notifique su imposibilidad para hacer la contratación con un Organismo de Inspección acreditado ante el ECA, tiene que justificar esa imposibilidad de acuerdo con los requerimientos que fueron señalados en el acuerdo 7.18 de la sesión ordinaria 23-2017 de la Junta Directiva del Consejo de Transporte Público, debidamente notificado a todos los operadores de ruta regular.</w:t>
      </w:r>
    </w:p>
    <w:p w:rsidR="00DC4DB9" w:rsidRDefault="0034101A">
      <w:pPr>
        <w:numPr>
          <w:ilvl w:val="0"/>
          <w:numId w:val="5"/>
        </w:numPr>
        <w:kinsoku w:val="0"/>
        <w:overflowPunct w:val="0"/>
        <w:autoSpaceDE/>
        <w:autoSpaceDN/>
        <w:adjustRightInd/>
        <w:spacing w:before="23" w:line="197"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Por todo lo anteriormente indicado, la referida fecha del primero de agosto del 2017, no se estaría prorrogando.</w:t>
      </w:r>
    </w:p>
    <w:p w:rsidR="00DC4DB9" w:rsidRDefault="0034101A" w:rsidP="005B1D1F">
      <w:pPr>
        <w:numPr>
          <w:ilvl w:val="0"/>
          <w:numId w:val="5"/>
        </w:numPr>
        <w:kinsoku w:val="0"/>
        <w:overflowPunct w:val="0"/>
        <w:autoSpaceDE/>
        <w:autoSpaceDN/>
        <w:adjustRightInd/>
        <w:spacing w:before="24" w:line="197"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Notifíquese: Despacho de la Viceministra de Transportes y Seguridad Vial / Despacho del Ministro de Obras Públicas y Transportes / Dirección Ejecutiva a los correos </w:t>
      </w:r>
      <w:hyperlink r:id="rId5" w:history="1">
        <w:r>
          <w:rPr>
            <w:rFonts w:ascii="Verdana" w:hAnsi="Verdana" w:cs="Verdana"/>
            <w:i/>
            <w:iCs/>
            <w:color w:val="0000FF"/>
            <w:sz w:val="16"/>
            <w:szCs w:val="16"/>
            <w:u w:val="single"/>
            <w:lang w:val="es-ES" w:eastAsia="es-ES"/>
          </w:rPr>
          <w:t>mfallas@ctp.go.cr</w:t>
        </w:r>
      </w:hyperlink>
      <w:r>
        <w:rPr>
          <w:rFonts w:ascii="Verdana" w:hAnsi="Verdana" w:cs="Verdana"/>
          <w:i/>
          <w:iCs/>
          <w:sz w:val="16"/>
          <w:szCs w:val="16"/>
          <w:lang w:val="es-ES" w:eastAsia="es-ES"/>
        </w:rPr>
        <w:t xml:space="preserve"> y </w:t>
      </w:r>
      <w:hyperlink r:id="rId6" w:history="1">
        <w:r>
          <w:rPr>
            <w:rFonts w:ascii="Verdana" w:hAnsi="Verdana" w:cs="Verdana"/>
            <w:i/>
            <w:iCs/>
            <w:color w:val="0000FF"/>
            <w:sz w:val="16"/>
            <w:szCs w:val="16"/>
            <w:u w:val="single"/>
            <w:lang w:val="es-ES" w:eastAsia="es-ES"/>
          </w:rPr>
          <w:t>sfonseca@ctp.go.cr</w:t>
        </w:r>
      </w:hyperlink>
      <w:r>
        <w:rPr>
          <w:rFonts w:ascii="Verdana" w:hAnsi="Verdana" w:cs="Verdana"/>
          <w:i/>
          <w:iCs/>
          <w:sz w:val="16"/>
          <w:szCs w:val="16"/>
          <w:lang w:val="es-ES" w:eastAsia="es-ES"/>
        </w:rPr>
        <w:t xml:space="preserve"> / Dirección de Asuntos Jurídicos a los correos </w:t>
      </w:r>
      <w:hyperlink r:id="rId7" w:history="1">
        <w:r>
          <w:rPr>
            <w:rFonts w:ascii="Verdana" w:hAnsi="Verdana" w:cs="Verdana"/>
            <w:i/>
            <w:iCs/>
            <w:color w:val="0000FF"/>
            <w:sz w:val="16"/>
            <w:szCs w:val="16"/>
            <w:u w:val="single"/>
            <w:lang w:val="es-ES" w:eastAsia="es-ES"/>
          </w:rPr>
          <w:t>scredas@ctp.go.cr</w:t>
        </w:r>
      </w:hyperlink>
      <w:r>
        <w:rPr>
          <w:rFonts w:ascii="Verdana" w:hAnsi="Verdana" w:cs="Verdana"/>
          <w:i/>
          <w:iCs/>
          <w:sz w:val="16"/>
          <w:szCs w:val="16"/>
          <w:lang w:val="es-ES" w:eastAsia="es-ES"/>
        </w:rPr>
        <w:t xml:space="preserve"> y </w:t>
      </w:r>
      <w:hyperlink r:id="rId8" w:history="1">
        <w:r>
          <w:rPr>
            <w:rFonts w:ascii="Verdana" w:hAnsi="Verdana" w:cs="Verdana"/>
            <w:i/>
            <w:iCs/>
            <w:color w:val="0000FF"/>
            <w:sz w:val="16"/>
            <w:szCs w:val="16"/>
            <w:u w:val="single"/>
            <w:lang w:val="es-ES" w:eastAsia="es-ES"/>
          </w:rPr>
          <w:t>slopez@ctp.go.cr</w:t>
        </w:r>
      </w:hyperlink>
      <w:r>
        <w:rPr>
          <w:rFonts w:ascii="Verdana" w:hAnsi="Verdana" w:cs="Verdana"/>
          <w:i/>
          <w:iCs/>
          <w:sz w:val="16"/>
          <w:szCs w:val="16"/>
          <w:lang w:val="es-ES" w:eastAsia="es-ES"/>
        </w:rPr>
        <w:t xml:space="preserve"> / </w:t>
      </w:r>
      <w:proofErr w:type="spellStart"/>
      <w:r>
        <w:rPr>
          <w:rFonts w:ascii="Verdana" w:hAnsi="Verdana" w:cs="Verdana"/>
          <w:i/>
          <w:iCs/>
          <w:sz w:val="16"/>
          <w:szCs w:val="16"/>
          <w:lang w:val="es-ES" w:eastAsia="es-ES"/>
        </w:rPr>
        <w:t>Area</w:t>
      </w:r>
      <w:proofErr w:type="spellEnd"/>
      <w:r>
        <w:rPr>
          <w:rFonts w:ascii="Verdana" w:hAnsi="Verdana" w:cs="Verdana"/>
          <w:i/>
          <w:iCs/>
          <w:sz w:val="16"/>
          <w:szCs w:val="16"/>
          <w:lang w:val="es-ES" w:eastAsia="es-ES"/>
        </w:rPr>
        <w:t xml:space="preserve"> Técnica al correo </w:t>
      </w:r>
      <w:hyperlink r:id="rId9" w:history="1">
        <w:r>
          <w:rPr>
            <w:rFonts w:ascii="Verdana" w:hAnsi="Verdana" w:cs="Verdana"/>
            <w:i/>
            <w:iCs/>
            <w:color w:val="0000FF"/>
            <w:sz w:val="16"/>
            <w:szCs w:val="16"/>
            <w:u w:val="single"/>
            <w:lang w:val="es-ES" w:eastAsia="es-ES"/>
          </w:rPr>
          <w:t>aorozco@ctp.go.cr</w:t>
        </w:r>
      </w:hyperlink>
    </w:p>
    <w:p w:rsidR="00DC4DB9" w:rsidRDefault="0034101A">
      <w:pPr>
        <w:numPr>
          <w:ilvl w:val="0"/>
          <w:numId w:val="6"/>
        </w:numPr>
        <w:kinsoku w:val="0"/>
        <w:overflowPunct w:val="0"/>
        <w:autoSpaceDE/>
        <w:autoSpaceDN/>
        <w:adjustRightInd/>
        <w:spacing w:before="9" w:line="195" w:lineRule="exact"/>
        <w:textAlignment w:val="baseline"/>
        <w:rPr>
          <w:rFonts w:ascii="Verdana" w:hAnsi="Verdana" w:cs="Verdana"/>
          <w:b/>
          <w:bCs/>
          <w:i/>
          <w:iCs/>
          <w:spacing w:val="4"/>
          <w:sz w:val="16"/>
          <w:szCs w:val="16"/>
          <w:lang w:val="es-ES" w:eastAsia="es-ES"/>
        </w:rPr>
      </w:pPr>
      <w:r>
        <w:rPr>
          <w:rFonts w:ascii="Verdana" w:hAnsi="Verdana" w:cs="Verdana"/>
          <w:b/>
          <w:bCs/>
          <w:i/>
          <w:iCs/>
          <w:spacing w:val="4"/>
          <w:sz w:val="16"/>
          <w:szCs w:val="16"/>
          <w:lang w:val="es-ES" w:eastAsia="es-ES"/>
        </w:rPr>
        <w:t xml:space="preserve">Se declara </w:t>
      </w:r>
      <w:proofErr w:type="gramStart"/>
      <w:r>
        <w:rPr>
          <w:rFonts w:ascii="Verdana" w:hAnsi="Verdana" w:cs="Verdana"/>
          <w:b/>
          <w:bCs/>
          <w:i/>
          <w:iCs/>
          <w:spacing w:val="4"/>
          <w:sz w:val="16"/>
          <w:szCs w:val="16"/>
          <w:lang w:val="es-ES" w:eastAsia="es-ES"/>
        </w:rPr>
        <w:t>firme.-</w:t>
      </w:r>
      <w:proofErr w:type="gramEnd"/>
      <w:r>
        <w:rPr>
          <w:rFonts w:ascii="Verdana" w:hAnsi="Verdana" w:cs="Verdana"/>
          <w:b/>
          <w:bCs/>
          <w:i/>
          <w:iCs/>
          <w:spacing w:val="4"/>
          <w:sz w:val="16"/>
          <w:szCs w:val="16"/>
          <w:lang w:val="es-ES" w:eastAsia="es-ES"/>
        </w:rPr>
        <w:t>"</w:t>
      </w:r>
    </w:p>
    <w:p w:rsidR="00DC4DB9" w:rsidRDefault="0034101A">
      <w:pPr>
        <w:kinsoku w:val="0"/>
        <w:overflowPunct w:val="0"/>
        <w:autoSpaceDE/>
        <w:autoSpaceDN/>
        <w:adjustRightInd/>
        <w:spacing w:before="282" w:line="297" w:lineRule="exact"/>
        <w:ind w:left="72" w:right="72"/>
        <w:jc w:val="both"/>
        <w:textAlignment w:val="baseline"/>
        <w:rPr>
          <w:rFonts w:ascii="Verdana" w:hAnsi="Verdana" w:cs="Verdana"/>
          <w:spacing w:val="-3"/>
          <w:sz w:val="24"/>
          <w:szCs w:val="24"/>
          <w:lang w:val="es-ES" w:eastAsia="es-ES"/>
        </w:rPr>
      </w:pPr>
      <w:r>
        <w:rPr>
          <w:rFonts w:ascii="Verdana" w:hAnsi="Verdana" w:cs="Verdana"/>
          <w:b/>
          <w:bCs/>
          <w:spacing w:val="-3"/>
          <w:sz w:val="24"/>
          <w:szCs w:val="24"/>
          <w:lang w:val="es-ES" w:eastAsia="es-ES"/>
        </w:rPr>
        <w:t xml:space="preserve">SEXTO: </w:t>
      </w:r>
      <w:r>
        <w:rPr>
          <w:rFonts w:ascii="Verdana" w:hAnsi="Verdana" w:cs="Verdana"/>
          <w:spacing w:val="-3"/>
          <w:sz w:val="24"/>
          <w:szCs w:val="24"/>
          <w:lang w:val="es-ES" w:eastAsia="es-ES"/>
        </w:rPr>
        <w:t>En respuesta a prevención que hiciera el Tribunal Administrativo de Transporte, la empresa recurrente se apersona y aporta copia del oficio que ella junto a otras empresas de Transporte remunerado de personas</w:t>
      </w:r>
    </w:p>
    <w:p w:rsidR="00DC4DB9" w:rsidRDefault="00DC4DB9">
      <w:pPr>
        <w:widowControl/>
        <w:rPr>
          <w:sz w:val="24"/>
          <w:szCs w:val="24"/>
        </w:rPr>
        <w:sectPr w:rsidR="00DC4DB9">
          <w:pgSz w:w="12288" w:h="15763"/>
          <w:pgMar w:top="700" w:right="1588" w:bottom="347" w:left="1660" w:header="720" w:footer="720" w:gutter="0"/>
          <w:cols w:space="720"/>
          <w:noEndnote/>
        </w:sectPr>
      </w:pPr>
    </w:p>
    <w:p w:rsidR="00DC4DB9" w:rsidRDefault="0034101A">
      <w:pPr>
        <w:kinsoku w:val="0"/>
        <w:overflowPunct w:val="0"/>
        <w:autoSpaceDE/>
        <w:autoSpaceDN/>
        <w:adjustRightInd/>
        <w:spacing w:before="2" w:line="291"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en vehículos modalidad autobús, presentaran ante el CTP el 1 de agosto de 2017 mediante expediente de ventanilla única 342974, solicitando una prórroga de quince días para la presentación de la indicación de cual organismo realizaría el estudio de calidad. (ver folios 106, 108, 109 y 110 del expediente administrativo)</w:t>
      </w:r>
    </w:p>
    <w:p w:rsidR="00DC4DB9" w:rsidRDefault="0034101A">
      <w:pPr>
        <w:kinsoku w:val="0"/>
        <w:overflowPunct w:val="0"/>
        <w:autoSpaceDE/>
        <w:autoSpaceDN/>
        <w:adjustRightInd/>
        <w:spacing w:before="296" w:line="291" w:lineRule="exact"/>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SETIMO: </w:t>
      </w:r>
      <w:r>
        <w:rPr>
          <w:rFonts w:ascii="Verdana" w:hAnsi="Verdana" w:cs="Verdana"/>
          <w:sz w:val="24"/>
          <w:szCs w:val="24"/>
          <w:lang w:val="es-ES" w:eastAsia="es-ES"/>
        </w:rPr>
        <w:t>En respuesta a prevención que realizara el Tribunal Administrativo de Transporte, la ingeniera Aura Álvarez Orozco jefe de la Dirección Técnica del CTP, indica que aporta copia del correo electrónico remitido a M</w:t>
      </w:r>
      <w:r w:rsidR="005B1D1F">
        <w:rPr>
          <w:rFonts w:ascii="Verdana" w:hAnsi="Verdana" w:cs="Verdana"/>
          <w:sz w:val="24"/>
          <w:szCs w:val="24"/>
          <w:lang w:val="es-ES" w:eastAsia="es-ES"/>
        </w:rPr>
        <w:t>.D.P.O.</w:t>
      </w:r>
      <w:r>
        <w:rPr>
          <w:rFonts w:ascii="Verdana" w:hAnsi="Verdana" w:cs="Verdana"/>
          <w:sz w:val="24"/>
          <w:szCs w:val="24"/>
          <w:lang w:val="es-ES" w:eastAsia="es-ES"/>
        </w:rPr>
        <w:t>, (representante de las empresas y quien suscribió en nombre de estas la solicitud de prorroga), en el que indica que hacen acuse de recibo del expediente de ventanilla única 342974. (ver folios 117, 118, 119 123 y 124 del expediente administrativo).</w:t>
      </w:r>
    </w:p>
    <w:p w:rsidR="00DC4DB9" w:rsidRDefault="0034101A">
      <w:pPr>
        <w:kinsoku w:val="0"/>
        <w:overflowPunct w:val="0"/>
        <w:autoSpaceDE/>
        <w:autoSpaceDN/>
        <w:adjustRightInd/>
        <w:spacing w:before="299" w:line="291" w:lineRule="exact"/>
        <w:jc w:val="both"/>
        <w:textAlignment w:val="baseline"/>
        <w:rPr>
          <w:rFonts w:ascii="Verdana" w:hAnsi="Verdana" w:cs="Verdana"/>
          <w:spacing w:val="-2"/>
          <w:sz w:val="24"/>
          <w:szCs w:val="24"/>
          <w:lang w:val="es-ES" w:eastAsia="es-ES"/>
        </w:rPr>
      </w:pPr>
      <w:r>
        <w:rPr>
          <w:rFonts w:ascii="Verdana" w:hAnsi="Verdana" w:cs="Verdana"/>
          <w:b/>
          <w:bCs/>
          <w:spacing w:val="-2"/>
          <w:sz w:val="24"/>
          <w:szCs w:val="24"/>
          <w:lang w:val="es-ES" w:eastAsia="es-ES"/>
        </w:rPr>
        <w:t xml:space="preserve">OCTAVO: </w:t>
      </w:r>
      <w:r>
        <w:rPr>
          <w:rFonts w:ascii="Verdana" w:hAnsi="Verdana" w:cs="Verdana"/>
          <w:spacing w:val="-2"/>
          <w:sz w:val="24"/>
          <w:szCs w:val="24"/>
          <w:lang w:val="es-ES" w:eastAsia="es-ES"/>
        </w:rPr>
        <w:t xml:space="preserve">Debido a prevención que realizara un Juez de este Tribunal mediante </w:t>
      </w:r>
      <w:r>
        <w:rPr>
          <w:rFonts w:ascii="Verdana" w:hAnsi="Verdana" w:cs="Verdana"/>
          <w:b/>
          <w:bCs/>
          <w:spacing w:val="-2"/>
          <w:sz w:val="24"/>
          <w:szCs w:val="24"/>
          <w:lang w:val="es-ES" w:eastAsia="es-ES"/>
        </w:rPr>
        <w:t xml:space="preserve">Oficio DTE-2018-0321 del 18 de junio del 2018, la Dirección Técnica del Consejo de Transporte Público, </w:t>
      </w:r>
      <w:r>
        <w:rPr>
          <w:rFonts w:ascii="Verdana" w:hAnsi="Verdana" w:cs="Verdana"/>
          <w:spacing w:val="-2"/>
          <w:sz w:val="24"/>
          <w:szCs w:val="24"/>
          <w:lang w:val="es-ES" w:eastAsia="es-ES"/>
        </w:rPr>
        <w:t xml:space="preserve">informa que efectivamente casi la generalidad de las empresas que han recurrido el </w:t>
      </w:r>
      <w:proofErr w:type="gramStart"/>
      <w:r>
        <w:rPr>
          <w:rFonts w:ascii="Verdana" w:hAnsi="Verdana" w:cs="Verdana"/>
          <w:b/>
          <w:bCs/>
          <w:spacing w:val="-2"/>
          <w:sz w:val="24"/>
          <w:szCs w:val="24"/>
          <w:lang w:val="es-ES" w:eastAsia="es-ES"/>
        </w:rPr>
        <w:t>acuerdo .No</w:t>
      </w:r>
      <w:proofErr w:type="gramEnd"/>
      <w:r>
        <w:rPr>
          <w:rFonts w:ascii="Verdana" w:hAnsi="Verdana" w:cs="Verdana"/>
          <w:b/>
          <w:bCs/>
          <w:spacing w:val="-2"/>
          <w:sz w:val="24"/>
          <w:szCs w:val="24"/>
          <w:lang w:val="es-ES" w:eastAsia="es-ES"/>
        </w:rPr>
        <w:t xml:space="preserve">. 7.12 de la Sesión Ordinaria No. 34-2017 del 30 de </w:t>
      </w:r>
      <w:proofErr w:type="gramStart"/>
      <w:r>
        <w:rPr>
          <w:rFonts w:ascii="Verdana" w:hAnsi="Verdana" w:cs="Verdana"/>
          <w:b/>
          <w:bCs/>
          <w:spacing w:val="-2"/>
          <w:sz w:val="24"/>
          <w:szCs w:val="24"/>
          <w:lang w:val="es-ES" w:eastAsia="es-ES"/>
        </w:rPr>
        <w:t>Agosto</w:t>
      </w:r>
      <w:proofErr w:type="gramEnd"/>
      <w:r>
        <w:rPr>
          <w:rFonts w:ascii="Verdana" w:hAnsi="Verdana" w:cs="Verdana"/>
          <w:b/>
          <w:bCs/>
          <w:spacing w:val="-2"/>
          <w:sz w:val="24"/>
          <w:szCs w:val="24"/>
          <w:lang w:val="es-ES" w:eastAsia="es-ES"/>
        </w:rPr>
        <w:t xml:space="preserve"> del año 2017, </w:t>
      </w:r>
      <w:r>
        <w:rPr>
          <w:rFonts w:ascii="Verdana" w:hAnsi="Verdana" w:cs="Verdana"/>
          <w:spacing w:val="-2"/>
          <w:sz w:val="24"/>
          <w:szCs w:val="24"/>
          <w:lang w:val="es-ES" w:eastAsia="es-ES"/>
        </w:rPr>
        <w:t>y que estaban representadas por la L.M</w:t>
      </w:r>
      <w:r w:rsidR="005B1D1F">
        <w:rPr>
          <w:rFonts w:ascii="Verdana" w:hAnsi="Verdana" w:cs="Verdana"/>
          <w:spacing w:val="-2"/>
          <w:sz w:val="24"/>
          <w:szCs w:val="24"/>
          <w:lang w:val="es-ES" w:eastAsia="es-ES"/>
        </w:rPr>
        <w:t>.D.P.O.H.</w:t>
      </w:r>
      <w:r>
        <w:rPr>
          <w:rFonts w:ascii="Verdana" w:hAnsi="Verdana" w:cs="Verdana"/>
          <w:spacing w:val="-2"/>
          <w:sz w:val="24"/>
          <w:szCs w:val="24"/>
          <w:lang w:val="es-ES" w:eastAsia="es-ES"/>
        </w:rPr>
        <w:t xml:space="preserve">, </w:t>
      </w:r>
      <w:r>
        <w:rPr>
          <w:rFonts w:ascii="Verdana" w:hAnsi="Verdana" w:cs="Verdana"/>
          <w:b/>
          <w:bCs/>
          <w:spacing w:val="-2"/>
          <w:sz w:val="24"/>
          <w:szCs w:val="24"/>
          <w:lang w:val="es-ES" w:eastAsia="es-ES"/>
        </w:rPr>
        <w:t xml:space="preserve">CUMPLIERON CON LA PRESENTACIÓN DE LOS ESTUDIOS DE CONTROL DE CALIDAD CON UN ORGANISMO ACREDITADO ANTE EL ECA. </w:t>
      </w:r>
      <w:r>
        <w:rPr>
          <w:rFonts w:ascii="Verdana" w:hAnsi="Verdana" w:cs="Verdana"/>
          <w:spacing w:val="-2"/>
          <w:sz w:val="24"/>
          <w:szCs w:val="24"/>
          <w:lang w:val="es-ES" w:eastAsia="es-ES"/>
        </w:rPr>
        <w:t>(ver folios del 125 al 127 del expediente administrativo)</w:t>
      </w:r>
    </w:p>
    <w:p w:rsidR="00DC4DB9" w:rsidRDefault="0034101A">
      <w:pPr>
        <w:kinsoku w:val="0"/>
        <w:overflowPunct w:val="0"/>
        <w:autoSpaceDE/>
        <w:autoSpaceDN/>
        <w:adjustRightInd/>
        <w:spacing w:before="293" w:line="291" w:lineRule="exact"/>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NOVENO: </w:t>
      </w:r>
      <w:r>
        <w:rPr>
          <w:rFonts w:ascii="Verdana" w:hAnsi="Verdana" w:cs="Verdana"/>
          <w:sz w:val="24"/>
          <w:szCs w:val="24"/>
          <w:lang w:val="es-ES" w:eastAsia="es-ES"/>
        </w:rPr>
        <w:t>En los procedimientos seguidos se han observado las prescripciones legales.</w:t>
      </w:r>
    </w:p>
    <w:p w:rsidR="00DC4DB9" w:rsidRDefault="0034101A">
      <w:pPr>
        <w:kinsoku w:val="0"/>
        <w:overflowPunct w:val="0"/>
        <w:autoSpaceDE/>
        <w:autoSpaceDN/>
        <w:adjustRightInd/>
        <w:spacing w:before="294" w:line="287" w:lineRule="exact"/>
        <w:textAlignment w:val="baseline"/>
        <w:rPr>
          <w:rFonts w:ascii="Verdana" w:hAnsi="Verdana" w:cs="Verdana"/>
          <w:b/>
          <w:bCs/>
          <w:sz w:val="24"/>
          <w:szCs w:val="24"/>
          <w:lang w:val="es-ES" w:eastAsia="es-ES"/>
        </w:rPr>
      </w:pPr>
      <w:r>
        <w:rPr>
          <w:rFonts w:ascii="Verdana" w:hAnsi="Verdana" w:cs="Verdana"/>
          <w:b/>
          <w:bCs/>
          <w:sz w:val="24"/>
          <w:szCs w:val="24"/>
          <w:lang w:val="es-ES" w:eastAsia="es-ES"/>
        </w:rPr>
        <w:t>Redacta el Juez Muñoz Corea; y,</w:t>
      </w:r>
    </w:p>
    <w:p w:rsidR="00DC4DB9" w:rsidRDefault="0034101A">
      <w:pPr>
        <w:kinsoku w:val="0"/>
        <w:overflowPunct w:val="0"/>
        <w:autoSpaceDE/>
        <w:autoSpaceDN/>
        <w:adjustRightInd/>
        <w:spacing w:before="298" w:line="283" w:lineRule="exact"/>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CONSIDERANDO</w:t>
      </w:r>
    </w:p>
    <w:p w:rsidR="00DC4DB9" w:rsidRDefault="0034101A">
      <w:pPr>
        <w:numPr>
          <w:ilvl w:val="0"/>
          <w:numId w:val="7"/>
        </w:numPr>
        <w:kinsoku w:val="0"/>
        <w:overflowPunct w:val="0"/>
        <w:autoSpaceDE/>
        <w:autoSpaceDN/>
        <w:adjustRightInd/>
        <w:spacing w:before="573" w:line="291" w:lineRule="exact"/>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SOBRE LA COMPETENCIA: </w:t>
      </w:r>
      <w:r>
        <w:rPr>
          <w:rFonts w:ascii="Verdana" w:hAnsi="Verdana" w:cs="Verdana"/>
          <w:sz w:val="24"/>
          <w:szCs w:val="24"/>
          <w:lang w:val="es-ES" w:eastAsia="es-ES"/>
        </w:rPr>
        <w:t>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y resolver el presente recurso de apelación en subsidio y solicitud de suspensión del acto administrativo.</w:t>
      </w:r>
    </w:p>
    <w:p w:rsidR="00DC4DB9" w:rsidRDefault="0034101A">
      <w:pPr>
        <w:numPr>
          <w:ilvl w:val="0"/>
          <w:numId w:val="7"/>
        </w:numPr>
        <w:kinsoku w:val="0"/>
        <w:overflowPunct w:val="0"/>
        <w:autoSpaceDE/>
        <w:autoSpaceDN/>
        <w:adjustRightInd/>
        <w:spacing w:before="322" w:line="297" w:lineRule="exact"/>
        <w:jc w:val="both"/>
        <w:textAlignment w:val="baseline"/>
        <w:rPr>
          <w:rFonts w:ascii="Verdana" w:hAnsi="Verdana" w:cs="Verdana"/>
          <w:spacing w:val="-3"/>
          <w:sz w:val="24"/>
          <w:szCs w:val="24"/>
          <w:lang w:val="es-ES" w:eastAsia="es-ES"/>
        </w:rPr>
      </w:pPr>
      <w:r>
        <w:rPr>
          <w:rFonts w:ascii="Verdana" w:hAnsi="Verdana" w:cs="Verdana"/>
          <w:b/>
          <w:bCs/>
          <w:spacing w:val="-3"/>
          <w:sz w:val="24"/>
          <w:szCs w:val="24"/>
          <w:lang w:val="es-ES" w:eastAsia="es-ES"/>
        </w:rPr>
        <w:t xml:space="preserve">SOBRE LA ADMISIBILIDAD DEL RECURSO: </w:t>
      </w:r>
      <w:r>
        <w:rPr>
          <w:rFonts w:ascii="Verdana" w:hAnsi="Verdana" w:cs="Verdana"/>
          <w:b/>
          <w:bCs/>
          <w:spacing w:val="-3"/>
          <w:sz w:val="24"/>
          <w:szCs w:val="24"/>
          <w:u w:val="single"/>
          <w:lang w:val="es-ES" w:eastAsia="es-ES"/>
        </w:rPr>
        <w:t>En cuanto a la Legitimación:</w:t>
      </w:r>
      <w:r>
        <w:rPr>
          <w:rFonts w:ascii="Verdana" w:hAnsi="Verdana" w:cs="Verdana"/>
          <w:spacing w:val="-3"/>
          <w:sz w:val="24"/>
          <w:szCs w:val="24"/>
          <w:lang w:val="es-ES" w:eastAsia="es-ES"/>
        </w:rPr>
        <w:t xml:space="preserve"> A la empresa </w:t>
      </w:r>
      <w:r>
        <w:rPr>
          <w:rFonts w:ascii="Verdana" w:hAnsi="Verdana" w:cs="Verdana"/>
          <w:b/>
          <w:bCs/>
          <w:spacing w:val="-3"/>
          <w:sz w:val="24"/>
          <w:szCs w:val="24"/>
          <w:lang w:val="es-ES" w:eastAsia="es-ES"/>
        </w:rPr>
        <w:t>T</w:t>
      </w:r>
      <w:r w:rsidR="005B1D1F">
        <w:rPr>
          <w:rFonts w:ascii="Verdana" w:hAnsi="Verdana" w:cs="Verdana"/>
          <w:b/>
          <w:bCs/>
          <w:spacing w:val="-3"/>
          <w:sz w:val="24"/>
          <w:szCs w:val="24"/>
          <w:lang w:val="es-ES" w:eastAsia="es-ES"/>
        </w:rPr>
        <w:t>.R.Y.C.S.A.</w:t>
      </w:r>
      <w:r>
        <w:rPr>
          <w:rFonts w:ascii="Verdana" w:hAnsi="Verdana" w:cs="Verdana"/>
          <w:b/>
          <w:bCs/>
          <w:spacing w:val="-3"/>
          <w:sz w:val="24"/>
          <w:szCs w:val="24"/>
          <w:lang w:val="es-ES" w:eastAsia="es-ES"/>
        </w:rPr>
        <w:t xml:space="preserve">, cédula jurídica número </w:t>
      </w:r>
      <w:r w:rsidR="005B1D1F">
        <w:rPr>
          <w:rFonts w:ascii="Verdana" w:hAnsi="Verdana" w:cs="Verdana"/>
          <w:b/>
          <w:bCs/>
          <w:spacing w:val="-3"/>
          <w:sz w:val="24"/>
          <w:szCs w:val="24"/>
          <w:lang w:val="es-ES" w:eastAsia="es-ES"/>
        </w:rPr>
        <w:t>…</w:t>
      </w:r>
      <w:r>
        <w:rPr>
          <w:rFonts w:ascii="Verdana" w:hAnsi="Verdana" w:cs="Verdana"/>
          <w:b/>
          <w:bCs/>
          <w:spacing w:val="-3"/>
          <w:sz w:val="24"/>
          <w:szCs w:val="24"/>
          <w:lang w:val="es-ES" w:eastAsia="es-ES"/>
        </w:rPr>
        <w:t xml:space="preserve">, </w:t>
      </w:r>
      <w:r>
        <w:rPr>
          <w:rFonts w:ascii="Verdana" w:hAnsi="Verdana" w:cs="Verdana"/>
          <w:spacing w:val="-3"/>
          <w:sz w:val="24"/>
          <w:szCs w:val="24"/>
          <w:lang w:val="es-ES" w:eastAsia="es-ES"/>
        </w:rPr>
        <w:t xml:space="preserve">mediante el acuerdo impugnado se le rechazo solicitud de aplicación de excepción contemplada en acuerdo 7.18 de la Sesión ordinaria 23-2017, la cual fue presentada el 18 de agosto de 2017, por lo </w:t>
      </w:r>
      <w:proofErr w:type="gramStart"/>
      <w:r>
        <w:rPr>
          <w:rFonts w:ascii="Verdana" w:hAnsi="Verdana" w:cs="Verdana"/>
          <w:spacing w:val="-3"/>
          <w:sz w:val="24"/>
          <w:szCs w:val="24"/>
          <w:lang w:val="es-ES" w:eastAsia="es-ES"/>
        </w:rPr>
        <w:t>tanto</w:t>
      </w:r>
      <w:proofErr w:type="gramEnd"/>
      <w:r>
        <w:rPr>
          <w:rFonts w:ascii="Verdana" w:hAnsi="Verdana" w:cs="Verdana"/>
          <w:spacing w:val="-3"/>
          <w:sz w:val="24"/>
          <w:szCs w:val="24"/>
          <w:lang w:val="es-ES" w:eastAsia="es-ES"/>
        </w:rPr>
        <w:t xml:space="preserve"> cuentan con la Legitimación suficiente</w:t>
      </w:r>
    </w:p>
    <w:p w:rsidR="00DC4DB9" w:rsidRDefault="00DC4DB9">
      <w:pPr>
        <w:widowControl/>
        <w:rPr>
          <w:sz w:val="24"/>
          <w:szCs w:val="24"/>
        </w:rPr>
        <w:sectPr w:rsidR="00DC4DB9">
          <w:pgSz w:w="12283" w:h="15754"/>
          <w:pgMar w:top="1020" w:right="1617" w:bottom="187" w:left="1766" w:header="720" w:footer="720" w:gutter="0"/>
          <w:cols w:space="720"/>
          <w:noEndnote/>
        </w:sectPr>
      </w:pPr>
    </w:p>
    <w:p w:rsidR="00DC4DB9" w:rsidRDefault="0034101A">
      <w:pPr>
        <w:kinsoku w:val="0"/>
        <w:overflowPunct w:val="0"/>
        <w:autoSpaceDE/>
        <w:autoSpaceDN/>
        <w:adjustRightInd/>
        <w:spacing w:line="290"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 xml:space="preserve">para actuar en el presente asunto. </w:t>
      </w:r>
      <w:r>
        <w:rPr>
          <w:rFonts w:ascii="Verdana" w:hAnsi="Verdana" w:cs="Verdana"/>
          <w:b/>
          <w:bCs/>
          <w:sz w:val="24"/>
          <w:szCs w:val="24"/>
          <w:u w:val="single"/>
          <w:lang w:val="es-ES" w:eastAsia="es-ES"/>
        </w:rPr>
        <w:t>En cuanto al plazo:</w:t>
      </w:r>
      <w:r>
        <w:rPr>
          <w:rFonts w:ascii="Verdana" w:hAnsi="Verdana" w:cs="Verdana"/>
          <w:sz w:val="24"/>
          <w:szCs w:val="24"/>
          <w:lang w:val="es-ES" w:eastAsia="es-ES"/>
        </w:rPr>
        <w:t xml:space="preserve"> Conforme al estudio efectuado el Recurso de Apelación fue presentado dentro del plazo legal establecido ¡para tal fin, en los términos del artículo 11 de la Ley 7969.</w:t>
      </w:r>
    </w:p>
    <w:p w:rsidR="00DC4DB9" w:rsidRDefault="0034101A">
      <w:pPr>
        <w:kinsoku w:val="0"/>
        <w:overflowPunct w:val="0"/>
        <w:autoSpaceDE/>
        <w:autoSpaceDN/>
        <w:adjustRightInd/>
        <w:spacing w:before="339" w:line="290" w:lineRule="exact"/>
        <w:ind w:left="72" w:right="72"/>
        <w:jc w:val="both"/>
        <w:textAlignment w:val="baseline"/>
        <w:rPr>
          <w:rFonts w:ascii="Verdana" w:hAnsi="Verdana" w:cs="Verdana"/>
          <w:spacing w:val="-1"/>
          <w:sz w:val="24"/>
          <w:szCs w:val="24"/>
          <w:lang w:val="es-ES" w:eastAsia="es-ES"/>
        </w:rPr>
      </w:pPr>
      <w:r>
        <w:rPr>
          <w:rFonts w:ascii="Verdana" w:hAnsi="Verdana" w:cs="Verdana"/>
          <w:b/>
          <w:bCs/>
          <w:spacing w:val="-1"/>
          <w:sz w:val="24"/>
          <w:szCs w:val="24"/>
          <w:lang w:val="es-ES" w:eastAsia="es-ES"/>
        </w:rPr>
        <w:t xml:space="preserve">3.- SOBRE LOS HECHOS PROBADOS: </w:t>
      </w:r>
      <w:r>
        <w:rPr>
          <w:rFonts w:ascii="Verdana" w:hAnsi="Verdana" w:cs="Verdana"/>
          <w:spacing w:val="-1"/>
          <w:sz w:val="24"/>
          <w:szCs w:val="24"/>
          <w:lang w:val="es-ES" w:eastAsia="es-ES"/>
        </w:rPr>
        <w:t xml:space="preserve">De importancia para la decisión de este asunto, se estiman como debidamente demostrados los siguientes hechos por cuanto así han sido acreditados: </w:t>
      </w:r>
      <w:r>
        <w:rPr>
          <w:rFonts w:ascii="Verdana" w:hAnsi="Verdana" w:cs="Verdana"/>
          <w:b/>
          <w:bCs/>
          <w:spacing w:val="-1"/>
          <w:sz w:val="24"/>
          <w:szCs w:val="24"/>
          <w:lang w:val="es-ES" w:eastAsia="es-ES"/>
        </w:rPr>
        <w:t>A</w:t>
      </w:r>
      <w:proofErr w:type="gramStart"/>
      <w:r>
        <w:rPr>
          <w:rFonts w:ascii="Verdana" w:hAnsi="Verdana" w:cs="Verdana"/>
          <w:b/>
          <w:bCs/>
          <w:spacing w:val="-1"/>
          <w:sz w:val="24"/>
          <w:szCs w:val="24"/>
          <w:lang w:val="es-ES" w:eastAsia="es-ES"/>
        </w:rPr>
        <w:t>).-</w:t>
      </w:r>
      <w:proofErr w:type="gramEnd"/>
      <w:r>
        <w:rPr>
          <w:rFonts w:ascii="Verdana" w:hAnsi="Verdana" w:cs="Verdana"/>
          <w:b/>
          <w:bCs/>
          <w:spacing w:val="-1"/>
          <w:sz w:val="24"/>
          <w:szCs w:val="24"/>
          <w:lang w:val="es-ES" w:eastAsia="es-ES"/>
        </w:rPr>
        <w:t xml:space="preserve"> </w:t>
      </w:r>
      <w:r>
        <w:rPr>
          <w:rFonts w:ascii="Verdana" w:hAnsi="Verdana" w:cs="Verdana"/>
          <w:spacing w:val="-1"/>
          <w:sz w:val="24"/>
          <w:szCs w:val="24"/>
          <w:lang w:val="es-ES" w:eastAsia="es-ES"/>
        </w:rPr>
        <w:t xml:space="preserve">La Junta Directiva del Consejo. de Transporte Público, mediante </w:t>
      </w:r>
      <w:r>
        <w:rPr>
          <w:rFonts w:ascii="Verdana" w:hAnsi="Verdana" w:cs="Verdana"/>
          <w:b/>
          <w:bCs/>
          <w:spacing w:val="-1"/>
          <w:sz w:val="24"/>
          <w:szCs w:val="24"/>
          <w:lang w:val="es-ES" w:eastAsia="es-ES"/>
        </w:rPr>
        <w:t xml:space="preserve">artículo 7.12.24 de la Sesión Ordinaria 34-2017 de 30 de agosto de 2017, celebrado por la Junta Directiva del Consejo de Transporte Público, </w:t>
      </w:r>
      <w:r>
        <w:rPr>
          <w:rFonts w:ascii="Verdana" w:hAnsi="Verdana" w:cs="Verdana"/>
          <w:spacing w:val="-1"/>
          <w:sz w:val="24"/>
          <w:szCs w:val="24"/>
          <w:lang w:val="es-ES" w:eastAsia="es-ES"/>
        </w:rPr>
        <w:t xml:space="preserve">dispuso </w:t>
      </w:r>
      <w:r>
        <w:rPr>
          <w:rFonts w:ascii="Verdana" w:hAnsi="Verdana" w:cs="Verdana"/>
          <w:i/>
          <w:iCs/>
          <w:spacing w:val="-1"/>
          <w:sz w:val="24"/>
          <w:szCs w:val="24"/>
          <w:lang w:val="es-ES" w:eastAsia="es-ES"/>
        </w:rPr>
        <w:t xml:space="preserve">"2. Declarar extemporánea la solicitud de excepcionalidad y/o dispensa, planteada por el señor </w:t>
      </w:r>
      <w:r>
        <w:rPr>
          <w:rFonts w:ascii="Verdana" w:hAnsi="Verdana" w:cs="Verdana"/>
          <w:b/>
          <w:bCs/>
          <w:i/>
          <w:iCs/>
          <w:spacing w:val="-1"/>
          <w:sz w:val="24"/>
          <w:szCs w:val="24"/>
          <w:lang w:val="es-ES" w:eastAsia="es-ES"/>
        </w:rPr>
        <w:t>R</w:t>
      </w:r>
      <w:r w:rsidR="005B1D1F">
        <w:rPr>
          <w:rFonts w:ascii="Verdana" w:hAnsi="Verdana" w:cs="Verdana"/>
          <w:b/>
          <w:bCs/>
          <w:i/>
          <w:iCs/>
          <w:spacing w:val="-1"/>
          <w:sz w:val="24"/>
          <w:szCs w:val="24"/>
          <w:lang w:val="es-ES" w:eastAsia="es-ES"/>
        </w:rPr>
        <w:t>.A.A.R.</w:t>
      </w:r>
      <w:r>
        <w:rPr>
          <w:rFonts w:ascii="Verdana" w:hAnsi="Verdana" w:cs="Verdana"/>
          <w:b/>
          <w:bCs/>
          <w:i/>
          <w:iCs/>
          <w:spacing w:val="-1"/>
          <w:sz w:val="24"/>
          <w:szCs w:val="24"/>
          <w:lang w:val="es-ES" w:eastAsia="es-ES"/>
        </w:rPr>
        <w:t xml:space="preserve"> APODERADO GENERALISIMO SIN LIMITE DE SUMA DE LA FIRMA T</w:t>
      </w:r>
      <w:r w:rsidR="005B1D1F">
        <w:rPr>
          <w:rFonts w:ascii="Verdana" w:hAnsi="Verdana" w:cs="Verdana"/>
          <w:b/>
          <w:bCs/>
          <w:i/>
          <w:iCs/>
          <w:spacing w:val="-1"/>
          <w:sz w:val="24"/>
          <w:szCs w:val="24"/>
          <w:lang w:val="es-ES" w:eastAsia="es-ES"/>
        </w:rPr>
        <w:t>.R.Y.C.S.A.</w:t>
      </w:r>
      <w:r>
        <w:rPr>
          <w:rFonts w:ascii="Verdana" w:hAnsi="Verdana" w:cs="Verdana"/>
          <w:b/>
          <w:bCs/>
          <w:i/>
          <w:iCs/>
          <w:spacing w:val="-1"/>
          <w:sz w:val="24"/>
          <w:szCs w:val="24"/>
          <w:lang w:val="es-ES" w:eastAsia="es-ES"/>
        </w:rPr>
        <w:t xml:space="preserve">, Operadora de la Rutas </w:t>
      </w:r>
      <w:proofErr w:type="spellStart"/>
      <w:r>
        <w:rPr>
          <w:rFonts w:ascii="Verdana" w:hAnsi="Verdana" w:cs="Verdana"/>
          <w:b/>
          <w:bCs/>
          <w:i/>
          <w:iCs/>
          <w:spacing w:val="-1"/>
          <w:sz w:val="24"/>
          <w:szCs w:val="24"/>
          <w:lang w:val="es-ES" w:eastAsia="es-ES"/>
        </w:rPr>
        <w:t>Nros</w:t>
      </w:r>
      <w:proofErr w:type="spellEnd"/>
      <w:r w:rsidR="005B1D1F">
        <w:rPr>
          <w:rFonts w:ascii="Verdana" w:hAnsi="Verdana" w:cs="Verdana"/>
          <w:b/>
          <w:bCs/>
          <w:i/>
          <w:iCs/>
          <w:spacing w:val="-1"/>
          <w:sz w:val="24"/>
          <w:szCs w:val="24"/>
          <w:lang w:val="es-ES" w:eastAsia="es-ES"/>
        </w:rPr>
        <w:t xml:space="preserve"> </w:t>
      </w:r>
      <w:r>
        <w:rPr>
          <w:rFonts w:ascii="Verdana" w:hAnsi="Verdana" w:cs="Verdana"/>
          <w:b/>
          <w:bCs/>
          <w:i/>
          <w:iCs/>
          <w:spacing w:val="-1"/>
          <w:sz w:val="24"/>
          <w:szCs w:val="24"/>
          <w:lang w:val="es-ES" w:eastAsia="es-ES"/>
        </w:rPr>
        <w:t xml:space="preserve">327 y 370, </w:t>
      </w:r>
      <w:r>
        <w:rPr>
          <w:rFonts w:ascii="Verdana" w:hAnsi="Verdana" w:cs="Verdana"/>
          <w:i/>
          <w:iCs/>
          <w:spacing w:val="-1"/>
          <w:sz w:val="24"/>
          <w:szCs w:val="24"/>
          <w:lang w:val="es-ES" w:eastAsia="es-ES"/>
        </w:rPr>
        <w:t xml:space="preserve">en virtud de lo establecido en el punto </w:t>
      </w:r>
      <w:proofErr w:type="spellStart"/>
      <w:r>
        <w:rPr>
          <w:rFonts w:ascii="Verdana" w:hAnsi="Verdana" w:cs="Verdana"/>
          <w:i/>
          <w:iCs/>
          <w:spacing w:val="-1"/>
          <w:sz w:val="24"/>
          <w:szCs w:val="24"/>
          <w:lang w:val="es-ES" w:eastAsia="es-ES"/>
        </w:rPr>
        <w:t>N°</w:t>
      </w:r>
      <w:proofErr w:type="spellEnd"/>
      <w:r>
        <w:rPr>
          <w:rFonts w:ascii="Verdana" w:hAnsi="Verdana" w:cs="Verdana"/>
          <w:i/>
          <w:iCs/>
          <w:spacing w:val="-1"/>
          <w:sz w:val="24"/>
          <w:szCs w:val="24"/>
          <w:lang w:val="es-ES" w:eastAsia="es-ES"/>
        </w:rPr>
        <w:t xml:space="preserve"> 7 de la parte dispositiva del artículo 7.18 de la Sesión Ordinaria 23-2017 del 07 de junio del 2017, adoptado por la Junta Directiva, ya que la misma, fue presentada hasta el 18 de agosto de 2017 a las 9:00 horas, de conformidad con los motivos fundamentos y exposiciones emitidas anteriormente. </w:t>
      </w:r>
      <w:r>
        <w:rPr>
          <w:rFonts w:ascii="Verdana" w:hAnsi="Verdana" w:cs="Verdana"/>
          <w:spacing w:val="-1"/>
          <w:sz w:val="24"/>
          <w:szCs w:val="24"/>
          <w:lang w:val="es-ES" w:eastAsia="es-ES"/>
        </w:rPr>
        <w:t>(...)"". (Léase folio 11 cara vuelto del expediente administrativo)</w:t>
      </w:r>
    </w:p>
    <w:p w:rsidR="00DC4DB9" w:rsidRDefault="0034101A">
      <w:pPr>
        <w:numPr>
          <w:ilvl w:val="0"/>
          <w:numId w:val="8"/>
        </w:numPr>
        <w:kinsoku w:val="0"/>
        <w:overflowPunct w:val="0"/>
        <w:autoSpaceDE/>
        <w:autoSpaceDN/>
        <w:adjustRightInd/>
        <w:spacing w:before="517" w:line="291"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empresa recurrente, impugna el </w:t>
      </w:r>
      <w:r>
        <w:rPr>
          <w:rFonts w:ascii="Verdana" w:hAnsi="Verdana" w:cs="Verdana"/>
          <w:b/>
          <w:bCs/>
          <w:sz w:val="24"/>
          <w:szCs w:val="24"/>
          <w:lang w:val="es-ES" w:eastAsia="es-ES"/>
        </w:rPr>
        <w:t xml:space="preserve">Artículo 7.12.24 de la Sesión Ordinaria 34-2017 de 30 de agosto de 2017, </w:t>
      </w:r>
      <w:r>
        <w:rPr>
          <w:rFonts w:ascii="Verdana" w:hAnsi="Verdana" w:cs="Verdana"/>
          <w:sz w:val="24"/>
          <w:szCs w:val="24"/>
          <w:lang w:val="es-ES" w:eastAsia="es-ES"/>
        </w:rPr>
        <w:t xml:space="preserve">basándose en que la Junta Directiva del CTP acordó en </w:t>
      </w:r>
      <w:r>
        <w:rPr>
          <w:rFonts w:ascii="Verdana" w:hAnsi="Verdana" w:cs="Verdana"/>
          <w:b/>
          <w:bCs/>
          <w:sz w:val="24"/>
          <w:szCs w:val="24"/>
          <w:lang w:val="es-ES" w:eastAsia="es-ES"/>
        </w:rPr>
        <w:t xml:space="preserve">acuerdo 5.1 de la Sesión Ordinaria 30-2017 del 26 de julio de 2017, </w:t>
      </w:r>
      <w:r>
        <w:rPr>
          <w:rFonts w:ascii="Verdana" w:hAnsi="Verdana" w:cs="Verdana"/>
          <w:sz w:val="24"/>
          <w:szCs w:val="24"/>
          <w:lang w:val="es-ES" w:eastAsia="es-ES"/>
        </w:rPr>
        <w:t xml:space="preserve">que el plazo del 1 de agosto de 2017 para presentar la solicitud de extensión de plazo no era perentorio sino </w:t>
      </w:r>
      <w:proofErr w:type="spellStart"/>
      <w:r>
        <w:rPr>
          <w:rFonts w:ascii="Verdana" w:hAnsi="Verdana" w:cs="Verdana"/>
          <w:sz w:val="24"/>
          <w:szCs w:val="24"/>
          <w:lang w:val="es-ES" w:eastAsia="es-ES"/>
        </w:rPr>
        <w:t>ordenatorio</w:t>
      </w:r>
      <w:proofErr w:type="spellEnd"/>
      <w:r>
        <w:rPr>
          <w:rFonts w:ascii="Verdana" w:hAnsi="Verdana" w:cs="Verdana"/>
          <w:sz w:val="24"/>
          <w:szCs w:val="24"/>
          <w:lang w:val="es-ES" w:eastAsia="es-ES"/>
        </w:rPr>
        <w:t>. (Léanse folios del 8 vuelto y 9 frente y vuelto del expediente administrativo)</w:t>
      </w:r>
    </w:p>
    <w:p w:rsidR="00DC4DB9" w:rsidRDefault="0034101A" w:rsidP="005B1D1F">
      <w:pPr>
        <w:numPr>
          <w:ilvl w:val="0"/>
          <w:numId w:val="9"/>
        </w:numPr>
        <w:kinsoku w:val="0"/>
        <w:overflowPunct w:val="0"/>
        <w:autoSpaceDE/>
        <w:autoSpaceDN/>
        <w:adjustRightInd/>
        <w:spacing w:before="302" w:line="291"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acuerdo 7.6.5 de la Sesión Ordinaria 17-2018 de 3 de mayo de 2018, </w:t>
      </w:r>
      <w:r>
        <w:rPr>
          <w:rFonts w:ascii="Verdana" w:hAnsi="Verdana" w:cs="Verdana"/>
          <w:sz w:val="24"/>
          <w:szCs w:val="24"/>
          <w:lang w:val="es-ES" w:eastAsia="es-ES"/>
        </w:rPr>
        <w:t xml:space="preserve">conoce y avala el Informe de la Dirección de Asuntos Jurídicos el </w:t>
      </w:r>
      <w:r>
        <w:rPr>
          <w:rFonts w:ascii="Verdana" w:hAnsi="Verdana" w:cs="Verdana"/>
          <w:b/>
          <w:bCs/>
          <w:sz w:val="24"/>
          <w:szCs w:val="24"/>
          <w:lang w:val="es-ES" w:eastAsia="es-ES"/>
        </w:rPr>
        <w:t xml:space="preserve">DAJ- 2018-000722 de 23 de abril de 2018, </w:t>
      </w:r>
      <w:r>
        <w:rPr>
          <w:rFonts w:ascii="Verdana" w:hAnsi="Verdana" w:cs="Verdana"/>
          <w:sz w:val="24"/>
          <w:szCs w:val="24"/>
          <w:lang w:val="es-ES" w:eastAsia="es-ES"/>
        </w:rPr>
        <w:t>y dispone rechazar por improcedente el Recurso de Revocatoria y la Nulidad concomitante presentada por la Recurrente, por considerar que la actuación del Consejo de Transporte Público se dio dentro del marco de la Legalidad. (Léanse folios del 2 al 7 del expediente administrativo.)</w:t>
      </w:r>
    </w:p>
    <w:p w:rsidR="00DC4DB9" w:rsidRDefault="0034101A">
      <w:pPr>
        <w:numPr>
          <w:ilvl w:val="0"/>
          <w:numId w:val="10"/>
        </w:numPr>
        <w:kinsoku w:val="0"/>
        <w:overflowPunct w:val="0"/>
        <w:autoSpaceDE/>
        <w:autoSpaceDN/>
        <w:adjustRightInd/>
        <w:spacing w:before="297" w:line="297"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Artículo 5.1 de la Sesión Ordinaria 30-2017 de 26 de julio de 2017, </w:t>
      </w:r>
      <w:r>
        <w:rPr>
          <w:rFonts w:ascii="Verdana" w:hAnsi="Verdana" w:cs="Verdana"/>
          <w:sz w:val="24"/>
          <w:szCs w:val="24"/>
          <w:lang w:val="es-ES" w:eastAsia="es-ES"/>
        </w:rPr>
        <w:t xml:space="preserve">causa una confusión en los administrados pues dispuso que el plazo del 1 de agosto de 2017 para presentar la solicitud de extensión de plazo no era perentorio sino </w:t>
      </w:r>
      <w:proofErr w:type="spellStart"/>
      <w:r>
        <w:rPr>
          <w:rFonts w:ascii="Verdana" w:hAnsi="Verdana" w:cs="Verdana"/>
          <w:sz w:val="24"/>
          <w:szCs w:val="24"/>
          <w:lang w:val="es-ES" w:eastAsia="es-ES"/>
        </w:rPr>
        <w:t>ordenatorio</w:t>
      </w:r>
      <w:proofErr w:type="spellEnd"/>
      <w:r>
        <w:rPr>
          <w:rFonts w:ascii="Verdana" w:hAnsi="Verdana" w:cs="Verdana"/>
          <w:sz w:val="24"/>
          <w:szCs w:val="24"/>
          <w:lang w:val="es-ES" w:eastAsia="es-ES"/>
        </w:rPr>
        <w:t>. (ver folios 112 al 116 del expediente administrativo) -</w:t>
      </w:r>
    </w:p>
    <w:p w:rsidR="00DC4DB9" w:rsidRDefault="00DC4DB9">
      <w:pPr>
        <w:widowControl/>
        <w:rPr>
          <w:sz w:val="24"/>
          <w:szCs w:val="24"/>
        </w:rPr>
        <w:sectPr w:rsidR="00DC4DB9">
          <w:pgSz w:w="12283" w:h="15754"/>
          <w:pgMar w:top="760" w:right="1599" w:bottom="318" w:left="1644" w:header="720" w:footer="720" w:gutter="0"/>
          <w:cols w:space="720"/>
          <w:noEndnote/>
        </w:sectPr>
      </w:pPr>
    </w:p>
    <w:p w:rsidR="00DC4DB9" w:rsidRDefault="0034101A">
      <w:pPr>
        <w:numPr>
          <w:ilvl w:val="0"/>
          <w:numId w:val="11"/>
        </w:numPr>
        <w:kinsoku w:val="0"/>
        <w:overflowPunct w:val="0"/>
        <w:autoSpaceDE/>
        <w:autoSpaceDN/>
        <w:adjustRightInd/>
        <w:spacing w:before="6" w:line="292"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Queda demostrado fehacientemente que la empresa recurrente junto a otras empresas de Transporte remunerado de personas en vehículos modalidad autobús, presentaron ante el CTP el 1 de agosto de 2017 mediante expediente de ventanilla única 342974, solicitud de prórroga de quince días para la presentación de la indicación de cual organismo realizaría el estudio de calidad, petición que nunca obtuvo respuesta de parte del CTP. (ver folios 106, 108, 109, 110 y 117,118 y 119 del expediente administrativo)</w:t>
      </w:r>
    </w:p>
    <w:p w:rsidR="00DC4DB9" w:rsidRDefault="0034101A">
      <w:pPr>
        <w:numPr>
          <w:ilvl w:val="0"/>
          <w:numId w:val="11"/>
        </w:numPr>
        <w:kinsoku w:val="0"/>
        <w:overflowPunct w:val="0"/>
        <w:autoSpaceDE/>
        <w:autoSpaceDN/>
        <w:adjustRightInd/>
        <w:spacing w:before="292" w:line="294"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Se tiene por demostrado que la recurrente </w:t>
      </w:r>
      <w:r>
        <w:rPr>
          <w:rFonts w:ascii="Verdana" w:hAnsi="Verdana" w:cs="Verdana"/>
          <w:b/>
          <w:bCs/>
          <w:sz w:val="24"/>
          <w:szCs w:val="24"/>
          <w:lang w:val="es-ES" w:eastAsia="es-ES"/>
        </w:rPr>
        <w:t xml:space="preserve">cumplió con la presentación de los estudios de control de calidad del 2017 con un organismo acreditado ante el ECA. </w:t>
      </w:r>
      <w:r>
        <w:rPr>
          <w:rFonts w:ascii="Verdana" w:hAnsi="Verdana" w:cs="Verdana"/>
          <w:sz w:val="24"/>
          <w:szCs w:val="24"/>
          <w:lang w:val="es-ES" w:eastAsia="es-ES"/>
        </w:rPr>
        <w:t>(ver folios del 123 al 127 del expediente administrativo)</w:t>
      </w:r>
    </w:p>
    <w:p w:rsidR="00DC4DB9" w:rsidRDefault="0034101A">
      <w:pPr>
        <w:numPr>
          <w:ilvl w:val="0"/>
          <w:numId w:val="12"/>
        </w:numPr>
        <w:kinsoku w:val="0"/>
        <w:overflowPunct w:val="0"/>
        <w:autoSpaceDE/>
        <w:autoSpaceDN/>
        <w:adjustRightInd/>
        <w:spacing w:before="276" w:line="300" w:lineRule="exact"/>
        <w:ind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HECHOS NO PROBADOS: </w:t>
      </w:r>
      <w:r>
        <w:rPr>
          <w:rFonts w:ascii="Verdana" w:hAnsi="Verdana" w:cs="Verdana"/>
          <w:sz w:val="24"/>
          <w:szCs w:val="24"/>
          <w:lang w:val="es-ES" w:eastAsia="es-ES"/>
        </w:rPr>
        <w:t>Ninguno de importancia para la resolución del presente asunto.</w:t>
      </w:r>
    </w:p>
    <w:p w:rsidR="00DC4DB9" w:rsidRDefault="0034101A">
      <w:pPr>
        <w:numPr>
          <w:ilvl w:val="0"/>
          <w:numId w:val="12"/>
        </w:numPr>
        <w:kinsoku w:val="0"/>
        <w:overflowPunct w:val="0"/>
        <w:autoSpaceDE/>
        <w:autoSpaceDN/>
        <w:adjustRightInd/>
        <w:spacing w:line="580" w:lineRule="exact"/>
        <w:ind w:right="72"/>
        <w:textAlignment w:val="baseline"/>
        <w:rPr>
          <w:rFonts w:ascii="Verdana" w:hAnsi="Verdana" w:cs="Verdana"/>
          <w:b/>
          <w:bCs/>
          <w:sz w:val="24"/>
          <w:szCs w:val="24"/>
          <w:lang w:val="es-ES" w:eastAsia="es-ES"/>
        </w:rPr>
      </w:pPr>
      <w:r>
        <w:rPr>
          <w:rFonts w:ascii="Verdana" w:hAnsi="Verdana" w:cs="Verdana"/>
          <w:b/>
          <w:bCs/>
          <w:sz w:val="24"/>
          <w:szCs w:val="24"/>
          <w:lang w:val="es-ES" w:eastAsia="es-ES"/>
        </w:rPr>
        <w:t>SOBRE EL FONDO:</w:t>
      </w:r>
      <w:r>
        <w:rPr>
          <w:rFonts w:ascii="Verdana" w:hAnsi="Verdana" w:cs="Verdana"/>
          <w:b/>
          <w:bCs/>
          <w:sz w:val="24"/>
          <w:szCs w:val="24"/>
          <w:lang w:val="es-ES" w:eastAsia="es-ES"/>
        </w:rPr>
        <w:br/>
        <w:t>OBJETO DEL RECURSO.</w:t>
      </w:r>
    </w:p>
    <w:p w:rsidR="00DC4DB9" w:rsidRDefault="0034101A">
      <w:pPr>
        <w:kinsoku w:val="0"/>
        <w:overflowPunct w:val="0"/>
        <w:autoSpaceDE/>
        <w:autoSpaceDN/>
        <w:adjustRightInd/>
        <w:spacing w:before="289" w:line="293" w:lineRule="exact"/>
        <w:ind w:left="144" w:right="72"/>
        <w:jc w:val="both"/>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t xml:space="preserve">El presente Recurso de Apelación, tiene como objeto la revocación del </w:t>
      </w:r>
      <w:r>
        <w:rPr>
          <w:rFonts w:ascii="Verdana" w:hAnsi="Verdana" w:cs="Verdana"/>
          <w:b/>
          <w:bCs/>
          <w:spacing w:val="-1"/>
          <w:sz w:val="24"/>
          <w:szCs w:val="24"/>
          <w:lang w:val="es-ES" w:eastAsia="es-ES"/>
        </w:rPr>
        <w:t xml:space="preserve">artículo 7.12.24 de la Sesión Ordinaria 34-2017 de 30 de agosto de 2017, celebrado por la Junta Directiva del Consejo de Transporte Público, </w:t>
      </w:r>
      <w:r>
        <w:rPr>
          <w:rFonts w:ascii="Verdana" w:hAnsi="Verdana" w:cs="Verdana"/>
          <w:spacing w:val="-1"/>
          <w:sz w:val="24"/>
          <w:szCs w:val="24"/>
          <w:lang w:val="es-ES" w:eastAsia="es-ES"/>
        </w:rPr>
        <w:t xml:space="preserve">de modo que se autorice a la recurrente la solicitud de extensión de plazo, y pueda presentar con posterioridad al 1 de agosto de 2017 la indicación de la empresa que les realizará el estudio de calidad del </w:t>
      </w:r>
      <w:proofErr w:type="gramStart"/>
      <w:r>
        <w:rPr>
          <w:rFonts w:ascii="Verdana" w:hAnsi="Verdana" w:cs="Verdana"/>
          <w:spacing w:val="-1"/>
          <w:sz w:val="24"/>
          <w:szCs w:val="24"/>
          <w:lang w:val="es-ES" w:eastAsia="es-ES"/>
        </w:rPr>
        <w:t>servicio .</w:t>
      </w:r>
      <w:proofErr w:type="gramEnd"/>
    </w:p>
    <w:p w:rsidR="00DC4DB9" w:rsidRDefault="0034101A">
      <w:pPr>
        <w:kinsoku w:val="0"/>
        <w:overflowPunct w:val="0"/>
        <w:autoSpaceDE/>
        <w:autoSpaceDN/>
        <w:adjustRightInd/>
        <w:spacing w:before="285" w:line="281" w:lineRule="exact"/>
        <w:ind w:left="144" w:right="72"/>
        <w:textAlignment w:val="baseline"/>
        <w:rPr>
          <w:rFonts w:ascii="Verdana" w:hAnsi="Verdana" w:cs="Verdana"/>
          <w:b/>
          <w:bCs/>
          <w:spacing w:val="-13"/>
          <w:sz w:val="24"/>
          <w:szCs w:val="24"/>
          <w:lang w:val="es-ES" w:eastAsia="es-ES"/>
        </w:rPr>
      </w:pPr>
      <w:r>
        <w:rPr>
          <w:rFonts w:ascii="Verdana" w:hAnsi="Verdana" w:cs="Verdana"/>
          <w:b/>
          <w:bCs/>
          <w:spacing w:val="-13"/>
          <w:sz w:val="24"/>
          <w:szCs w:val="24"/>
          <w:lang w:val="es-ES" w:eastAsia="es-ES"/>
        </w:rPr>
        <w:t>DE LO ACTUADO POR EL CONSEJO DE TRANSPORTE PÚBLICO</w:t>
      </w:r>
    </w:p>
    <w:p w:rsidR="00DC4DB9" w:rsidRDefault="0034101A">
      <w:pPr>
        <w:kinsoku w:val="0"/>
        <w:overflowPunct w:val="0"/>
        <w:autoSpaceDE/>
        <w:autoSpaceDN/>
        <w:adjustRightInd/>
        <w:spacing w:before="268" w:line="287" w:lineRule="exact"/>
        <w:ind w:left="144"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Junta Directiva del Consejo de Transporte Público, mediante el </w:t>
      </w:r>
      <w:r>
        <w:rPr>
          <w:rFonts w:ascii="Verdana" w:hAnsi="Verdana" w:cs="Verdana"/>
          <w:b/>
          <w:bCs/>
          <w:sz w:val="24"/>
          <w:szCs w:val="24"/>
          <w:lang w:val="es-ES" w:eastAsia="es-ES"/>
        </w:rPr>
        <w:t xml:space="preserve">artículo 8.1 de la Sesión Ordinaria 42-2016 de 01 de setiembre de 2016, </w:t>
      </w:r>
      <w:r>
        <w:rPr>
          <w:rFonts w:ascii="Verdana" w:hAnsi="Verdana" w:cs="Verdana"/>
          <w:sz w:val="24"/>
          <w:szCs w:val="24"/>
          <w:lang w:val="es-ES" w:eastAsia="es-ES"/>
        </w:rPr>
        <w:t>aprueba las consideraciones generales para la contratación de organismos de inspección para la evaluación del período 2016, así como el correspondiente Manual para la Evaluación de la Calidad para dicho período.</w:t>
      </w:r>
    </w:p>
    <w:p w:rsidR="00DC4DB9" w:rsidRDefault="0034101A">
      <w:pPr>
        <w:kinsoku w:val="0"/>
        <w:overflowPunct w:val="0"/>
        <w:autoSpaceDE/>
        <w:autoSpaceDN/>
        <w:adjustRightInd/>
        <w:spacing w:before="303" w:line="294" w:lineRule="exact"/>
        <w:ind w:left="144"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Artículo 7.18 de la Sesión Ordinaria 23-2017 de</w:t>
      </w:r>
      <w:r>
        <w:rPr>
          <w:rFonts w:ascii="Verdana" w:hAnsi="Verdana" w:cs="Verdana"/>
          <w:sz w:val="24"/>
          <w:szCs w:val="24"/>
          <w:lang w:val="es-ES" w:eastAsia="es-ES"/>
        </w:rPr>
        <w:t xml:space="preserve">, </w:t>
      </w:r>
      <w:r>
        <w:rPr>
          <w:rFonts w:ascii="Verdana" w:hAnsi="Verdana" w:cs="Verdana"/>
          <w:b/>
          <w:bCs/>
          <w:sz w:val="24"/>
          <w:szCs w:val="24"/>
          <w:lang w:val="es-ES" w:eastAsia="es-ES"/>
        </w:rPr>
        <w:t xml:space="preserve">7 de junio de 2017, </w:t>
      </w:r>
      <w:r>
        <w:rPr>
          <w:rFonts w:ascii="Verdana" w:hAnsi="Verdana" w:cs="Verdana"/>
          <w:sz w:val="24"/>
          <w:szCs w:val="24"/>
          <w:lang w:val="es-ES" w:eastAsia="es-ES"/>
        </w:rPr>
        <w:t>en lo que interesa dispuso:</w:t>
      </w:r>
    </w:p>
    <w:p w:rsidR="00DC4DB9" w:rsidRDefault="0034101A">
      <w:pPr>
        <w:kinsoku w:val="0"/>
        <w:overflowPunct w:val="0"/>
        <w:autoSpaceDE/>
        <w:autoSpaceDN/>
        <w:adjustRightInd/>
        <w:spacing w:before="312" w:line="197" w:lineRule="exact"/>
        <w:ind w:left="504" w:right="432"/>
        <w:jc w:val="both"/>
        <w:textAlignment w:val="baseline"/>
        <w:rPr>
          <w:rFonts w:ascii="Verdana" w:hAnsi="Verdana" w:cs="Verdana"/>
          <w:i/>
          <w:iCs/>
          <w:spacing w:val="-2"/>
          <w:sz w:val="16"/>
          <w:szCs w:val="16"/>
          <w:u w:val="single"/>
          <w:lang w:val="es-ES" w:eastAsia="es-ES"/>
        </w:rPr>
      </w:pPr>
      <w:r>
        <w:rPr>
          <w:rFonts w:ascii="Verdana" w:hAnsi="Verdana" w:cs="Verdana"/>
          <w:i/>
          <w:iCs/>
          <w:spacing w:val="-2"/>
          <w:sz w:val="16"/>
          <w:szCs w:val="16"/>
          <w:lang w:val="es-ES" w:eastAsia="es-ES"/>
        </w:rPr>
        <w:t xml:space="preserve">"7. </w:t>
      </w:r>
      <w:r>
        <w:rPr>
          <w:rFonts w:ascii="Verdana" w:hAnsi="Verdana" w:cs="Verdana"/>
          <w:b/>
          <w:bCs/>
          <w:i/>
          <w:iCs/>
          <w:spacing w:val="-2"/>
          <w:sz w:val="16"/>
          <w:szCs w:val="16"/>
          <w:u w:val="single"/>
          <w:lang w:val="es-ES" w:eastAsia="es-ES"/>
        </w:rPr>
        <w:t>Se establecen las Excepciones v dispensas del requisito de contratación de Organismos de Inspección Acreditados ante el ECA para el año 2017,</w:t>
      </w:r>
      <w:r>
        <w:rPr>
          <w:rFonts w:ascii="Verdana" w:hAnsi="Verdana" w:cs="Verdana"/>
          <w:i/>
          <w:iCs/>
          <w:spacing w:val="-2"/>
          <w:sz w:val="16"/>
          <w:szCs w:val="16"/>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pacing w:val="-2"/>
          <w:sz w:val="16"/>
          <w:szCs w:val="16"/>
          <w:u w:val="single"/>
          <w:lang w:val="es-ES" w:eastAsia="es-ES"/>
        </w:rPr>
        <w:t xml:space="preserve">improrrogable </w:t>
      </w:r>
      <w:r>
        <w:rPr>
          <w:rFonts w:ascii="Verdana" w:hAnsi="Verdana" w:cs="Verdana"/>
          <w:i/>
          <w:iCs/>
          <w:spacing w:val="-2"/>
          <w:sz w:val="16"/>
          <w:szCs w:val="16"/>
          <w:lang w:val="es-ES" w:eastAsia="es-ES"/>
        </w:rPr>
        <w:t xml:space="preserve">hasta el </w:t>
      </w:r>
      <w:r>
        <w:rPr>
          <w:rFonts w:ascii="Verdana" w:hAnsi="Verdana" w:cs="Verdana"/>
          <w:b/>
          <w:bCs/>
          <w:i/>
          <w:iCs/>
          <w:spacing w:val="-2"/>
          <w:sz w:val="16"/>
          <w:szCs w:val="16"/>
          <w:u w:val="single"/>
          <w:lang w:val="es-ES" w:eastAsia="es-ES"/>
        </w:rPr>
        <w:t xml:space="preserve">1 de agosto del 2017, </w:t>
      </w:r>
      <w:r>
        <w:rPr>
          <w:rFonts w:ascii="Verdana" w:hAnsi="Verdana" w:cs="Verdana"/>
          <w:i/>
          <w:iCs/>
          <w:spacing w:val="-2"/>
          <w:sz w:val="16"/>
          <w:szCs w:val="16"/>
          <w:u w:val="single"/>
          <w:lang w:val="es-ES" w:eastAsia="es-ES"/>
        </w:rPr>
        <w:t xml:space="preserve">para  demostrar ante el </w:t>
      </w:r>
      <w:proofErr w:type="spellStart"/>
      <w:r>
        <w:rPr>
          <w:rFonts w:ascii="Verdana" w:hAnsi="Verdana" w:cs="Verdana"/>
          <w:i/>
          <w:iCs/>
          <w:spacing w:val="-2"/>
          <w:sz w:val="16"/>
          <w:szCs w:val="16"/>
          <w:u w:val="single"/>
          <w:lang w:val="es-ES" w:eastAsia="es-ES"/>
        </w:rPr>
        <w:t>Conseio</w:t>
      </w:r>
      <w:proofErr w:type="spellEnd"/>
      <w:r>
        <w:rPr>
          <w:rFonts w:ascii="Verdana" w:hAnsi="Verdana" w:cs="Verdana"/>
          <w:i/>
          <w:iCs/>
          <w:spacing w:val="-2"/>
          <w:sz w:val="16"/>
          <w:szCs w:val="16"/>
          <w:u w:val="single"/>
          <w:lang w:val="es-ES" w:eastAsia="es-ES"/>
        </w:rPr>
        <w:t xml:space="preserve"> de Transporte Público, </w:t>
      </w:r>
      <w:r>
        <w:rPr>
          <w:rFonts w:ascii="Verdana" w:hAnsi="Verdana" w:cs="Verdana"/>
          <w:b/>
          <w:bCs/>
          <w:i/>
          <w:iCs/>
          <w:spacing w:val="-2"/>
          <w:sz w:val="16"/>
          <w:szCs w:val="16"/>
          <w:u w:val="single"/>
          <w:lang w:val="es-ES" w:eastAsia="es-ES"/>
        </w:rPr>
        <w:t>la imposibilidad de aplicar la evaluación de inconformidad contratando Organismos de Evaluación acreditados ante el ECA;</w:t>
      </w:r>
      <w:r>
        <w:rPr>
          <w:rFonts w:ascii="Verdana" w:hAnsi="Verdana" w:cs="Verdana"/>
          <w:i/>
          <w:iCs/>
          <w:spacing w:val="-2"/>
          <w:sz w:val="16"/>
          <w:szCs w:val="16"/>
          <w:lang w:val="es-ES" w:eastAsia="es-ES"/>
        </w:rPr>
        <w:t xml:space="preserve"> para lo cual deberán demostrar con </w:t>
      </w:r>
      <w:r>
        <w:rPr>
          <w:rFonts w:ascii="Verdana" w:hAnsi="Verdana" w:cs="Verdana"/>
          <w:b/>
          <w:bCs/>
          <w:i/>
          <w:iCs/>
          <w:spacing w:val="-2"/>
          <w:sz w:val="16"/>
          <w:szCs w:val="16"/>
          <w:u w:val="single"/>
          <w:lang w:val="es-ES" w:eastAsia="es-ES"/>
        </w:rPr>
        <w:t>documentos idóneos,</w:t>
      </w:r>
      <w:r>
        <w:rPr>
          <w:rFonts w:ascii="Verdana" w:hAnsi="Verdana" w:cs="Verdana"/>
          <w:i/>
          <w:iCs/>
          <w:spacing w:val="-2"/>
          <w:sz w:val="16"/>
          <w:szCs w:val="16"/>
          <w:lang w:val="es-ES" w:eastAsia="es-ES"/>
        </w:rPr>
        <w:t xml:space="preserve"> que gestionaron </w:t>
      </w:r>
      <w:r>
        <w:rPr>
          <w:rFonts w:ascii="Verdana" w:hAnsi="Verdana" w:cs="Verdana"/>
          <w:b/>
          <w:bCs/>
          <w:i/>
          <w:iCs/>
          <w:spacing w:val="-2"/>
          <w:sz w:val="16"/>
          <w:szCs w:val="16"/>
          <w:u w:val="single"/>
          <w:lang w:val="es-ES" w:eastAsia="es-ES"/>
        </w:rPr>
        <w:t>ante todos los organismos de inspección acreditados por el ECA,</w:t>
      </w:r>
      <w:r>
        <w:rPr>
          <w:rFonts w:ascii="Verdana" w:hAnsi="Verdana" w:cs="Verdana"/>
          <w:i/>
          <w:iCs/>
          <w:spacing w:val="-2"/>
          <w:sz w:val="16"/>
          <w:szCs w:val="16"/>
          <w:lang w:val="es-ES" w:eastAsia="es-ES"/>
        </w:rPr>
        <w:t xml:space="preserve"> la cotización para la realización y levantamiento del estudio de calidad del año 2017, </w:t>
      </w:r>
      <w:r>
        <w:rPr>
          <w:rFonts w:ascii="Verdana" w:hAnsi="Verdana" w:cs="Verdana"/>
          <w:i/>
          <w:iCs/>
          <w:spacing w:val="-2"/>
          <w:sz w:val="16"/>
          <w:szCs w:val="16"/>
          <w:u w:val="single"/>
          <w:lang w:val="es-ES" w:eastAsia="es-ES"/>
        </w:rPr>
        <w:t>y que estas diligencias fueron infructuosas, por hechos no imputables al</w:t>
      </w:r>
    </w:p>
    <w:p w:rsidR="00DC4DB9" w:rsidRDefault="00DC4DB9">
      <w:pPr>
        <w:widowControl/>
        <w:rPr>
          <w:sz w:val="24"/>
          <w:szCs w:val="24"/>
        </w:rPr>
        <w:sectPr w:rsidR="00DC4DB9">
          <w:pgSz w:w="12298" w:h="15744"/>
          <w:pgMar w:top="980" w:right="1528" w:bottom="192" w:left="1730" w:header="720" w:footer="720" w:gutter="0"/>
          <w:cols w:space="720"/>
          <w:noEndnote/>
        </w:sectPr>
      </w:pPr>
    </w:p>
    <w:p w:rsidR="00DC4DB9" w:rsidRDefault="0034101A">
      <w:pPr>
        <w:kinsoku w:val="0"/>
        <w:overflowPunct w:val="0"/>
        <w:autoSpaceDE/>
        <w:autoSpaceDN/>
        <w:adjustRightInd/>
        <w:spacing w:before="12" w:line="193" w:lineRule="exact"/>
        <w:ind w:left="432" w:right="504"/>
        <w:jc w:val="both"/>
        <w:textAlignment w:val="baseline"/>
        <w:rPr>
          <w:rFonts w:ascii="Verdana" w:hAnsi="Verdana" w:cs="Verdana"/>
          <w:b/>
          <w:bCs/>
          <w:i/>
          <w:iCs/>
          <w:sz w:val="16"/>
          <w:szCs w:val="16"/>
          <w:lang w:val="es-ES" w:eastAsia="es-ES"/>
        </w:rPr>
      </w:pPr>
      <w:r>
        <w:rPr>
          <w:rFonts w:ascii="Verdana" w:hAnsi="Verdana" w:cs="Verdana"/>
          <w:i/>
          <w:iCs/>
          <w:sz w:val="16"/>
          <w:szCs w:val="16"/>
          <w:u w:val="single"/>
          <w:lang w:val="es-ES" w:eastAsia="es-ES"/>
        </w:rPr>
        <w:lastRenderedPageBreak/>
        <w:t>prestatario.</w:t>
      </w:r>
      <w:r>
        <w:rPr>
          <w:rFonts w:ascii="Verdana" w:hAnsi="Verdana" w:cs="Verdana"/>
          <w:i/>
          <w:iCs/>
          <w:sz w:val="16"/>
          <w:szCs w:val="16"/>
          <w:lang w:val="es-ES" w:eastAsia="es-ES"/>
        </w:rPr>
        <w:t xml:space="preserve"> Para la eventual aplicación de esta condición de excepcionalidad y dispensa, </w:t>
      </w:r>
      <w:r>
        <w:rPr>
          <w:rFonts w:ascii="Verdana" w:hAnsi="Verdana" w:cs="Verdana"/>
          <w:b/>
          <w:bCs/>
          <w:i/>
          <w:iCs/>
          <w:sz w:val="16"/>
          <w:szCs w:val="16"/>
          <w:u w:val="single"/>
          <w:lang w:val="es-ES" w:eastAsia="es-ES"/>
        </w:rPr>
        <w:t>se tienen como documentos probatorios idóneos,</w:t>
      </w:r>
      <w:r>
        <w:rPr>
          <w:rFonts w:ascii="Verdana" w:hAnsi="Verdana" w:cs="Verdana"/>
          <w:i/>
          <w:iCs/>
          <w:sz w:val="16"/>
          <w:szCs w:val="16"/>
          <w:lang w:val="es-ES" w:eastAsia="es-ES"/>
        </w:rPr>
        <w:t xml:space="preserve"> los que seguidamente se señalan; mismos que deberá presentar el interesado </w:t>
      </w:r>
      <w:r>
        <w:rPr>
          <w:rFonts w:ascii="Verdana" w:hAnsi="Verdana" w:cs="Verdana"/>
          <w:b/>
          <w:bCs/>
          <w:i/>
          <w:iCs/>
          <w:sz w:val="16"/>
          <w:szCs w:val="16"/>
          <w:u w:val="single"/>
          <w:lang w:val="es-ES" w:eastAsia="es-ES"/>
        </w:rPr>
        <w:t>en su totalidad,</w:t>
      </w:r>
      <w:r>
        <w:rPr>
          <w:rFonts w:ascii="Verdana" w:hAnsi="Verdana" w:cs="Verdana"/>
          <w:i/>
          <w:iCs/>
          <w:sz w:val="16"/>
          <w:szCs w:val="16"/>
          <w:lang w:val="es-ES" w:eastAsia="es-ES"/>
        </w:rPr>
        <w:t xml:space="preserve"> conjuntamente con la petición justificada de aplicación de la dispensa ante esta Autoridad, para su valoración y resolución final, </w:t>
      </w:r>
      <w:r>
        <w:rPr>
          <w:rFonts w:ascii="Verdana" w:hAnsi="Verdana" w:cs="Verdana"/>
          <w:b/>
          <w:bCs/>
          <w:i/>
          <w:iCs/>
          <w:sz w:val="16"/>
          <w:szCs w:val="16"/>
          <w:lang w:val="es-ES" w:eastAsia="es-ES"/>
        </w:rPr>
        <w:t>a más tardar el 1 de agosto del 2017:</w:t>
      </w:r>
    </w:p>
    <w:p w:rsidR="00DC4DB9" w:rsidRDefault="0034101A">
      <w:pPr>
        <w:kinsoku w:val="0"/>
        <w:overflowPunct w:val="0"/>
        <w:autoSpaceDE/>
        <w:autoSpaceDN/>
        <w:adjustRightInd/>
        <w:spacing w:before="210" w:line="193" w:lineRule="exact"/>
        <w:ind w:left="720"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Solicitud formal debidamente motivada de la dispensa requerida, firmada por el representante legal de la compañía prestataria, acompañada de la personería jurídica de la empresa concesionaria y/o permisionaria.</w:t>
      </w:r>
    </w:p>
    <w:p w:rsidR="00DC4DB9" w:rsidRDefault="0034101A">
      <w:pPr>
        <w:kinsoku w:val="0"/>
        <w:overflowPunct w:val="0"/>
        <w:autoSpaceDE/>
        <w:autoSpaceDN/>
        <w:adjustRightInd/>
        <w:spacing w:before="7" w:line="193" w:lineRule="exact"/>
        <w:ind w:left="720"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 evidencia pertinente que acredite que el prestatario, envió las solicitudes de cotización y programación, ante todos los organismos de inspección acreditados por el ECA.</w:t>
      </w:r>
    </w:p>
    <w:p w:rsidR="00DC4DB9" w:rsidRDefault="0034101A">
      <w:pPr>
        <w:kinsoku w:val="0"/>
        <w:overflowPunct w:val="0"/>
        <w:autoSpaceDE/>
        <w:autoSpaceDN/>
        <w:adjustRightInd/>
        <w:spacing w:before="9" w:line="193" w:lineRule="exact"/>
        <w:ind w:left="720"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las respuestas recibidas por parte de todos los organismos de inspección acreditados por el ECA, que fueron requeridos para la aplicación del estudio de calidad del año 2017."</w:t>
      </w:r>
    </w:p>
    <w:p w:rsidR="00DC4DB9" w:rsidRDefault="0034101A">
      <w:pPr>
        <w:kinsoku w:val="0"/>
        <w:overflowPunct w:val="0"/>
        <w:autoSpaceDE/>
        <w:autoSpaceDN/>
        <w:adjustRightInd/>
        <w:spacing w:before="197" w:line="295"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Con posterioridad, La Junta Directiva del Consejo de Transporte Público, mediante </w:t>
      </w:r>
      <w:r>
        <w:rPr>
          <w:rFonts w:ascii="Verdana" w:hAnsi="Verdana" w:cs="Verdana"/>
          <w:b/>
          <w:bCs/>
          <w:sz w:val="24"/>
          <w:szCs w:val="24"/>
          <w:lang w:val="es-ES" w:eastAsia="es-ES"/>
        </w:rPr>
        <w:t xml:space="preserve">Artículo 5.1 de la Sesión Ordinaria 30-2017 de 26 de julio de 2017, </w:t>
      </w:r>
      <w:r>
        <w:rPr>
          <w:rFonts w:ascii="Verdana" w:hAnsi="Verdana" w:cs="Verdana"/>
          <w:sz w:val="24"/>
          <w:szCs w:val="24"/>
          <w:lang w:val="es-ES" w:eastAsia="es-ES"/>
        </w:rPr>
        <w:t>dispuso en su parte dispositiva:</w:t>
      </w:r>
    </w:p>
    <w:p w:rsidR="00DC4DB9" w:rsidRDefault="0034101A">
      <w:pPr>
        <w:kinsoku w:val="0"/>
        <w:overflowPunct w:val="0"/>
        <w:autoSpaceDE/>
        <w:autoSpaceDN/>
        <w:adjustRightInd/>
        <w:spacing w:before="302" w:line="193" w:lineRule="exact"/>
        <w:ind w:left="432" w:right="504"/>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 xml:space="preserve">"2. La fecha del primero de agosto del 2017 quedó establecida básicamente con el objetivo de que los transportistas puedan comunicar si tienen la posibilidad real o no, de contratar a un Organismo de Inspección acreditado ante el ECA en la Norma INTE - ISO/IEC 17020, o si no es así, para que la Administración, en un plazo de quince días posteriores a esta fecha, pueda valorar si les autoriza o no, la contratación de un organismo que no esté acreditado ante el ECA, y por ello el establecimiento de dicha fecha, la cual no constituye un plazo perentorio, sino que es un plazo </w:t>
      </w:r>
      <w:proofErr w:type="spellStart"/>
      <w:r>
        <w:rPr>
          <w:rFonts w:ascii="Verdana" w:hAnsi="Verdana" w:cs="Verdana"/>
          <w:i/>
          <w:iCs/>
          <w:spacing w:val="-2"/>
          <w:sz w:val="16"/>
          <w:szCs w:val="16"/>
          <w:lang w:val="es-ES" w:eastAsia="es-ES"/>
        </w:rPr>
        <w:t>ordenatorio</w:t>
      </w:r>
      <w:proofErr w:type="spellEnd"/>
      <w:r>
        <w:rPr>
          <w:rFonts w:ascii="Verdana" w:hAnsi="Verdana" w:cs="Verdana"/>
          <w:i/>
          <w:iCs/>
          <w:spacing w:val="-2"/>
          <w:sz w:val="16"/>
          <w:szCs w:val="16"/>
          <w:lang w:val="es-ES" w:eastAsia="es-ES"/>
        </w:rPr>
        <w:t>."</w:t>
      </w:r>
    </w:p>
    <w:p w:rsidR="00DC4DB9" w:rsidRDefault="0034101A">
      <w:pPr>
        <w:kinsoku w:val="0"/>
        <w:overflowPunct w:val="0"/>
        <w:autoSpaceDE/>
        <w:autoSpaceDN/>
        <w:adjustRightInd/>
        <w:spacing w:before="271" w:line="295" w:lineRule="exact"/>
        <w:ind w:left="72"/>
        <w:textAlignment w:val="baseline"/>
        <w:rPr>
          <w:rFonts w:ascii="Verdana" w:hAnsi="Verdana" w:cs="Verdana"/>
          <w:sz w:val="24"/>
          <w:szCs w:val="24"/>
          <w:lang w:val="es-ES" w:eastAsia="es-ES"/>
        </w:rPr>
      </w:pPr>
      <w:r>
        <w:rPr>
          <w:rFonts w:ascii="Verdana" w:hAnsi="Verdana" w:cs="Verdana"/>
          <w:sz w:val="24"/>
          <w:szCs w:val="24"/>
          <w:lang w:val="es-ES" w:eastAsia="es-ES"/>
        </w:rPr>
        <w:t xml:space="preserve">En el mismo acuerdo pero en el Por Tanto 8 </w:t>
      </w:r>
      <w:proofErr w:type="gramStart"/>
      <w:r>
        <w:rPr>
          <w:rFonts w:ascii="Verdana" w:hAnsi="Verdana" w:cs="Verdana"/>
          <w:sz w:val="24"/>
          <w:szCs w:val="24"/>
          <w:lang w:val="es-ES" w:eastAsia="es-ES"/>
        </w:rPr>
        <w:t>indica :</w:t>
      </w:r>
      <w:proofErr w:type="gramEnd"/>
    </w:p>
    <w:p w:rsidR="00DC4DB9" w:rsidRDefault="0034101A">
      <w:pPr>
        <w:kinsoku w:val="0"/>
        <w:overflowPunct w:val="0"/>
        <w:autoSpaceDE/>
        <w:autoSpaceDN/>
        <w:adjustRightInd/>
        <w:spacing w:before="272" w:line="193" w:lineRule="exact"/>
        <w:ind w:left="432"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"8. Por todo lo anteriormente indicado, la referida fecha del primero de agosto del 2017, no se estaría prorrogando."</w:t>
      </w:r>
    </w:p>
    <w:p w:rsidR="00DC4DB9" w:rsidRDefault="0034101A">
      <w:pPr>
        <w:kinsoku w:val="0"/>
        <w:overflowPunct w:val="0"/>
        <w:autoSpaceDE/>
        <w:autoSpaceDN/>
        <w:adjustRightInd/>
        <w:spacing w:before="259" w:line="294" w:lineRule="exact"/>
        <w:ind w:left="72" w:right="72"/>
        <w:jc w:val="both"/>
        <w:textAlignment w:val="baseline"/>
        <w:rPr>
          <w:rFonts w:ascii="Verdana" w:hAnsi="Verdana" w:cs="Verdana"/>
          <w:spacing w:val="-3"/>
          <w:sz w:val="24"/>
          <w:szCs w:val="24"/>
          <w:lang w:val="es-ES" w:eastAsia="es-ES"/>
        </w:rPr>
      </w:pPr>
      <w:r>
        <w:rPr>
          <w:rFonts w:ascii="Verdana" w:hAnsi="Verdana" w:cs="Verdana"/>
          <w:spacing w:val="-3"/>
          <w:sz w:val="24"/>
          <w:szCs w:val="24"/>
          <w:lang w:val="es-ES" w:eastAsia="es-ES"/>
        </w:rPr>
        <w:t xml:space="preserve">La Junta Directiva del Consejo de Transporte Público, mediante </w:t>
      </w:r>
      <w:r>
        <w:rPr>
          <w:rFonts w:ascii="Verdana" w:hAnsi="Verdana" w:cs="Verdana"/>
          <w:b/>
          <w:bCs/>
          <w:spacing w:val="-3"/>
          <w:sz w:val="24"/>
          <w:szCs w:val="24"/>
          <w:lang w:val="es-ES" w:eastAsia="es-ES"/>
        </w:rPr>
        <w:t xml:space="preserve">artículo 7.12.24 de la Sesión Ordinaria 34-2017 de 30 de agosto de 2017, celebrado por la Junta Directiva del Consejo de Transporte Público, </w:t>
      </w:r>
      <w:r>
        <w:rPr>
          <w:rFonts w:ascii="Verdana" w:hAnsi="Verdana" w:cs="Verdana"/>
          <w:spacing w:val="-3"/>
          <w:sz w:val="24"/>
          <w:szCs w:val="24"/>
          <w:lang w:val="es-ES" w:eastAsia="es-ES"/>
        </w:rPr>
        <w:t xml:space="preserve">declara extemporánea la solicitud de excepcionalidad y/o dispensa, planteada por la recurrente, en virtud de lo establecido en el punto </w:t>
      </w:r>
      <w:proofErr w:type="spellStart"/>
      <w:r>
        <w:rPr>
          <w:rFonts w:ascii="Verdana" w:hAnsi="Verdana" w:cs="Verdana"/>
          <w:spacing w:val="-3"/>
          <w:sz w:val="24"/>
          <w:szCs w:val="24"/>
          <w:lang w:val="es-ES" w:eastAsia="es-ES"/>
        </w:rPr>
        <w:t>N°</w:t>
      </w:r>
      <w:proofErr w:type="spellEnd"/>
      <w:r>
        <w:rPr>
          <w:rFonts w:ascii="Verdana" w:hAnsi="Verdana" w:cs="Verdana"/>
          <w:spacing w:val="-3"/>
          <w:sz w:val="24"/>
          <w:szCs w:val="24"/>
          <w:lang w:val="es-ES" w:eastAsia="es-ES"/>
        </w:rPr>
        <w:t xml:space="preserve"> 7 de la parte dispositiva del artículo 7.18 de la Sesión Ordinaria 23-2017 del 07 de junio del 2017, adoptado por la Junta Directiva, ya que la misma, fue presentada hasta el 18 de agosto de 2017 a las 9:00 horas.</w:t>
      </w:r>
    </w:p>
    <w:p w:rsidR="00DC4DB9" w:rsidRDefault="0034101A">
      <w:pPr>
        <w:kinsoku w:val="0"/>
        <w:overflowPunct w:val="0"/>
        <w:autoSpaceDE/>
        <w:autoSpaceDN/>
        <w:adjustRightInd/>
        <w:spacing w:before="521" w:line="291" w:lineRule="exact"/>
        <w:ind w:left="72"/>
        <w:textAlignment w:val="baseline"/>
        <w:rPr>
          <w:rFonts w:ascii="Verdana" w:hAnsi="Verdana" w:cs="Verdana"/>
          <w:b/>
          <w:bCs/>
          <w:sz w:val="24"/>
          <w:szCs w:val="24"/>
          <w:lang w:val="es-ES" w:eastAsia="es-ES"/>
        </w:rPr>
      </w:pPr>
      <w:r>
        <w:rPr>
          <w:rFonts w:ascii="Verdana" w:hAnsi="Verdana" w:cs="Verdana"/>
          <w:b/>
          <w:bCs/>
          <w:sz w:val="24"/>
          <w:szCs w:val="24"/>
          <w:lang w:val="es-ES" w:eastAsia="es-ES"/>
        </w:rPr>
        <w:t>DEL PRINCIPIO DE LEGALIDAD</w:t>
      </w:r>
    </w:p>
    <w:p w:rsidR="00DC4DB9" w:rsidRDefault="0034101A">
      <w:pPr>
        <w:kinsoku w:val="0"/>
        <w:overflowPunct w:val="0"/>
        <w:autoSpaceDE/>
        <w:autoSpaceDN/>
        <w:adjustRightInd/>
        <w:spacing w:before="305" w:line="295"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w:t>
      </w:r>
      <w:proofErr w:type="gramStart"/>
      <w:r>
        <w:rPr>
          <w:rFonts w:ascii="Verdana" w:hAnsi="Verdana" w:cs="Verdana"/>
          <w:sz w:val="24"/>
          <w:szCs w:val="24"/>
          <w:lang w:val="es-ES" w:eastAsia="es-ES"/>
        </w:rPr>
        <w:t>Administración ,</w:t>
      </w:r>
      <w:proofErr w:type="gramEnd"/>
      <w:r>
        <w:rPr>
          <w:rFonts w:ascii="Verdana" w:hAnsi="Verdana" w:cs="Verdana"/>
          <w:sz w:val="24"/>
          <w:szCs w:val="24"/>
          <w:lang w:val="es-ES" w:eastAsia="es-ES"/>
        </w:rPr>
        <w:t xml:space="preserve">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w:t>
      </w:r>
    </w:p>
    <w:p w:rsidR="00DC4DB9" w:rsidRDefault="0034101A">
      <w:pPr>
        <w:kinsoku w:val="0"/>
        <w:overflowPunct w:val="0"/>
        <w:autoSpaceDE/>
        <w:autoSpaceDN/>
        <w:adjustRightInd/>
        <w:spacing w:before="296" w:line="295"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Sala Constitucional de la Corte Suprema de Justicia, en su sentencia No. 2001-02493, de las dieciséis horas, con veinticinco minutos, del veintisiete de marzo del dos </w:t>
      </w:r>
      <w:proofErr w:type="gramStart"/>
      <w:r>
        <w:rPr>
          <w:rFonts w:ascii="Verdana" w:hAnsi="Verdana" w:cs="Verdana"/>
          <w:sz w:val="24"/>
          <w:szCs w:val="24"/>
          <w:lang w:val="es-ES" w:eastAsia="es-ES"/>
        </w:rPr>
        <w:t>mil uno</w:t>
      </w:r>
      <w:proofErr w:type="gramEnd"/>
      <w:r>
        <w:rPr>
          <w:rFonts w:ascii="Verdana" w:hAnsi="Verdana" w:cs="Verdana"/>
          <w:sz w:val="24"/>
          <w:szCs w:val="24"/>
          <w:lang w:val="es-ES" w:eastAsia="es-ES"/>
        </w:rPr>
        <w:t>, respecto del Principio de Legalidad, manifestó:</w:t>
      </w:r>
    </w:p>
    <w:p w:rsidR="00DC4DB9" w:rsidRDefault="00DC4DB9">
      <w:pPr>
        <w:widowControl/>
        <w:rPr>
          <w:sz w:val="24"/>
          <w:szCs w:val="24"/>
        </w:rPr>
        <w:sectPr w:rsidR="00DC4DB9">
          <w:pgSz w:w="12298" w:h="15744"/>
          <w:pgMar w:top="720" w:right="1614" w:bottom="348" w:left="1644" w:header="720" w:footer="720" w:gutter="0"/>
          <w:cols w:space="720"/>
          <w:noEndnote/>
        </w:sectPr>
      </w:pPr>
    </w:p>
    <w:p w:rsidR="00DC4DB9" w:rsidRDefault="0034101A">
      <w:pPr>
        <w:kinsoku w:val="0"/>
        <w:overflowPunct w:val="0"/>
        <w:autoSpaceDE/>
        <w:autoSpaceDN/>
        <w:adjustRightInd/>
        <w:spacing w:before="12" w:line="219" w:lineRule="exact"/>
        <w:ind w:left="432" w:right="72"/>
        <w:jc w:val="both"/>
        <w:textAlignment w:val="baseline"/>
        <w:rPr>
          <w:rFonts w:ascii="Verdana" w:hAnsi="Verdana" w:cs="Verdana"/>
          <w:b/>
          <w:bCs/>
          <w:i/>
          <w:iCs/>
          <w:spacing w:val="-1"/>
          <w:sz w:val="18"/>
          <w:szCs w:val="18"/>
          <w:lang w:val="es-ES" w:eastAsia="es-ES"/>
        </w:rPr>
      </w:pPr>
      <w:r>
        <w:rPr>
          <w:rFonts w:ascii="Verdana" w:hAnsi="Verdana" w:cs="Verdana"/>
          <w:i/>
          <w:iCs/>
          <w:spacing w:val="-1"/>
          <w:sz w:val="18"/>
          <w:szCs w:val="18"/>
          <w:lang w:val="es-ES" w:eastAsia="es-ES"/>
        </w:rPr>
        <w:lastRenderedPageBreak/>
        <w:t xml:space="preserve">"II.- Sobre el principio de legalidad: El principio de legalidad que se consagra en </w:t>
      </w:r>
      <w:proofErr w:type="spellStart"/>
      <w:r>
        <w:rPr>
          <w:rFonts w:ascii="Verdana" w:hAnsi="Verdana" w:cs="Verdana"/>
          <w:i/>
          <w:iCs/>
          <w:spacing w:val="-1"/>
          <w:sz w:val="18"/>
          <w:szCs w:val="18"/>
          <w:lang w:val="es-ES" w:eastAsia="es-ES"/>
        </w:rPr>
        <w:t>el</w:t>
      </w:r>
      <w:proofErr w:type="spellEnd"/>
      <w:r>
        <w:rPr>
          <w:rFonts w:ascii="Verdana" w:hAnsi="Verdana" w:cs="Verdana"/>
          <w:i/>
          <w:iCs/>
          <w:spacing w:val="-1"/>
          <w:sz w:val="18"/>
          <w:szCs w:val="18"/>
          <w:lang w:val="es-ES" w:eastAsia="es-ES"/>
        </w:rPr>
        <w:t xml:space="preserve">, artículo 11 de nuestra Constitución Política, significa que </w:t>
      </w:r>
      <w:r>
        <w:rPr>
          <w:rFonts w:ascii="Verdana" w:hAnsi="Verdana" w:cs="Verdana"/>
          <w:b/>
          <w:bCs/>
          <w:i/>
          <w:iCs/>
          <w:spacing w:val="-1"/>
          <w:sz w:val="18"/>
          <w:szCs w:val="18"/>
          <w:u w:val="single"/>
          <w:lang w:val="es-ES" w:eastAsia="es-ES"/>
        </w:rPr>
        <w:t>los actos y comportamientos de la Administración deben de estar regulados por norma escrita,</w:t>
      </w:r>
      <w:r>
        <w:rPr>
          <w:rFonts w:ascii="Verdana" w:hAnsi="Verdana" w:cs="Verdana"/>
          <w:i/>
          <w:iCs/>
          <w:spacing w:val="-1"/>
          <w:sz w:val="18"/>
          <w:szCs w:val="18"/>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Administración, </w:t>
      </w:r>
      <w:r>
        <w:rPr>
          <w:rFonts w:ascii="Verdana" w:hAnsi="Verdana" w:cs="Verdana"/>
          <w:b/>
          <w:bCs/>
          <w:i/>
          <w:iCs/>
          <w:spacing w:val="-1"/>
          <w:sz w:val="18"/>
          <w:szCs w:val="18"/>
          <w:u w:val="single"/>
          <w:lang w:val="es-ES" w:eastAsia="es-ES"/>
        </w:rPr>
        <w:t>el cual significa que las instituciones públicas solamente pueden actuar en la medida en la que se encuentren apoderadas para hacerlo por el mismo ordenamiento y normalmente a texto expreso, en consecuencia solo le es permitido lo que esté constitucionalmente y legalmente autorizado en forma expresa y todo lo que no les esté autorizado les está vedado. "</w:t>
      </w:r>
      <w:r>
        <w:rPr>
          <w:rFonts w:ascii="Verdana" w:hAnsi="Verdana" w:cs="Verdana"/>
          <w:b/>
          <w:bCs/>
          <w:i/>
          <w:iCs/>
          <w:spacing w:val="-1"/>
          <w:sz w:val="18"/>
          <w:szCs w:val="18"/>
          <w:lang w:val="es-ES" w:eastAsia="es-ES"/>
        </w:rPr>
        <w:t xml:space="preserve"> (Lo resaltado no es del original)</w:t>
      </w:r>
    </w:p>
    <w:p w:rsidR="00DC4DB9" w:rsidRDefault="0034101A">
      <w:pPr>
        <w:kinsoku w:val="0"/>
        <w:overflowPunct w:val="0"/>
        <w:autoSpaceDE/>
        <w:autoSpaceDN/>
        <w:adjustRightInd/>
        <w:spacing w:before="271" w:line="295"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Por su parte el Tribunal Contencioso Administrativo Sección II, en su sentencia 00002 de las nueve horas del 30 de enero de 2013 indica respecto del Principio de Legalidad lo siguiente:</w:t>
      </w:r>
    </w:p>
    <w:p w:rsidR="00DC4DB9" w:rsidRDefault="0034101A" w:rsidP="005B1D1F">
      <w:pPr>
        <w:kinsoku w:val="0"/>
        <w:overflowPunct w:val="0"/>
        <w:autoSpaceDE/>
        <w:autoSpaceDN/>
        <w:adjustRightInd/>
        <w:spacing w:before="276" w:line="219" w:lineRule="exact"/>
        <w:ind w:left="432" w:right="72"/>
        <w:jc w:val="both"/>
        <w:textAlignment w:val="baseline"/>
        <w:rPr>
          <w:rFonts w:ascii="Verdana" w:hAnsi="Verdana" w:cs="Verdana"/>
          <w:i/>
          <w:iCs/>
          <w:sz w:val="18"/>
          <w:szCs w:val="18"/>
          <w:lang w:val="es-ES" w:eastAsia="es-ES"/>
        </w:rPr>
      </w:pPr>
      <w:r>
        <w:rPr>
          <w:rFonts w:ascii="Verdana" w:hAnsi="Verdana" w:cs="Verdana"/>
          <w:i/>
          <w:iCs/>
          <w:spacing w:val="-1"/>
          <w:sz w:val="18"/>
          <w:szCs w:val="18"/>
          <w:lang w:val="es-ES" w:eastAsia="es-ES"/>
        </w:rPr>
        <w:t xml:space="preserve">"Encontramos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 la Administración - Pública actuará sometida al ordenamiento jurídico y sólo podrá realizar aquellos actos o </w:t>
      </w:r>
      <w:proofErr w:type="spellStart"/>
      <w:r>
        <w:rPr>
          <w:rFonts w:ascii="Verdana" w:hAnsi="Verdana" w:cs="Verdana"/>
          <w:i/>
          <w:iCs/>
          <w:spacing w:val="-1"/>
          <w:sz w:val="18"/>
          <w:szCs w:val="18"/>
          <w:lang w:val="es-ES" w:eastAsia="es-ES"/>
        </w:rPr>
        <w:t>prestar'aquellos</w:t>
      </w:r>
      <w:proofErr w:type="spellEnd"/>
      <w:r>
        <w:rPr>
          <w:rFonts w:ascii="Verdana" w:hAnsi="Verdana" w:cs="Verdana"/>
          <w:i/>
          <w:iCs/>
          <w:spacing w:val="-1"/>
          <w:sz w:val="18"/>
          <w:szCs w:val="18"/>
          <w:lang w:val="es-ES" w:eastAsia="es-ES"/>
        </w:rPr>
        <w:t xml:space="preserve"> servicios públicos que autorice dicho ordenamiento, según la escala jerárquica de sus fuentes; entonces, "todo acto o comportamiento de la Administración que incida sobre los derechos del particular debe estar autorizado por el ordenamiento jurídico" (</w:t>
      </w:r>
      <w:proofErr w:type="spellStart"/>
      <w:r>
        <w:rPr>
          <w:rFonts w:ascii="Verdana" w:hAnsi="Verdana" w:cs="Verdana"/>
          <w:i/>
          <w:iCs/>
          <w:spacing w:val="-1"/>
          <w:sz w:val="18"/>
          <w:szCs w:val="18"/>
          <w:lang w:val="es-ES" w:eastAsia="es-ES"/>
        </w:rPr>
        <w:t>Ortíz</w:t>
      </w:r>
      <w:proofErr w:type="spellEnd"/>
      <w:r>
        <w:rPr>
          <w:rFonts w:ascii="Verdana" w:hAnsi="Verdana" w:cs="Verdana"/>
          <w:i/>
          <w:iCs/>
          <w:spacing w:val="-1"/>
          <w:sz w:val="18"/>
          <w:szCs w:val="18"/>
          <w:lang w:val="es-ES" w:eastAsia="es-ES"/>
        </w:rPr>
        <w:t xml:space="preserve"> </w:t>
      </w:r>
      <w:proofErr w:type="spellStart"/>
      <w:r>
        <w:rPr>
          <w:rFonts w:ascii="Verdana" w:hAnsi="Verdana" w:cs="Verdana"/>
          <w:i/>
          <w:iCs/>
          <w:spacing w:val="-1"/>
          <w:sz w:val="18"/>
          <w:szCs w:val="18"/>
          <w:lang w:val="es-ES" w:eastAsia="es-ES"/>
        </w:rPr>
        <w:t>Ortíz</w:t>
      </w:r>
      <w:proofErr w:type="spellEnd"/>
      <w:r>
        <w:rPr>
          <w:rFonts w:ascii="Verdana" w:hAnsi="Verdana" w:cs="Verdana"/>
          <w:i/>
          <w:iCs/>
          <w:spacing w:val="-1"/>
          <w:sz w:val="18"/>
          <w:szCs w:val="18"/>
          <w:lang w:val="es-ES" w:eastAsia="es-ES"/>
        </w:rPr>
        <w:t xml:space="preserve">). Agrega el </w:t>
      </w:r>
      <w:proofErr w:type="gramStart"/>
      <w:r>
        <w:rPr>
          <w:rFonts w:ascii="Verdana" w:hAnsi="Verdana" w:cs="Verdana"/>
          <w:i/>
          <w:iCs/>
          <w:spacing w:val="-1"/>
          <w:sz w:val="18"/>
          <w:szCs w:val="18"/>
          <w:lang w:val="es-ES" w:eastAsia="es-ES"/>
        </w:rPr>
        <w:t>jurista</w:t>
      </w:r>
      <w:proofErr w:type="gramEnd"/>
      <w:r>
        <w:rPr>
          <w:rFonts w:ascii="Verdana" w:hAnsi="Verdana" w:cs="Verdana"/>
          <w:i/>
          <w:iCs/>
          <w:spacing w:val="-1"/>
          <w:sz w:val="18"/>
          <w:szCs w:val="18"/>
          <w:lang w:val="es-ES" w:eastAsia="es-ES"/>
        </w:rPr>
        <w:t xml:space="preserve"> además: "también constituye una garantía de la eficiencia administrativa, pues crea un orden, de conducta indispensable para que la acción pública realice los fines que persigue, que permite asegurar un mínimo de oportunidad y conveniencia a su gestión". La sujeción de la </w:t>
      </w:r>
      <w:proofErr w:type="spellStart"/>
      <w:r>
        <w:rPr>
          <w:rFonts w:ascii="Verdana" w:hAnsi="Verdana" w:cs="Verdana"/>
          <w:i/>
          <w:iCs/>
          <w:spacing w:val="-1"/>
          <w:sz w:val="18"/>
          <w:szCs w:val="18"/>
          <w:lang w:val="es-ES" w:eastAsia="es-ES"/>
        </w:rPr>
        <w:t>actuaciónadministrativa</w:t>
      </w:r>
      <w:proofErr w:type="spellEnd"/>
      <w:r>
        <w:rPr>
          <w:rFonts w:ascii="Verdana" w:hAnsi="Verdana" w:cs="Verdana"/>
          <w:i/>
          <w:iCs/>
          <w:spacing w:val="-1"/>
          <w:sz w:val="18"/>
          <w:szCs w:val="18"/>
          <w:lang w:val="es-ES" w:eastAsia="es-ES"/>
        </w:rPr>
        <w:t xml:space="preserve"> al Ordenamiento Jurídico significa que la norma se erige en el fundamento previo y necesario de su actividad, y en su fenómeno reflejo, la seguridad</w:t>
      </w:r>
      <w:r w:rsidR="005B1D1F">
        <w:rPr>
          <w:rFonts w:ascii="Verdana" w:hAnsi="Verdana" w:cs="Verdana"/>
          <w:i/>
          <w:iCs/>
          <w:spacing w:val="-1"/>
          <w:sz w:val="18"/>
          <w:szCs w:val="18"/>
          <w:lang w:val="es-ES" w:eastAsia="es-ES"/>
        </w:rPr>
        <w:t xml:space="preserve"> </w:t>
      </w:r>
      <w:r>
        <w:rPr>
          <w:rFonts w:ascii="Verdana" w:hAnsi="Verdana" w:cs="Verdana"/>
          <w:i/>
          <w:iCs/>
          <w:sz w:val="18"/>
          <w:szCs w:val="18"/>
          <w:lang w:val="es-ES" w:eastAsia="es-ES"/>
        </w:rPr>
        <w:t>jurídica del administrado.</w:t>
      </w:r>
      <w:r>
        <w:rPr>
          <w:rFonts w:ascii="Verdana" w:hAnsi="Verdana" w:cs="Verdana"/>
          <w:i/>
          <w:iCs/>
          <w:sz w:val="18"/>
          <w:szCs w:val="18"/>
          <w:lang w:val="es-ES" w:eastAsia="es-ES"/>
        </w:rPr>
        <w:tab/>
        <w:t>De</w:t>
      </w:r>
      <w:r w:rsidR="005B1D1F">
        <w:rPr>
          <w:rFonts w:ascii="Verdana" w:hAnsi="Verdana" w:cs="Verdana"/>
          <w:i/>
          <w:iCs/>
          <w:sz w:val="18"/>
          <w:szCs w:val="18"/>
          <w:lang w:val="es-ES" w:eastAsia="es-ES"/>
        </w:rPr>
        <w:t xml:space="preserve"> </w:t>
      </w:r>
      <w:r>
        <w:rPr>
          <w:rFonts w:ascii="Verdana" w:hAnsi="Verdana" w:cs="Verdana"/>
          <w:i/>
          <w:iCs/>
          <w:sz w:val="18"/>
          <w:szCs w:val="18"/>
          <w:lang w:val="es-ES" w:eastAsia="es-ES"/>
        </w:rPr>
        <w:t>consiguiente,</w:t>
      </w:r>
      <w:r w:rsidR="005B1D1F">
        <w:rPr>
          <w:rFonts w:ascii="Verdana" w:hAnsi="Verdana" w:cs="Verdana"/>
          <w:i/>
          <w:iCs/>
          <w:sz w:val="18"/>
          <w:szCs w:val="18"/>
          <w:lang w:val="es-ES" w:eastAsia="es-ES"/>
        </w:rPr>
        <w:t xml:space="preserve"> </w:t>
      </w:r>
      <w:r>
        <w:rPr>
          <w:rFonts w:ascii="Verdana" w:hAnsi="Verdana" w:cs="Verdana"/>
          <w:i/>
          <w:iCs/>
          <w:sz w:val="18"/>
          <w:szCs w:val="18"/>
          <w:lang w:val="es-ES" w:eastAsia="es-ES"/>
        </w:rPr>
        <w:t>cualquier</w:t>
      </w:r>
      <w:r w:rsidR="005B1D1F">
        <w:rPr>
          <w:rFonts w:ascii="Verdana" w:hAnsi="Verdana" w:cs="Verdana"/>
          <w:i/>
          <w:iCs/>
          <w:sz w:val="18"/>
          <w:szCs w:val="18"/>
          <w:lang w:val="es-ES" w:eastAsia="es-ES"/>
        </w:rPr>
        <w:t xml:space="preserve"> </w:t>
      </w:r>
      <w:r>
        <w:rPr>
          <w:rFonts w:ascii="Verdana" w:hAnsi="Verdana" w:cs="Verdana"/>
          <w:i/>
          <w:iCs/>
          <w:sz w:val="18"/>
          <w:szCs w:val="18"/>
          <w:lang w:val="es-ES" w:eastAsia="es-ES"/>
        </w:rPr>
        <w:t>actuación</w:t>
      </w:r>
      <w:r w:rsidR="005B1D1F">
        <w:rPr>
          <w:rFonts w:ascii="Verdana" w:hAnsi="Verdana" w:cs="Verdana"/>
          <w:i/>
          <w:iCs/>
          <w:sz w:val="18"/>
          <w:szCs w:val="18"/>
          <w:lang w:val="es-ES" w:eastAsia="es-ES"/>
        </w:rPr>
        <w:t xml:space="preserve"> </w:t>
      </w:r>
      <w:r>
        <w:rPr>
          <w:rFonts w:ascii="Verdana" w:hAnsi="Verdana" w:cs="Verdana"/>
          <w:i/>
          <w:iCs/>
          <w:sz w:val="18"/>
          <w:szCs w:val="18"/>
          <w:lang w:val="es-ES" w:eastAsia="es-ES"/>
        </w:rPr>
        <w:t>de la</w:t>
      </w:r>
      <w:r w:rsidR="005B1D1F">
        <w:rPr>
          <w:rFonts w:ascii="Verdana" w:hAnsi="Verdana" w:cs="Verdana"/>
          <w:i/>
          <w:iCs/>
          <w:sz w:val="18"/>
          <w:szCs w:val="18"/>
          <w:lang w:val="es-ES" w:eastAsia="es-ES"/>
        </w:rPr>
        <w:t xml:space="preserve"> </w:t>
      </w:r>
      <w:r>
        <w:rPr>
          <w:rFonts w:ascii="Verdana" w:hAnsi="Verdana" w:cs="Verdana"/>
          <w:i/>
          <w:iCs/>
          <w:sz w:val="18"/>
          <w:szCs w:val="18"/>
          <w:lang w:val="es-ES" w:eastAsia="es-ES"/>
        </w:rPr>
        <w:t>Administración discordante</w:t>
      </w:r>
      <w:r>
        <w:rPr>
          <w:rFonts w:ascii="Verdana" w:hAnsi="Verdana" w:cs="Verdana"/>
          <w:i/>
          <w:iCs/>
          <w:sz w:val="18"/>
          <w:szCs w:val="18"/>
          <w:lang w:val="es-ES" w:eastAsia="es-ES"/>
        </w:rPr>
        <w:tab/>
        <w:t>con</w:t>
      </w:r>
      <w:r w:rsidR="005B1D1F">
        <w:rPr>
          <w:rFonts w:ascii="Verdana" w:hAnsi="Verdana" w:cs="Verdana"/>
          <w:i/>
          <w:iCs/>
          <w:sz w:val="18"/>
          <w:szCs w:val="18"/>
          <w:lang w:val="es-ES" w:eastAsia="es-ES"/>
        </w:rPr>
        <w:t xml:space="preserve"> </w:t>
      </w:r>
      <w:r>
        <w:rPr>
          <w:rFonts w:ascii="Verdana" w:hAnsi="Verdana" w:cs="Verdana"/>
          <w:i/>
          <w:iCs/>
          <w:sz w:val="18"/>
          <w:szCs w:val="18"/>
          <w:lang w:val="es-ES" w:eastAsia="es-ES"/>
        </w:rPr>
        <w:t>el</w:t>
      </w:r>
      <w:r>
        <w:rPr>
          <w:rFonts w:ascii="Verdana" w:hAnsi="Verdana" w:cs="Verdana"/>
          <w:i/>
          <w:iCs/>
          <w:sz w:val="18"/>
          <w:szCs w:val="18"/>
          <w:lang w:val="es-ES" w:eastAsia="es-ES"/>
        </w:rPr>
        <w:tab/>
        <w:t>bloque</w:t>
      </w:r>
      <w:r>
        <w:rPr>
          <w:rFonts w:ascii="Verdana" w:hAnsi="Verdana" w:cs="Verdana"/>
          <w:i/>
          <w:iCs/>
          <w:sz w:val="18"/>
          <w:szCs w:val="18"/>
          <w:lang w:val="es-ES" w:eastAsia="es-ES"/>
        </w:rPr>
        <w:tab/>
        <w:t>de legalidad,</w:t>
      </w:r>
      <w:r w:rsidR="005B1D1F">
        <w:rPr>
          <w:rFonts w:ascii="Verdana" w:hAnsi="Verdana" w:cs="Verdana"/>
          <w:i/>
          <w:iCs/>
          <w:sz w:val="18"/>
          <w:szCs w:val="18"/>
          <w:lang w:val="es-ES" w:eastAsia="es-ES"/>
        </w:rPr>
        <w:t xml:space="preserve"> </w:t>
      </w:r>
      <w:r>
        <w:rPr>
          <w:rFonts w:ascii="Verdana" w:hAnsi="Verdana" w:cs="Verdana"/>
          <w:i/>
          <w:iCs/>
          <w:sz w:val="18"/>
          <w:szCs w:val="18"/>
          <w:lang w:val="es-ES" w:eastAsia="es-ES"/>
        </w:rPr>
        <w:t>constituye</w:t>
      </w:r>
      <w:r w:rsidR="005B1D1F">
        <w:rPr>
          <w:rFonts w:ascii="Verdana" w:hAnsi="Verdana" w:cs="Verdana"/>
          <w:i/>
          <w:iCs/>
          <w:sz w:val="18"/>
          <w:szCs w:val="18"/>
          <w:lang w:val="es-ES" w:eastAsia="es-ES"/>
        </w:rPr>
        <w:t xml:space="preserve"> </w:t>
      </w:r>
      <w:r>
        <w:rPr>
          <w:rFonts w:ascii="Verdana" w:hAnsi="Verdana" w:cs="Verdana"/>
          <w:i/>
          <w:iCs/>
          <w:sz w:val="18"/>
          <w:szCs w:val="18"/>
          <w:lang w:val="es-ES" w:eastAsia="es-ES"/>
        </w:rPr>
        <w:t>una</w:t>
      </w:r>
      <w:r w:rsidR="005B1D1F">
        <w:rPr>
          <w:rFonts w:ascii="Verdana" w:hAnsi="Verdana" w:cs="Verdana"/>
          <w:i/>
          <w:iCs/>
          <w:sz w:val="18"/>
          <w:szCs w:val="18"/>
          <w:lang w:val="es-ES" w:eastAsia="es-ES"/>
        </w:rPr>
        <w:t xml:space="preserve"> </w:t>
      </w:r>
      <w:r>
        <w:rPr>
          <w:rFonts w:ascii="Verdana" w:hAnsi="Verdana" w:cs="Verdana"/>
          <w:i/>
          <w:iCs/>
          <w:sz w:val="18"/>
          <w:szCs w:val="18"/>
          <w:lang w:val="es-ES" w:eastAsia="es-ES"/>
        </w:rPr>
        <w:t>infracción del Ordenamiento Jurídico. Desde esta perspectiva, toda autoridad o institución pública lo es y solamente puede actuar en la medida en que se encuentre habilitada para hacerlo por el mismo ordenamiento, y normalmente a texto expreso."</w:t>
      </w:r>
    </w:p>
    <w:p w:rsidR="00DC4DB9" w:rsidRDefault="0034101A">
      <w:pPr>
        <w:kinsoku w:val="0"/>
        <w:overflowPunct w:val="0"/>
        <w:autoSpaceDE/>
        <w:autoSpaceDN/>
        <w:adjustRightInd/>
        <w:spacing w:before="223" w:line="284"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Principio de Legalidad constituye pues el marco de acción o actuación al cual se encuentra sujeto todo funcionario público y de no ajustarse a éste sus actos son nulos.</w:t>
      </w:r>
    </w:p>
    <w:p w:rsidR="00DC4DB9" w:rsidRDefault="0034101A">
      <w:pPr>
        <w:kinsoku w:val="0"/>
        <w:overflowPunct w:val="0"/>
        <w:autoSpaceDE/>
        <w:autoSpaceDN/>
        <w:adjustRightInd/>
        <w:spacing w:before="292" w:line="304" w:lineRule="exact"/>
        <w:ind w:left="72" w:right="72"/>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LA MOTIVACIÓN DE LOS</w:t>
      </w:r>
      <w:r>
        <w:rPr>
          <w:rFonts w:ascii="Verdana" w:hAnsi="Verdana" w:cs="Verdana"/>
          <w:b/>
          <w:bCs/>
          <w:spacing w:val="-1"/>
          <w:w w:val="55"/>
          <w:sz w:val="24"/>
          <w:szCs w:val="24"/>
          <w:vertAlign w:val="superscript"/>
          <w:lang w:val="es-ES" w:eastAsia="es-ES"/>
        </w:rPr>
        <w:t>\</w:t>
      </w:r>
      <w:r>
        <w:rPr>
          <w:rFonts w:ascii="Verdana" w:hAnsi="Verdana" w:cs="Verdana"/>
          <w:b/>
          <w:bCs/>
          <w:spacing w:val="-1"/>
          <w:sz w:val="24"/>
          <w:szCs w:val="24"/>
          <w:lang w:val="es-ES" w:eastAsia="es-ES"/>
        </w:rPr>
        <w:t xml:space="preserve"> ACTOS ADMINISTRATIVOS</w:t>
      </w:r>
    </w:p>
    <w:p w:rsidR="00DC4DB9" w:rsidRDefault="0034101A">
      <w:pPr>
        <w:kinsoku w:val="0"/>
        <w:overflowPunct w:val="0"/>
        <w:autoSpaceDE/>
        <w:autoSpaceDN/>
        <w:adjustRightInd/>
        <w:spacing w:before="294" w:after="456" w:line="295"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eventual impugnación. La motivación constituye la legalidad del acto administrativo, pues justifica el cumplimiento de los elementos normativos y de valores de apreciación sobre el mérito y la racionabilidad, del mismo.</w:t>
      </w:r>
    </w:p>
    <w:p w:rsidR="00DC4DB9" w:rsidRDefault="00DC4DB9">
      <w:pPr>
        <w:widowControl/>
        <w:rPr>
          <w:sz w:val="24"/>
          <w:szCs w:val="24"/>
        </w:rPr>
        <w:sectPr w:rsidR="00DC4DB9">
          <w:pgSz w:w="12288" w:h="15763"/>
          <w:pgMar w:top="1240" w:right="1521" w:bottom="191" w:left="1727" w:header="720" w:footer="720" w:gutter="0"/>
          <w:cols w:space="720"/>
          <w:noEndnote/>
        </w:sectPr>
      </w:pPr>
    </w:p>
    <w:p w:rsidR="00DC4DB9" w:rsidRDefault="00DC4DB9">
      <w:pPr>
        <w:widowControl/>
        <w:rPr>
          <w:sz w:val="24"/>
          <w:szCs w:val="24"/>
        </w:rPr>
        <w:sectPr w:rsidR="00DC4DB9">
          <w:type w:val="continuous"/>
          <w:pgSz w:w="12288" w:h="15763"/>
          <w:pgMar w:top="1240" w:right="1592" w:bottom="191" w:left="8856" w:header="720" w:footer="720" w:gutter="0"/>
          <w:cols w:space="720"/>
          <w:noEndnote/>
        </w:sectPr>
      </w:pPr>
    </w:p>
    <w:p w:rsidR="00DC4DB9" w:rsidRDefault="0034101A">
      <w:pPr>
        <w:kinsoku w:val="0"/>
        <w:overflowPunct w:val="0"/>
        <w:autoSpaceDE/>
        <w:autoSpaceDN/>
        <w:adjustRightInd/>
        <w:spacing w:before="31" w:line="291" w:lineRule="exact"/>
        <w:ind w:left="72" w:right="72"/>
        <w:jc w:val="both"/>
        <w:textAlignment w:val="baseline"/>
        <w:rPr>
          <w:rFonts w:ascii="Verdana" w:hAnsi="Verdana" w:cs="Verdana"/>
          <w:b/>
          <w:bCs/>
          <w:i/>
          <w:iCs/>
          <w:sz w:val="24"/>
          <w:szCs w:val="24"/>
          <w:lang w:val="es-ES" w:eastAsia="es-ES"/>
        </w:rPr>
      </w:pPr>
      <w:r>
        <w:rPr>
          <w:rFonts w:ascii="Verdana" w:hAnsi="Verdana" w:cs="Verdana"/>
          <w:sz w:val="24"/>
          <w:szCs w:val="24"/>
          <w:lang w:val="es-ES" w:eastAsia="es-ES"/>
        </w:rPr>
        <w:lastRenderedPageBreak/>
        <w:t xml:space="preserve">La Motivación, además debe ser coherente, tanto con el Principio de Legalidad, como con los hechos a los que se circunscribe, esto es de suma importancia pues como se dijo la Ley exige la motivación cuando: </w:t>
      </w:r>
      <w:r>
        <w:rPr>
          <w:rFonts w:ascii="Verdana" w:hAnsi="Verdana" w:cs="Verdana"/>
          <w:b/>
          <w:bCs/>
          <w:i/>
          <w:iCs/>
          <w:sz w:val="24"/>
          <w:szCs w:val="24"/>
          <w:lang w:val="es-ES" w:eastAsia="es-ES"/>
        </w:rPr>
        <w:t>"a) Los actos que impongan obligaciones o que limiten, supriman</w:t>
      </w:r>
    </w:p>
    <w:p w:rsidR="00DC4DB9" w:rsidRDefault="0034101A">
      <w:pPr>
        <w:numPr>
          <w:ilvl w:val="0"/>
          <w:numId w:val="13"/>
        </w:numPr>
        <w:kinsoku w:val="0"/>
        <w:overflowPunct w:val="0"/>
        <w:autoSpaceDE/>
        <w:autoSpaceDN/>
        <w:adjustRightInd/>
        <w:spacing w:line="290" w:lineRule="exact"/>
        <w:ind w:right="72"/>
        <w:jc w:val="both"/>
        <w:textAlignment w:val="baseline"/>
        <w:rPr>
          <w:rFonts w:ascii="Verdana" w:hAnsi="Verdana" w:cs="Verdana"/>
          <w:sz w:val="24"/>
          <w:szCs w:val="24"/>
          <w:lang w:val="es-ES" w:eastAsia="es-ES"/>
        </w:rPr>
      </w:pPr>
      <w:r>
        <w:rPr>
          <w:rFonts w:ascii="Verdana" w:hAnsi="Verdana" w:cs="Verdana"/>
          <w:b/>
          <w:bCs/>
          <w:i/>
          <w:iCs/>
          <w:sz w:val="24"/>
          <w:szCs w:val="24"/>
          <w:lang w:val="es-ES" w:eastAsia="es-ES"/>
        </w:rPr>
        <w:t xml:space="preserve">denieguen derechos subjetivos;', </w:t>
      </w:r>
      <w:r>
        <w:rPr>
          <w:rFonts w:ascii="Verdana" w:hAnsi="Verdana" w:cs="Verdana"/>
          <w:sz w:val="24"/>
          <w:szCs w:val="24"/>
          <w:lang w:val="es-ES" w:eastAsia="es-ES"/>
        </w:rPr>
        <w:t xml:space="preserve">esto es así ya que la tutela que nuestro ordenamiento jurídico hace de los derechos subjetivos de los administrados es de gran relevancia, de ahí que si el acto, por una u otra razón ha de denegar derecho alguno debe ser justificado </w:t>
      </w:r>
      <w:proofErr w:type="gramStart"/>
      <w:r>
        <w:rPr>
          <w:rFonts w:ascii="Verdana" w:hAnsi="Verdana" w:cs="Verdana"/>
          <w:sz w:val="24"/>
          <w:szCs w:val="24"/>
          <w:lang w:val="es-ES" w:eastAsia="es-ES"/>
        </w:rPr>
        <w:t>hartamente</w:t>
      </w:r>
      <w:proofErr w:type="gramEnd"/>
      <w:r>
        <w:rPr>
          <w:rFonts w:ascii="Verdana" w:hAnsi="Verdana" w:cs="Verdana"/>
          <w:sz w:val="24"/>
          <w:szCs w:val="24"/>
          <w:lang w:val="es-ES" w:eastAsia="es-ES"/>
        </w:rPr>
        <w:t xml:space="preserve"> pero esa justificación debe ser coherente con el cuadro fáctico que el operador del derecho tiene frente a sí y el marco legal que regula la materia. (El resaltado es nuestro)</w:t>
      </w:r>
    </w:p>
    <w:p w:rsidR="00DC4DB9" w:rsidRDefault="0034101A">
      <w:pPr>
        <w:kinsoku w:val="0"/>
        <w:overflowPunct w:val="0"/>
        <w:autoSpaceDE/>
        <w:autoSpaceDN/>
        <w:adjustRightInd/>
        <w:spacing w:before="235" w:line="269" w:lineRule="exact"/>
        <w:ind w:left="648"/>
        <w:textAlignment w:val="baseline"/>
        <w:rPr>
          <w:rFonts w:ascii="Verdana" w:hAnsi="Verdana" w:cs="Verdana"/>
          <w:sz w:val="24"/>
          <w:szCs w:val="24"/>
          <w:lang w:eastAsia="en-US"/>
        </w:rPr>
      </w:pPr>
      <w:r>
        <w:rPr>
          <w:rFonts w:ascii="Verdana" w:hAnsi="Verdana" w:cs="Verdana"/>
          <w:i/>
          <w:iCs/>
          <w:spacing w:val="-13"/>
          <w:sz w:val="24"/>
          <w:szCs w:val="24"/>
          <w:lang w:val="es-ES" w:eastAsia="es-ES"/>
        </w:rPr>
        <w:t xml:space="preserve">"Artículo </w:t>
      </w:r>
      <w:proofErr w:type="gramStart"/>
      <w:r>
        <w:rPr>
          <w:rFonts w:ascii="Verdana" w:hAnsi="Verdana" w:cs="Verdana"/>
          <w:i/>
          <w:iCs/>
          <w:spacing w:val="-13"/>
          <w:sz w:val="24"/>
          <w:szCs w:val="24"/>
          <w:lang w:val="es-ES" w:eastAsia="es-ES"/>
        </w:rPr>
        <w:t>136.</w:t>
      </w:r>
      <w:r>
        <w:rPr>
          <w:rFonts w:ascii="Verdana" w:hAnsi="Verdana" w:cs="Verdana"/>
          <w:i/>
          <w:iCs/>
          <w:spacing w:val="-13"/>
          <w:sz w:val="24"/>
          <w:szCs w:val="24"/>
          <w:lang w:val="es-ES" w:eastAsia="es-ES"/>
        </w:rPr>
        <w:noBreakHyphen/>
      </w:r>
      <w:proofErr w:type="gramEnd"/>
    </w:p>
    <w:p w:rsidR="00DC4DB9" w:rsidRDefault="0034101A">
      <w:pPr>
        <w:kinsoku w:val="0"/>
        <w:overflowPunct w:val="0"/>
        <w:autoSpaceDE/>
        <w:autoSpaceDN/>
        <w:adjustRightInd/>
        <w:spacing w:before="293" w:line="259" w:lineRule="exact"/>
        <w:ind w:left="648" w:right="648"/>
        <w:textAlignment w:val="baseline"/>
        <w:rPr>
          <w:rFonts w:ascii="Verdana" w:hAnsi="Verdana" w:cs="Verdana"/>
          <w:i/>
          <w:iCs/>
          <w:sz w:val="24"/>
          <w:szCs w:val="24"/>
          <w:lang w:val="es-ES" w:eastAsia="es-ES"/>
        </w:rPr>
      </w:pPr>
      <w:r>
        <w:rPr>
          <w:rFonts w:ascii="Verdana" w:hAnsi="Verdana" w:cs="Verdana"/>
          <w:i/>
          <w:iCs/>
          <w:sz w:val="24"/>
          <w:szCs w:val="24"/>
          <w:lang w:val="es-ES" w:eastAsia="es-ES"/>
        </w:rPr>
        <w:t>1. Serán motivados con mención, sucinta al menos, de sus fundamentos:</w:t>
      </w:r>
    </w:p>
    <w:p w:rsidR="00DC4DB9" w:rsidRDefault="0034101A">
      <w:pPr>
        <w:numPr>
          <w:ilvl w:val="0"/>
          <w:numId w:val="14"/>
        </w:numPr>
        <w:kinsoku w:val="0"/>
        <w:overflowPunct w:val="0"/>
        <w:autoSpaceDE/>
        <w:autoSpaceDN/>
        <w:adjustRightInd/>
        <w:spacing w:before="295" w:line="258" w:lineRule="exact"/>
        <w:ind w:right="648"/>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Los actos que impongan obligaciones o que limiten, supriman o denieguen derechos subjetivos;</w:t>
      </w:r>
    </w:p>
    <w:p w:rsidR="00DC4DB9" w:rsidRDefault="0034101A">
      <w:pPr>
        <w:numPr>
          <w:ilvl w:val="0"/>
          <w:numId w:val="15"/>
        </w:numPr>
        <w:kinsoku w:val="0"/>
        <w:overflowPunct w:val="0"/>
        <w:autoSpaceDE/>
        <w:autoSpaceDN/>
        <w:adjustRightInd/>
        <w:spacing w:line="265" w:lineRule="exact"/>
        <w:textAlignment w:val="baseline"/>
        <w:rPr>
          <w:rFonts w:ascii="Verdana" w:hAnsi="Verdana" w:cs="Verdana"/>
          <w:i/>
          <w:iCs/>
          <w:spacing w:val="-9"/>
          <w:sz w:val="24"/>
          <w:szCs w:val="24"/>
          <w:lang w:val="es-ES" w:eastAsia="es-ES"/>
        </w:rPr>
      </w:pPr>
      <w:r>
        <w:rPr>
          <w:rFonts w:ascii="Verdana" w:hAnsi="Verdana" w:cs="Verdana"/>
          <w:i/>
          <w:iCs/>
          <w:spacing w:val="-9"/>
          <w:sz w:val="24"/>
          <w:szCs w:val="24"/>
          <w:lang w:val="es-ES" w:eastAsia="es-ES"/>
        </w:rPr>
        <w:t>Los que resuelvan recursos;</w:t>
      </w:r>
    </w:p>
    <w:p w:rsidR="00DC4DB9" w:rsidRDefault="0034101A">
      <w:pPr>
        <w:numPr>
          <w:ilvl w:val="0"/>
          <w:numId w:val="16"/>
        </w:numPr>
        <w:kinsoku w:val="0"/>
        <w:overflowPunct w:val="0"/>
        <w:autoSpaceDE/>
        <w:autoSpaceDN/>
        <w:adjustRightInd/>
        <w:spacing w:before="17" w:line="260" w:lineRule="exact"/>
        <w:ind w:right="648"/>
        <w:textAlignment w:val="baseline"/>
        <w:rPr>
          <w:rFonts w:ascii="Verdana" w:hAnsi="Verdana" w:cs="Verdana"/>
          <w:i/>
          <w:iCs/>
          <w:sz w:val="21"/>
          <w:szCs w:val="21"/>
          <w:u w:val="single"/>
          <w:lang w:val="es-ES" w:eastAsia="es-ES"/>
        </w:rPr>
      </w:pPr>
      <w:r>
        <w:rPr>
          <w:rFonts w:ascii="Verdana" w:hAnsi="Verdana" w:cs="Verdana"/>
          <w:i/>
          <w:iCs/>
          <w:sz w:val="21"/>
          <w:szCs w:val="21"/>
          <w:u w:val="single"/>
          <w:lang w:val="es-ES" w:eastAsia="es-ES"/>
        </w:rPr>
        <w:t xml:space="preserve">Los que se separen del criterio seguido en actuaciones precedentes o del dictamen de órganos consultivos; </w:t>
      </w:r>
    </w:p>
    <w:p w:rsidR="00DC4DB9" w:rsidRDefault="0034101A">
      <w:pPr>
        <w:numPr>
          <w:ilvl w:val="0"/>
          <w:numId w:val="15"/>
        </w:numPr>
        <w:kinsoku w:val="0"/>
        <w:overflowPunct w:val="0"/>
        <w:autoSpaceDE/>
        <w:autoSpaceDN/>
        <w:adjustRightInd/>
        <w:spacing w:line="269" w:lineRule="exact"/>
        <w:textAlignment w:val="baseline"/>
        <w:rPr>
          <w:rFonts w:ascii="Verdana" w:hAnsi="Verdana" w:cs="Verdana"/>
          <w:i/>
          <w:iCs/>
          <w:spacing w:val="-9"/>
          <w:sz w:val="24"/>
          <w:szCs w:val="24"/>
          <w:lang w:val="es-ES" w:eastAsia="es-ES"/>
        </w:rPr>
      </w:pPr>
      <w:r>
        <w:rPr>
          <w:rFonts w:ascii="Verdana" w:hAnsi="Verdana" w:cs="Verdana"/>
          <w:i/>
          <w:iCs/>
          <w:spacing w:val="-9"/>
          <w:sz w:val="24"/>
          <w:szCs w:val="24"/>
          <w:lang w:val="es-ES" w:eastAsia="es-ES"/>
        </w:rPr>
        <w:t>Los de suspensión de actos que hayan sido objeto del recurso;</w:t>
      </w:r>
    </w:p>
    <w:p w:rsidR="00DC4DB9" w:rsidRDefault="0034101A">
      <w:pPr>
        <w:numPr>
          <w:ilvl w:val="0"/>
          <w:numId w:val="15"/>
        </w:numPr>
        <w:kinsoku w:val="0"/>
        <w:overflowPunct w:val="0"/>
        <w:autoSpaceDE/>
        <w:autoSpaceDN/>
        <w:adjustRightInd/>
        <w:spacing w:line="269" w:lineRule="exact"/>
        <w:textAlignment w:val="baseline"/>
        <w:rPr>
          <w:rFonts w:ascii="Verdana" w:hAnsi="Verdana" w:cs="Verdana"/>
          <w:i/>
          <w:iCs/>
          <w:spacing w:val="-9"/>
          <w:sz w:val="24"/>
          <w:szCs w:val="24"/>
          <w:lang w:val="es-ES" w:eastAsia="es-ES"/>
        </w:rPr>
      </w:pPr>
      <w:r>
        <w:rPr>
          <w:rFonts w:ascii="Verdana" w:hAnsi="Verdana" w:cs="Verdana"/>
          <w:i/>
          <w:iCs/>
          <w:spacing w:val="-9"/>
          <w:sz w:val="24"/>
          <w:szCs w:val="24"/>
          <w:lang w:val="es-ES" w:eastAsia="es-ES"/>
        </w:rPr>
        <w:t>Los reglamentos y actos discrecionales de alcance general; y</w:t>
      </w:r>
    </w:p>
    <w:p w:rsidR="00DC4DB9" w:rsidRDefault="0034101A">
      <w:pPr>
        <w:numPr>
          <w:ilvl w:val="0"/>
          <w:numId w:val="15"/>
        </w:numPr>
        <w:kinsoku w:val="0"/>
        <w:overflowPunct w:val="0"/>
        <w:autoSpaceDE/>
        <w:autoSpaceDN/>
        <w:adjustRightInd/>
        <w:spacing w:line="268" w:lineRule="exact"/>
        <w:textAlignment w:val="baseline"/>
        <w:rPr>
          <w:rFonts w:ascii="Verdana" w:hAnsi="Verdana" w:cs="Verdana"/>
          <w:i/>
          <w:iCs/>
          <w:spacing w:val="-10"/>
          <w:sz w:val="24"/>
          <w:szCs w:val="24"/>
          <w:lang w:val="es-ES" w:eastAsia="es-ES"/>
        </w:rPr>
      </w:pPr>
      <w:r>
        <w:rPr>
          <w:rFonts w:ascii="Verdana" w:hAnsi="Verdana" w:cs="Verdana"/>
          <w:i/>
          <w:iCs/>
          <w:spacing w:val="-10"/>
          <w:sz w:val="24"/>
          <w:szCs w:val="24"/>
          <w:lang w:val="es-ES" w:eastAsia="es-ES"/>
        </w:rPr>
        <w:t>Los que deban serlo en virtud de ley.</w:t>
      </w:r>
    </w:p>
    <w:p w:rsidR="00DC4DB9" w:rsidRDefault="0034101A">
      <w:pPr>
        <w:kinsoku w:val="0"/>
        <w:overflowPunct w:val="0"/>
        <w:autoSpaceDE/>
        <w:autoSpaceDN/>
        <w:adjustRightInd/>
        <w:spacing w:before="282" w:line="268" w:lineRule="exact"/>
        <w:ind w:left="648" w:right="648"/>
        <w:jc w:val="both"/>
        <w:textAlignment w:val="baseline"/>
        <w:rPr>
          <w:rFonts w:ascii="Verdana" w:hAnsi="Verdana" w:cs="Verdana"/>
          <w:spacing w:val="-14"/>
          <w:sz w:val="24"/>
          <w:szCs w:val="24"/>
          <w:lang w:val="es-ES" w:eastAsia="es-ES"/>
        </w:rPr>
      </w:pPr>
      <w:r>
        <w:rPr>
          <w:rFonts w:ascii="Verdana" w:hAnsi="Verdana" w:cs="Verdana"/>
          <w:i/>
          <w:iCs/>
          <w:spacing w:val="-14"/>
          <w:sz w:val="24"/>
          <w:szCs w:val="24"/>
          <w:lang w:val="es-ES" w:eastAsia="es-ES"/>
        </w:rPr>
        <w:t xml:space="preserve">2. </w:t>
      </w:r>
      <w:r>
        <w:rPr>
          <w:rFonts w:ascii="Verdana" w:hAnsi="Verdana" w:cs="Verdana"/>
          <w:b/>
          <w:bCs/>
          <w:spacing w:val="-14"/>
          <w:sz w:val="24"/>
          <w:szCs w:val="24"/>
          <w:lang w:val="es-ES" w:eastAsia="es-ES"/>
        </w:rPr>
        <w:t xml:space="preserve">La motivación podrá consistir en la referencia explícita o inequívoca a los motivos de la petición del administrado, o bien a propuestas, dictámenes o resoluciones previas que hayan determinado realmente la adopción del acto, a condición de que se acompañe su copia." </w:t>
      </w:r>
      <w:r>
        <w:rPr>
          <w:rFonts w:ascii="Verdana" w:hAnsi="Verdana" w:cs="Verdana"/>
          <w:spacing w:val="-14"/>
          <w:sz w:val="24"/>
          <w:szCs w:val="24"/>
          <w:lang w:val="es-ES" w:eastAsia="es-ES"/>
        </w:rPr>
        <w:t>(El resaltado no es del original)</w:t>
      </w:r>
    </w:p>
    <w:p w:rsidR="00DC4DB9" w:rsidRDefault="0034101A">
      <w:pPr>
        <w:kinsoku w:val="0"/>
        <w:overflowPunct w:val="0"/>
        <w:autoSpaceDE/>
        <w:autoSpaceDN/>
        <w:adjustRightInd/>
        <w:spacing w:before="251" w:line="290"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Tribunal Contencioso Administrativo Sección III en su sentencia 00029 de las once horas del treinta de enero de dos mil quince indicó:</w:t>
      </w:r>
    </w:p>
    <w:p w:rsidR="00DC4DB9" w:rsidRDefault="0034101A">
      <w:pPr>
        <w:kinsoku w:val="0"/>
        <w:overflowPunct w:val="0"/>
        <w:autoSpaceDE/>
        <w:autoSpaceDN/>
        <w:adjustRightInd/>
        <w:spacing w:before="239" w:line="219" w:lineRule="exact"/>
        <w:ind w:left="432"/>
        <w:textAlignment w:val="baseline"/>
        <w:rPr>
          <w:rFonts w:ascii="Verdana" w:hAnsi="Verdana" w:cs="Verdana"/>
          <w:i/>
          <w:iCs/>
          <w:spacing w:val="7"/>
          <w:sz w:val="18"/>
          <w:szCs w:val="18"/>
          <w:lang w:val="es-ES" w:eastAsia="es-ES"/>
        </w:rPr>
      </w:pPr>
      <w:r>
        <w:rPr>
          <w:rFonts w:ascii="Verdana" w:hAnsi="Verdana" w:cs="Verdana"/>
          <w:b/>
          <w:bCs/>
          <w:i/>
          <w:iCs/>
          <w:spacing w:val="7"/>
          <w:sz w:val="21"/>
          <w:szCs w:val="21"/>
          <w:lang w:val="es-ES" w:eastAsia="es-ES"/>
        </w:rPr>
        <w:t xml:space="preserve">"HL- </w:t>
      </w:r>
      <w:r>
        <w:rPr>
          <w:rFonts w:ascii="Verdana" w:hAnsi="Verdana" w:cs="Verdana"/>
          <w:i/>
          <w:iCs/>
          <w:spacing w:val="7"/>
          <w:sz w:val="18"/>
          <w:szCs w:val="18"/>
          <w:lang w:val="es-ES" w:eastAsia="es-ES"/>
        </w:rPr>
        <w:t>SOBRE EL DEBER DE MOTIVACIÓN DE LOS ACTOS ADMINISTRATIVOS. Ha de</w:t>
      </w:r>
    </w:p>
    <w:p w:rsidR="00DC4DB9" w:rsidRDefault="0034101A">
      <w:pPr>
        <w:tabs>
          <w:tab w:val="left" w:pos="1584"/>
          <w:tab w:val="left" w:pos="5976"/>
        </w:tabs>
        <w:kinsoku w:val="0"/>
        <w:overflowPunct w:val="0"/>
        <w:autoSpaceDE/>
        <w:autoSpaceDN/>
        <w:adjustRightInd/>
        <w:spacing w:before="8" w:line="220" w:lineRule="exact"/>
        <w:ind w:left="432" w:right="360"/>
        <w:jc w:val="both"/>
        <w:textAlignment w:val="baseline"/>
        <w:rPr>
          <w:rFonts w:ascii="Verdana" w:hAnsi="Verdana" w:cs="Verdana"/>
          <w:i/>
          <w:iCs/>
          <w:spacing w:val="-2"/>
          <w:sz w:val="18"/>
          <w:szCs w:val="18"/>
          <w:lang w:val="es-ES" w:eastAsia="es-ES"/>
        </w:rPr>
      </w:pPr>
      <w:r>
        <w:rPr>
          <w:rFonts w:ascii="Verdana" w:hAnsi="Verdana" w:cs="Verdana"/>
          <w:i/>
          <w:iCs/>
          <w:spacing w:val="-2"/>
          <w:sz w:val="18"/>
          <w:szCs w:val="18"/>
          <w:lang w:val="es-ES" w:eastAsia="es-ES"/>
        </w:rPr>
        <w:t>indicarse,</w:t>
      </w:r>
      <w:r>
        <w:rPr>
          <w:rFonts w:ascii="Verdana" w:hAnsi="Verdana" w:cs="Verdana"/>
          <w:i/>
          <w:iCs/>
          <w:spacing w:val="-2"/>
          <w:sz w:val="18"/>
          <w:szCs w:val="18"/>
          <w:lang w:val="es-ES" w:eastAsia="es-ES"/>
        </w:rPr>
        <w:tab/>
        <w:t>que la motivación se constituye en</w:t>
      </w:r>
      <w:r>
        <w:rPr>
          <w:rFonts w:ascii="Verdana" w:hAnsi="Verdana" w:cs="Verdana"/>
          <w:i/>
          <w:iCs/>
          <w:spacing w:val="-2"/>
          <w:sz w:val="18"/>
          <w:szCs w:val="18"/>
          <w:lang w:val="es-ES" w:eastAsia="es-ES"/>
        </w:rPr>
        <w:tab/>
        <w:t>un elemento sustancial</w:t>
      </w:r>
      <w:r>
        <w:rPr>
          <w:rFonts w:ascii="Verdana" w:hAnsi="Verdana" w:cs="Verdana"/>
          <w:i/>
          <w:iCs/>
          <w:spacing w:val="-2"/>
          <w:sz w:val="18"/>
          <w:szCs w:val="18"/>
          <w:lang w:val="es-ES" w:eastAsia="es-ES"/>
        </w:rPr>
        <w:br/>
        <w:t xml:space="preserve">del acto administrativo, que exige la consignación de las cuestiones fácticas y/o jurídicas que sustentan la voluntad pública en el </w:t>
      </w:r>
      <w:proofErr w:type="spellStart"/>
      <w:r>
        <w:rPr>
          <w:rFonts w:ascii="Verdana" w:hAnsi="Verdana" w:cs="Verdana"/>
          <w:i/>
          <w:iCs/>
          <w:spacing w:val="-2"/>
          <w:sz w:val="18"/>
          <w:szCs w:val="18"/>
          <w:lang w:val="es-ES" w:eastAsia="es-ES"/>
        </w:rPr>
        <w:t>cáso</w:t>
      </w:r>
      <w:proofErr w:type="spellEnd"/>
      <w:r>
        <w:rPr>
          <w:rFonts w:ascii="Verdana" w:hAnsi="Verdana" w:cs="Verdana"/>
          <w:i/>
          <w:iCs/>
          <w:spacing w:val="-2"/>
          <w:sz w:val="18"/>
          <w:szCs w:val="18"/>
          <w:lang w:val="es-ES" w:eastAsia="es-ES"/>
        </w:rPr>
        <w:t xml:space="preserve"> concreto. </w:t>
      </w:r>
      <w:r>
        <w:rPr>
          <w:rFonts w:ascii="Verdana" w:hAnsi="Verdana" w:cs="Verdana"/>
          <w:i/>
          <w:iCs/>
          <w:spacing w:val="-2"/>
          <w:sz w:val="18"/>
          <w:szCs w:val="18"/>
          <w:u w:val="single"/>
          <w:lang w:val="es-ES" w:eastAsia="es-ES"/>
        </w:rPr>
        <w:t>El elemento motivación dista de ser una consideración meramente formal; por el contrario, constituye un elemento  infranqueable de la conducta pública, en la medida que permite la comprensión de las razones en las que se basa la decisión, lo que posibilita por un lado, el análisis de legalidad de ese acto a fin de confrontarlo con el ordenamiento jurídico y ponderar si satisface las  exigencias que aquel le impone, en términos de acreditación del motivo, legitimidad del contenido, razonabilidad y proporcionalidad entre ambos elementos.</w:t>
      </w:r>
      <w:r>
        <w:rPr>
          <w:rFonts w:ascii="Verdana" w:hAnsi="Verdana" w:cs="Verdana"/>
          <w:i/>
          <w:iCs/>
          <w:spacing w:val="-2"/>
          <w:sz w:val="18"/>
          <w:szCs w:val="18"/>
          <w:lang w:val="es-ES" w:eastAsia="es-ES"/>
        </w:rPr>
        <w:t xml:space="preserve"> Pero además, se transforma en un presupuesto de base para poder ejercer el derecho recursivo del destinatario, siendo que, no podría ejercerse plenamente ese derecho si el acto no señala su </w:t>
      </w:r>
      <w:proofErr w:type="gramStart"/>
      <w:r>
        <w:rPr>
          <w:rFonts w:ascii="Verdana" w:hAnsi="Verdana" w:cs="Verdana"/>
          <w:i/>
          <w:iCs/>
          <w:spacing w:val="-2"/>
          <w:sz w:val="18"/>
          <w:szCs w:val="18"/>
          <w:lang w:val="es-ES" w:eastAsia="es-ES"/>
        </w:rPr>
        <w:t>fundamentación..</w:t>
      </w:r>
      <w:proofErr w:type="gramEnd"/>
      <w:r>
        <w:rPr>
          <w:rFonts w:ascii="Verdana" w:hAnsi="Verdana" w:cs="Verdana"/>
          <w:i/>
          <w:iCs/>
          <w:spacing w:val="-2"/>
          <w:sz w:val="18"/>
          <w:szCs w:val="18"/>
          <w:lang w:val="es-ES" w:eastAsia="es-ES"/>
        </w:rPr>
        <w:t xml:space="preserve"> Ahora, ese deber de motivación, según se colige del precitado canon 136 de la Ley General de la Administración Pública, puede satisfacerse de manera directa</w:t>
      </w:r>
    </w:p>
    <w:p w:rsidR="00DC4DB9" w:rsidRDefault="0034101A">
      <w:pPr>
        <w:numPr>
          <w:ilvl w:val="0"/>
          <w:numId w:val="17"/>
        </w:numPr>
        <w:kinsoku w:val="0"/>
        <w:overflowPunct w:val="0"/>
        <w:autoSpaceDE/>
        <w:autoSpaceDN/>
        <w:adjustRightInd/>
        <w:spacing w:before="14" w:line="219" w:lineRule="exact"/>
        <w:ind w:right="360"/>
        <w:jc w:val="both"/>
        <w:textAlignment w:val="baseline"/>
        <w:rPr>
          <w:rFonts w:ascii="Verdana" w:hAnsi="Verdana" w:cs="Verdana"/>
          <w:i/>
          <w:iCs/>
          <w:spacing w:val="-1"/>
          <w:sz w:val="18"/>
          <w:szCs w:val="18"/>
          <w:lang w:val="es-ES" w:eastAsia="es-ES"/>
        </w:rPr>
      </w:pPr>
      <w:r>
        <w:rPr>
          <w:rFonts w:ascii="Verdana" w:hAnsi="Verdana" w:cs="Verdana"/>
          <w:i/>
          <w:iCs/>
          <w:spacing w:val="-1"/>
          <w:sz w:val="18"/>
          <w:szCs w:val="18"/>
          <w:lang w:val="es-ES" w:eastAsia="es-ES"/>
        </w:rPr>
        <w:t>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elemento, conlleva un vicio de nulidad que puede</w:t>
      </w:r>
    </w:p>
    <w:p w:rsidR="00DC4DB9" w:rsidRDefault="00DC4DB9">
      <w:pPr>
        <w:widowControl/>
        <w:rPr>
          <w:sz w:val="24"/>
          <w:szCs w:val="24"/>
        </w:rPr>
        <w:sectPr w:rsidR="00DC4DB9">
          <w:pgSz w:w="12288" w:h="15763"/>
          <w:pgMar w:top="720" w:right="1597" w:bottom="327" w:left="1651" w:header="720" w:footer="720" w:gutter="0"/>
          <w:cols w:space="720"/>
          <w:noEndnote/>
        </w:sectPr>
      </w:pPr>
    </w:p>
    <w:p w:rsidR="00DC4DB9" w:rsidRDefault="0034101A">
      <w:pPr>
        <w:kinsoku w:val="0"/>
        <w:overflowPunct w:val="0"/>
        <w:autoSpaceDE/>
        <w:autoSpaceDN/>
        <w:adjustRightInd/>
        <w:spacing w:line="219" w:lineRule="exact"/>
        <w:ind w:left="432" w:right="432"/>
        <w:jc w:val="both"/>
        <w:textAlignment w:val="baseline"/>
        <w:rPr>
          <w:rFonts w:ascii="Verdana" w:hAnsi="Verdana" w:cs="Verdana"/>
          <w:i/>
          <w:iCs/>
          <w:spacing w:val="-3"/>
          <w:sz w:val="18"/>
          <w:szCs w:val="18"/>
          <w:lang w:val="es-ES" w:eastAsia="es-ES"/>
        </w:rPr>
      </w:pPr>
      <w:r>
        <w:rPr>
          <w:rFonts w:ascii="Verdana" w:hAnsi="Verdana" w:cs="Verdana"/>
          <w:i/>
          <w:iCs/>
          <w:spacing w:val="-3"/>
          <w:sz w:val="18"/>
          <w:szCs w:val="18"/>
          <w:lang w:val="es-ES" w:eastAsia="es-ES"/>
        </w:rPr>
        <w:lastRenderedPageBreak/>
        <w:t xml:space="preserve">generar la supresión de la conducta. La motivación, pese a la redacción del inciso primero del aludido numeral 136 de la Ley General de referencia previa, no puede entenderse como una simple exposición de hechos, o bien, una mención simplista y aislada de normas jurídicas que se estiman pertinentes al caso, ni la simple transcripción de criterios sin acompañar detalle de las razones por las cuales se </w:t>
      </w:r>
      <w:proofErr w:type="spellStart"/>
      <w:r>
        <w:rPr>
          <w:rFonts w:ascii="Verdana" w:hAnsi="Verdana" w:cs="Verdana"/>
          <w:i/>
          <w:iCs/>
          <w:spacing w:val="-3"/>
          <w:sz w:val="18"/>
          <w:szCs w:val="18"/>
          <w:lang w:val="es-ES" w:eastAsia="es-ES"/>
        </w:rPr>
        <w:t>prohijan</w:t>
      </w:r>
      <w:proofErr w:type="spellEnd"/>
      <w:r>
        <w:rPr>
          <w:rFonts w:ascii="Verdana" w:hAnsi="Verdana" w:cs="Verdana"/>
          <w:i/>
          <w:iCs/>
          <w:spacing w:val="-3"/>
          <w:sz w:val="18"/>
          <w:szCs w:val="18"/>
          <w:lang w:val="es-ES" w:eastAsia="es-ES"/>
        </w:rPr>
        <w:t xml:space="preserve">. </w:t>
      </w:r>
      <w:r>
        <w:rPr>
          <w:rFonts w:ascii="Verdana" w:hAnsi="Verdana" w:cs="Verdana"/>
          <w:i/>
          <w:iCs/>
          <w:spacing w:val="-3"/>
          <w:sz w:val="18"/>
          <w:szCs w:val="18"/>
          <w:u w:val="single"/>
          <w:lang w:val="es-ES" w:eastAsia="es-ES"/>
        </w:rPr>
        <w:t xml:space="preserve">La relevancia de </w:t>
      </w:r>
      <w:proofErr w:type="gramStart"/>
      <w:r>
        <w:rPr>
          <w:rFonts w:ascii="Verdana" w:hAnsi="Verdana" w:cs="Verdana"/>
          <w:i/>
          <w:iCs/>
          <w:spacing w:val="-3"/>
          <w:sz w:val="18"/>
          <w:szCs w:val="18"/>
          <w:u w:val="single"/>
          <w:lang w:val="es-ES" w:eastAsia="es-ES"/>
        </w:rPr>
        <w:t>esta  exigencia</w:t>
      </w:r>
      <w:proofErr w:type="gramEnd"/>
      <w:r>
        <w:rPr>
          <w:rFonts w:ascii="Verdana" w:hAnsi="Verdana" w:cs="Verdana"/>
          <w:i/>
          <w:iCs/>
          <w:spacing w:val="-3"/>
          <w:sz w:val="18"/>
          <w:szCs w:val="18"/>
          <w:u w:val="single"/>
          <w:lang w:val="es-ES" w:eastAsia="es-ES"/>
        </w:rPr>
        <w:t xml:space="preserve">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w:t>
      </w:r>
      <w:proofErr w:type="spellStart"/>
      <w:r>
        <w:rPr>
          <w:rFonts w:ascii="Verdana" w:hAnsi="Verdana" w:cs="Verdana"/>
          <w:i/>
          <w:iCs/>
          <w:spacing w:val="-3"/>
          <w:sz w:val="18"/>
          <w:szCs w:val="18"/>
          <w:u w:val="single"/>
          <w:lang w:val="es-ES" w:eastAsia="es-ES"/>
        </w:rPr>
        <w:t>ibídem</w:t>
      </w:r>
      <w:proofErr w:type="spellEnd"/>
      <w:r>
        <w:rPr>
          <w:rFonts w:ascii="Verdana" w:hAnsi="Verdana" w:cs="Verdana"/>
          <w:i/>
          <w:iCs/>
          <w:spacing w:val="-3"/>
          <w:sz w:val="18"/>
          <w:szCs w:val="18"/>
          <w:u w:val="single"/>
          <w:lang w:val="es-ES" w:eastAsia="es-ES"/>
        </w:rPr>
        <w:t xml:space="preserve">-) y el examen de la procedencia o  improcedencia de un determinado efecto, a la luz de las normas jurídicas atinentes al caso. </w:t>
      </w:r>
      <w:r>
        <w:rPr>
          <w:rFonts w:ascii="Verdana" w:hAnsi="Verdana" w:cs="Verdana"/>
          <w:i/>
          <w:iCs/>
          <w:spacing w:val="-3"/>
          <w:sz w:val="18"/>
          <w:szCs w:val="18"/>
          <w:lang w:val="es-ES" w:eastAsia="es-ES"/>
        </w:rPr>
        <w:t xml:space="preserve">Ello exige una valoración de las implicaciones de los aspectos fácticos determinados en el marco del derecho aplicable, valoración que ha de explicitarse en el acto, sea de manera directa o refleja, a fin de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aseveraciones que al margen de su fundamento, no encuentran justificación en el acto mismo, imposibilitando la comprensión de dichas causas y su </w:t>
      </w:r>
      <w:proofErr w:type="spellStart"/>
      <w:proofErr w:type="gramStart"/>
      <w:r>
        <w:rPr>
          <w:rFonts w:ascii="Verdana" w:hAnsi="Verdana" w:cs="Verdana"/>
          <w:i/>
          <w:iCs/>
          <w:spacing w:val="-3"/>
          <w:sz w:val="18"/>
          <w:szCs w:val="18"/>
          <w:lang w:val="es-ES" w:eastAsia="es-ES"/>
        </w:rPr>
        <w:t>recurribilidad</w:t>
      </w:r>
      <w:proofErr w:type="spellEnd"/>
      <w:r>
        <w:rPr>
          <w:rFonts w:ascii="Verdana" w:hAnsi="Verdana" w:cs="Verdana"/>
          <w:i/>
          <w:iCs/>
          <w:spacing w:val="-3"/>
          <w:sz w:val="18"/>
          <w:szCs w:val="18"/>
          <w:lang w:val="es-ES" w:eastAsia="es-ES"/>
        </w:rPr>
        <w:t>....</w:t>
      </w:r>
      <w:proofErr w:type="gramEnd"/>
      <w:r>
        <w:rPr>
          <w:rFonts w:ascii="Verdana" w:hAnsi="Verdana" w:cs="Verdana"/>
          <w:i/>
          <w:iCs/>
          <w:spacing w:val="-3"/>
          <w:sz w:val="18"/>
          <w:szCs w:val="18"/>
          <w:lang w:val="es-ES" w:eastAsia="es-ES"/>
        </w:rPr>
        <w:t>"</w:t>
      </w:r>
    </w:p>
    <w:p w:rsidR="00DC4DB9" w:rsidRDefault="0034101A">
      <w:pPr>
        <w:kinsoku w:val="0"/>
        <w:overflowPunct w:val="0"/>
        <w:autoSpaceDE/>
        <w:autoSpaceDN/>
        <w:adjustRightInd/>
        <w:spacing w:before="211" w:line="277" w:lineRule="exact"/>
        <w:ind w:left="72" w:right="72"/>
        <w:textAlignment w:val="baseline"/>
        <w:rPr>
          <w:rFonts w:ascii="Bookman Old Style" w:hAnsi="Bookman Old Style" w:cs="Bookman Old Style"/>
          <w:b/>
          <w:bCs/>
          <w:spacing w:val="13"/>
          <w:sz w:val="24"/>
          <w:szCs w:val="24"/>
          <w:lang w:val="es-ES" w:eastAsia="es-ES"/>
        </w:rPr>
      </w:pPr>
      <w:r>
        <w:rPr>
          <w:rFonts w:ascii="Bookman Old Style" w:hAnsi="Bookman Old Style" w:cs="Bookman Old Style"/>
          <w:b/>
          <w:bCs/>
          <w:spacing w:val="13"/>
          <w:sz w:val="24"/>
          <w:szCs w:val="24"/>
          <w:lang w:val="es-ES" w:eastAsia="es-ES"/>
        </w:rPr>
        <w:t>PRINCIPIOS DE RAZONABILIDAD Y PROPORCIONALIDAD</w:t>
      </w:r>
    </w:p>
    <w:p w:rsidR="00DC4DB9" w:rsidRDefault="0034101A" w:rsidP="005B1D1F">
      <w:pPr>
        <w:kinsoku w:val="0"/>
        <w:overflowPunct w:val="0"/>
        <w:autoSpaceDE/>
        <w:autoSpaceDN/>
        <w:adjustRightInd/>
        <w:spacing w:before="291" w:line="292"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principio de proporcional y razonabilidad, es de especial relevancia dentro de los institutos jurídicos en que debe basarse la Administración</w:t>
      </w:r>
      <w:r w:rsidR="005B1D1F">
        <w:rPr>
          <w:rFonts w:ascii="Verdana" w:hAnsi="Verdana" w:cs="Verdana"/>
          <w:sz w:val="24"/>
          <w:szCs w:val="24"/>
          <w:lang w:val="es-ES" w:eastAsia="es-ES"/>
        </w:rPr>
        <w:t xml:space="preserve"> </w:t>
      </w:r>
      <w:r>
        <w:rPr>
          <w:rFonts w:ascii="Verdana" w:hAnsi="Verdana" w:cs="Verdana"/>
          <w:sz w:val="24"/>
          <w:szCs w:val="24"/>
          <w:lang w:val="es-ES" w:eastAsia="es-ES"/>
        </w:rPr>
        <w:t>Pública en la adopción de sus actos.</w:t>
      </w:r>
      <w:r>
        <w:rPr>
          <w:rFonts w:ascii="Verdana" w:hAnsi="Verdana" w:cs="Verdana"/>
          <w:sz w:val="24"/>
          <w:szCs w:val="24"/>
          <w:lang w:val="es-ES" w:eastAsia="es-ES"/>
        </w:rPr>
        <w:tab/>
        <w:t>Lo indicado por cuanto va</w:t>
      </w:r>
      <w:r>
        <w:rPr>
          <w:rFonts w:ascii="Verdana" w:hAnsi="Verdana" w:cs="Verdana"/>
          <w:sz w:val="24"/>
          <w:szCs w:val="24"/>
          <w:lang w:val="es-ES" w:eastAsia="es-ES"/>
        </w:rPr>
        <w:br/>
        <w:t>estrechamente relacionado con otros principios del servicio público como el de seguridad jurídica y buena fe que buscan equilibrar las relaciones entre los administrados y los poderes de Imperio del Estado.</w:t>
      </w:r>
    </w:p>
    <w:p w:rsidR="00DC4DB9" w:rsidRDefault="0034101A">
      <w:pPr>
        <w:kinsoku w:val="0"/>
        <w:overflowPunct w:val="0"/>
        <w:autoSpaceDE/>
        <w:autoSpaceDN/>
        <w:adjustRightInd/>
        <w:spacing w:before="278" w:line="292"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principio de Razonabilidad y Proporcionalidad, buscan que los actos administrativos adoptados, no solamente guarden proporción entre el fin legítimo que se pretende y los efectos en la esfera personal de los individuos, sino que sean informados por criterios de razonabilidad dentro del marco de la ciencia, la lógica y hasta el sentido común.</w:t>
      </w:r>
    </w:p>
    <w:p w:rsidR="00DC4DB9" w:rsidRDefault="0034101A">
      <w:pPr>
        <w:kinsoku w:val="0"/>
        <w:overflowPunct w:val="0"/>
        <w:autoSpaceDE/>
        <w:autoSpaceDN/>
        <w:adjustRightInd/>
        <w:spacing w:before="284" w:line="292"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El Tratadista costarricense </w:t>
      </w:r>
      <w:r>
        <w:rPr>
          <w:rFonts w:ascii="Bookman Old Style" w:hAnsi="Bookman Old Style" w:cs="Bookman Old Style"/>
          <w:b/>
          <w:bCs/>
          <w:sz w:val="24"/>
          <w:szCs w:val="24"/>
          <w:lang w:val="es-ES" w:eastAsia="es-ES"/>
        </w:rPr>
        <w:t xml:space="preserve">Doctor Ernesto </w:t>
      </w:r>
      <w:proofErr w:type="spellStart"/>
      <w:r>
        <w:rPr>
          <w:rFonts w:ascii="Bookman Old Style" w:hAnsi="Bookman Old Style" w:cs="Bookman Old Style"/>
          <w:b/>
          <w:bCs/>
          <w:sz w:val="24"/>
          <w:szCs w:val="24"/>
          <w:lang w:val="es-ES" w:eastAsia="es-ES"/>
        </w:rPr>
        <w:t>Jinesta</w:t>
      </w:r>
      <w:proofErr w:type="spellEnd"/>
      <w:r>
        <w:rPr>
          <w:rFonts w:ascii="Bookman Old Style" w:hAnsi="Bookman Old Style" w:cs="Bookman Old Style"/>
          <w:b/>
          <w:bCs/>
          <w:sz w:val="24"/>
          <w:szCs w:val="24"/>
          <w:lang w:val="es-ES" w:eastAsia="es-ES"/>
        </w:rPr>
        <w:t xml:space="preserve"> Lobo, </w:t>
      </w:r>
      <w:r>
        <w:rPr>
          <w:rFonts w:ascii="Verdana" w:hAnsi="Verdana" w:cs="Verdana"/>
          <w:sz w:val="24"/>
          <w:szCs w:val="24"/>
          <w:lang w:val="es-ES" w:eastAsia="es-ES"/>
        </w:rPr>
        <w:t xml:space="preserve">en su obra </w:t>
      </w:r>
      <w:r>
        <w:rPr>
          <w:rFonts w:ascii="Verdana" w:hAnsi="Verdana" w:cs="Verdana"/>
          <w:b/>
          <w:bCs/>
          <w:i/>
          <w:iCs/>
          <w:sz w:val="24"/>
          <w:szCs w:val="24"/>
          <w:lang w:val="es-ES" w:eastAsia="es-ES"/>
        </w:rPr>
        <w:t xml:space="preserve">"Principios constitucionales que rigen a las Administraciones Públicas" </w:t>
      </w:r>
      <w:r>
        <w:rPr>
          <w:rFonts w:ascii="Verdana" w:hAnsi="Verdana" w:cs="Verdana"/>
          <w:sz w:val="24"/>
          <w:szCs w:val="24"/>
          <w:lang w:val="es-ES" w:eastAsia="es-ES"/>
        </w:rPr>
        <w:t>respecto al principio administrativo de trato indicó:</w:t>
      </w:r>
    </w:p>
    <w:p w:rsidR="00DC4DB9" w:rsidRDefault="0034101A">
      <w:pPr>
        <w:kinsoku w:val="0"/>
        <w:overflowPunct w:val="0"/>
        <w:autoSpaceDE/>
        <w:autoSpaceDN/>
        <w:adjustRightInd/>
        <w:spacing w:before="258" w:line="224" w:lineRule="exact"/>
        <w:ind w:left="432" w:right="72"/>
        <w:textAlignment w:val="baseline"/>
        <w:rPr>
          <w:rFonts w:ascii="Verdana" w:hAnsi="Verdana" w:cs="Verdana"/>
          <w:i/>
          <w:iCs/>
          <w:spacing w:val="10"/>
          <w:sz w:val="18"/>
          <w:szCs w:val="18"/>
          <w:lang w:val="es-ES" w:eastAsia="es-ES"/>
        </w:rPr>
      </w:pPr>
      <w:r>
        <w:rPr>
          <w:rFonts w:ascii="Verdana" w:hAnsi="Verdana" w:cs="Verdana"/>
          <w:i/>
          <w:iCs/>
          <w:spacing w:val="10"/>
          <w:sz w:val="18"/>
          <w:szCs w:val="18"/>
          <w:lang w:val="es-ES" w:eastAsia="es-ES"/>
        </w:rPr>
        <w:t xml:space="preserve">"4.- Proporcionalidad y </w:t>
      </w:r>
      <w:proofErr w:type="spellStart"/>
      <w:r>
        <w:rPr>
          <w:rFonts w:ascii="Verdana" w:hAnsi="Verdana" w:cs="Verdana"/>
          <w:i/>
          <w:iCs/>
          <w:spacing w:val="10"/>
          <w:sz w:val="18"/>
          <w:szCs w:val="18"/>
          <w:lang w:val="es-ES" w:eastAsia="es-ES"/>
        </w:rPr>
        <w:t>razonabilidadl</w:t>
      </w:r>
      <w:proofErr w:type="spellEnd"/>
    </w:p>
    <w:p w:rsidR="00DC4DB9" w:rsidRDefault="0034101A">
      <w:pPr>
        <w:kinsoku w:val="0"/>
        <w:overflowPunct w:val="0"/>
        <w:autoSpaceDE/>
        <w:autoSpaceDN/>
        <w:adjustRightInd/>
        <w:spacing w:before="260" w:line="247" w:lineRule="exact"/>
        <w:ind w:left="432" w:right="432" w:firstLine="648"/>
        <w:jc w:val="both"/>
        <w:textAlignment w:val="baseline"/>
        <w:rPr>
          <w:rFonts w:ascii="Verdana" w:hAnsi="Verdana" w:cs="Verdana"/>
          <w:i/>
          <w:iCs/>
          <w:spacing w:val="10"/>
          <w:sz w:val="18"/>
          <w:szCs w:val="18"/>
          <w:lang w:val="es-ES" w:eastAsia="es-ES"/>
        </w:rPr>
      </w:pPr>
      <w:r>
        <w:rPr>
          <w:rFonts w:ascii="Verdana" w:hAnsi="Verdana" w:cs="Verdana"/>
          <w:i/>
          <w:iCs/>
          <w:spacing w:val="10"/>
          <w:sz w:val="18"/>
          <w:szCs w:val="18"/>
          <w:lang w:val="es-ES" w:eastAsia="es-ES"/>
        </w:rPr>
        <w:t>La Sala Constitucional en reiterados pronunciamientos ha indicado que este principio constituye, incluso, un parámetro de constitucionalidad de los actos sujetos al derecho público (leyes, reglamentos y actos administrativos en general), razón por la cual se ha preocupado de su análisis y desarrollo.</w:t>
      </w:r>
    </w:p>
    <w:p w:rsidR="00DC4DB9" w:rsidRDefault="0034101A">
      <w:pPr>
        <w:kinsoku w:val="0"/>
        <w:overflowPunct w:val="0"/>
        <w:autoSpaceDE/>
        <w:autoSpaceDN/>
        <w:adjustRightInd/>
        <w:spacing w:before="280" w:line="224" w:lineRule="exact"/>
        <w:ind w:left="72" w:right="72"/>
        <w:jc w:val="center"/>
        <w:textAlignment w:val="baseline"/>
        <w:rPr>
          <w:rFonts w:ascii="Verdana" w:hAnsi="Verdana" w:cs="Verdana"/>
          <w:i/>
          <w:iCs/>
          <w:spacing w:val="10"/>
          <w:sz w:val="18"/>
          <w:szCs w:val="18"/>
          <w:lang w:val="es-ES" w:eastAsia="es-ES"/>
        </w:rPr>
      </w:pPr>
      <w:r>
        <w:rPr>
          <w:rFonts w:ascii="Verdana" w:hAnsi="Verdana" w:cs="Verdana"/>
          <w:i/>
          <w:iCs/>
          <w:spacing w:val="10"/>
          <w:sz w:val="18"/>
          <w:szCs w:val="18"/>
          <w:lang w:val="es-ES" w:eastAsia="es-ES"/>
        </w:rPr>
        <w:t>En el Voto No. 732-2001, la Sala Constitucional señaló lo siguiente:</w:t>
      </w:r>
    </w:p>
    <w:p w:rsidR="00DC4DB9" w:rsidRDefault="0034101A">
      <w:pPr>
        <w:kinsoku w:val="0"/>
        <w:overflowPunct w:val="0"/>
        <w:autoSpaceDE/>
        <w:autoSpaceDN/>
        <w:adjustRightInd/>
        <w:spacing w:before="246" w:after="806" w:line="249" w:lineRule="exact"/>
        <w:ind w:left="432" w:right="432"/>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 xml:space="preserve">"V.- </w:t>
      </w:r>
      <w:r>
        <w:rPr>
          <w:rFonts w:ascii="Bookman Old Style" w:hAnsi="Bookman Old Style" w:cs="Bookman Old Style"/>
          <w:b/>
          <w:bCs/>
          <w:i/>
          <w:iCs/>
          <w:lang w:val="es-ES" w:eastAsia="es-ES"/>
        </w:rPr>
        <w:t xml:space="preserve">DEL PRINCIPIO DE RAZONABILIDAD COMO PARÁMETRO CONSTITUCIONAL. </w:t>
      </w:r>
      <w:r>
        <w:rPr>
          <w:rFonts w:ascii="Verdana" w:hAnsi="Verdana" w:cs="Verdana"/>
          <w:i/>
          <w:iCs/>
          <w:sz w:val="18"/>
          <w:szCs w:val="18"/>
          <w:lang w:val="es-ES" w:eastAsia="es-ES"/>
        </w:rPr>
        <w:t>La jurisprudencia constitucional ha sido clara y conteste en considerar que el principio de razonabilidad constituye un parámetro de</w:t>
      </w:r>
    </w:p>
    <w:p w:rsidR="00DC4DB9" w:rsidRDefault="00DC4DB9">
      <w:pPr>
        <w:widowControl/>
        <w:rPr>
          <w:sz w:val="24"/>
          <w:szCs w:val="24"/>
        </w:rPr>
        <w:sectPr w:rsidR="00DC4DB9">
          <w:pgSz w:w="12288" w:h="15730"/>
          <w:pgMar w:top="960" w:right="1516" w:bottom="195" w:left="1732" w:header="720" w:footer="720" w:gutter="0"/>
          <w:cols w:space="720"/>
          <w:noEndnote/>
        </w:sectPr>
      </w:pPr>
    </w:p>
    <w:p w:rsidR="00DC4DB9" w:rsidRDefault="0034101A">
      <w:pPr>
        <w:kinsoku w:val="0"/>
        <w:overflowPunct w:val="0"/>
        <w:autoSpaceDE/>
        <w:autoSpaceDN/>
        <w:adjustRightInd/>
        <w:spacing w:before="3" w:line="231" w:lineRule="exact"/>
        <w:textAlignment w:val="baseline"/>
        <w:rPr>
          <w:rFonts w:ascii="Bookman Old Style" w:hAnsi="Bookman Old Style" w:cs="Bookman Old Style"/>
          <w:spacing w:val="-18"/>
          <w:lang w:val="es-ES" w:eastAsia="es-ES"/>
        </w:rPr>
      </w:pPr>
      <w:r>
        <w:rPr>
          <w:rFonts w:ascii="Bookman Old Style" w:hAnsi="Bookman Old Style" w:cs="Bookman Old Style"/>
          <w:spacing w:val="-18"/>
          <w:lang w:val="es-ES" w:eastAsia="es-ES"/>
        </w:rPr>
        <w:t>Res-TAT-3435-18 11</w:t>
      </w:r>
    </w:p>
    <w:p w:rsidR="00DC4DB9" w:rsidRDefault="00DC4DB9">
      <w:pPr>
        <w:widowControl/>
        <w:rPr>
          <w:sz w:val="24"/>
          <w:szCs w:val="24"/>
        </w:rPr>
        <w:sectPr w:rsidR="00DC4DB9">
          <w:type w:val="continuous"/>
          <w:pgSz w:w="12288" w:h="15730"/>
          <w:pgMar w:top="960" w:right="1607" w:bottom="195" w:left="8861" w:header="720" w:footer="720" w:gutter="0"/>
          <w:cols w:space="720"/>
          <w:noEndnote/>
        </w:sectPr>
      </w:pPr>
    </w:p>
    <w:p w:rsidR="00DC4DB9" w:rsidRDefault="0034101A">
      <w:pPr>
        <w:kinsoku w:val="0"/>
        <w:overflowPunct w:val="0"/>
        <w:autoSpaceDE/>
        <w:autoSpaceDN/>
        <w:adjustRightInd/>
        <w:spacing w:before="12" w:line="243" w:lineRule="exact"/>
        <w:ind w:left="288" w:right="648"/>
        <w:jc w:val="both"/>
        <w:textAlignment w:val="baseline"/>
        <w:rPr>
          <w:rFonts w:ascii="Verdana" w:hAnsi="Verdana" w:cs="Verdana"/>
          <w:i/>
          <w:iCs/>
          <w:spacing w:val="4"/>
          <w:sz w:val="19"/>
          <w:szCs w:val="19"/>
          <w:lang w:val="es-ES" w:eastAsia="es-ES"/>
        </w:rPr>
      </w:pPr>
      <w:r>
        <w:rPr>
          <w:rFonts w:ascii="Verdana" w:hAnsi="Verdana" w:cs="Verdana"/>
          <w:i/>
          <w:iCs/>
          <w:spacing w:val="4"/>
          <w:sz w:val="19"/>
          <w:szCs w:val="19"/>
          <w:lang w:val="es-ES" w:eastAsia="es-ES"/>
        </w:rPr>
        <w:lastRenderedPageBreak/>
        <w:t xml:space="preserve">constitucionalidad ... Para realizar el juicio de razonabilidad la doctrina estadounidense invita a examinar, en primer término, la llamada </w:t>
      </w:r>
      <w:r>
        <w:rPr>
          <w:rFonts w:ascii="Verdana" w:hAnsi="Verdana" w:cs="Verdana"/>
          <w:b/>
          <w:bCs/>
          <w:i/>
          <w:iCs/>
          <w:spacing w:val="4"/>
          <w:sz w:val="19"/>
          <w:szCs w:val="19"/>
          <w:lang w:val="es-ES" w:eastAsia="es-ES"/>
        </w:rPr>
        <w:t xml:space="preserve">"razonabilidad técnica" </w:t>
      </w:r>
      <w:r>
        <w:rPr>
          <w:rFonts w:ascii="Verdana" w:hAnsi="Verdana" w:cs="Verdana"/>
          <w:i/>
          <w:iCs/>
          <w:spacing w:val="4"/>
          <w:sz w:val="19"/>
          <w:szCs w:val="19"/>
          <w:lang w:val="es-ES" w:eastAsia="es-ES"/>
        </w:rPr>
        <w:t xml:space="preserve">dentro de la que se examina la norma en concreto (ley, reglamento, etc.). Una vez establecido que la norma elegida es la adecuada para regular determinada materia, habrá que examinar si hay proporcionalidad entre el medio escogido y el fin buscado. Superado el criterio de "razonabilidad técnica" hay que analizar la </w:t>
      </w:r>
      <w:r>
        <w:rPr>
          <w:rFonts w:ascii="Verdana" w:hAnsi="Verdana" w:cs="Verdana"/>
          <w:b/>
          <w:bCs/>
          <w:i/>
          <w:iCs/>
          <w:spacing w:val="4"/>
          <w:sz w:val="19"/>
          <w:szCs w:val="19"/>
          <w:lang w:val="es-ES" w:eastAsia="es-ES"/>
        </w:rPr>
        <w:t xml:space="preserve">"razonabilidad jurídica". </w:t>
      </w:r>
      <w:r>
        <w:rPr>
          <w:rFonts w:ascii="Verdana" w:hAnsi="Verdana" w:cs="Verdana"/>
          <w:i/>
          <w:iCs/>
          <w:spacing w:val="4"/>
          <w:sz w:val="19"/>
          <w:szCs w:val="19"/>
          <w:lang w:val="es-ES" w:eastAsia="es-ES"/>
        </w:rPr>
        <w:t xml:space="preserve">Para lo cual esta doctrina propone examinar: </w:t>
      </w:r>
      <w:r>
        <w:rPr>
          <w:rFonts w:ascii="Verdana" w:hAnsi="Verdana" w:cs="Verdana"/>
          <w:b/>
          <w:bCs/>
          <w:i/>
          <w:iCs/>
          <w:spacing w:val="4"/>
          <w:sz w:val="19"/>
          <w:szCs w:val="19"/>
          <w:lang w:val="es-ES" w:eastAsia="es-ES"/>
        </w:rPr>
        <w:t xml:space="preserve">a) </w:t>
      </w:r>
      <w:r>
        <w:rPr>
          <w:rFonts w:ascii="Verdana" w:hAnsi="Verdana" w:cs="Verdana"/>
          <w:i/>
          <w:iCs/>
          <w:spacing w:val="4"/>
          <w:sz w:val="19"/>
          <w:szCs w:val="19"/>
          <w:lang w:val="es-ES" w:eastAsia="es-ES"/>
        </w:rPr>
        <w:t xml:space="preserve">razonabilidad ponderativa, que es un tipo de valoración jurídica a la que se concurre cuando ante la existencia de un determinado antecedente (ej. ingreso) se exige una determinada prestación (ej. tributo), debiendo en este supuesto establecerse si la misma es equivalente o proporcionada; </w:t>
      </w:r>
      <w:r>
        <w:rPr>
          <w:rFonts w:ascii="Verdana" w:hAnsi="Verdana" w:cs="Verdana"/>
          <w:b/>
          <w:bCs/>
          <w:i/>
          <w:iCs/>
          <w:spacing w:val="4"/>
          <w:sz w:val="19"/>
          <w:szCs w:val="19"/>
          <w:lang w:val="es-ES" w:eastAsia="es-ES"/>
        </w:rPr>
        <w:t xml:space="preserve">b) </w:t>
      </w:r>
      <w:r>
        <w:rPr>
          <w:rFonts w:ascii="Verdana" w:hAnsi="Verdana" w:cs="Verdana"/>
          <w:i/>
          <w:iCs/>
          <w:spacing w:val="4"/>
          <w:sz w:val="19"/>
          <w:szCs w:val="19"/>
          <w:lang w:val="es-ES" w:eastAsia="es-ES"/>
        </w:rPr>
        <w:t xml:space="preserve">la razonabilidad de igualdad, es el tipo de valoración jurídica que parte de que ante iguales antecedentes deben haber iguales consecuencias, sin excepciones arbitrarias; </w:t>
      </w:r>
      <w:r>
        <w:rPr>
          <w:rFonts w:ascii="Verdana" w:hAnsi="Verdana" w:cs="Verdana"/>
          <w:b/>
          <w:bCs/>
          <w:i/>
          <w:iCs/>
          <w:spacing w:val="4"/>
          <w:sz w:val="19"/>
          <w:szCs w:val="19"/>
          <w:lang w:val="es-ES" w:eastAsia="es-ES"/>
        </w:rPr>
        <w:t xml:space="preserve">c) </w:t>
      </w:r>
      <w:r>
        <w:rPr>
          <w:rFonts w:ascii="Verdana" w:hAnsi="Verdana" w:cs="Verdana"/>
          <w:i/>
          <w:iCs/>
          <w:spacing w:val="4"/>
          <w:sz w:val="19"/>
          <w:szCs w:val="19"/>
          <w:lang w:val="es-ES" w:eastAsia="es-ES"/>
        </w:rPr>
        <w:t>razonabilidad en el fin, en este punto se valora si el objetivo a alcanzar, no ofende los fines previstos por el legislador con su aprobación. Dentro de este mismo análisis, no basta con afirmar que un medio sea razonablemente adecuado a un fin; es necesario, además, verificar la índole y el tamaño de la limitación que por ese medio debe soportar un derecho personal. De esta manera, si al mismo fin se puede llegar buscando otro medio que produzca una limitación menos gravosa a los derechos personales, el medio escogido no es razonable..." (En igual sentido Votos Nos. 843-02 del 30 de enero de 2002; 5374-03 del 20 de junio de 2003; 340-04 del 16 de enero de 2004; 846-05 del 28 de enero de 2005; 1800-05 del 23 de febrero de 2005; 2236-05 del 2 de marzo de 2005; 1806-06 del 15 de febrero de 2006; 1807-06 del 15 de febrero de 2006 y 1557-07 del 7 de febrero de 2007 y 1571-08 del 15 de enero de 2008).</w:t>
      </w:r>
    </w:p>
    <w:p w:rsidR="00DC4DB9" w:rsidRDefault="0034101A">
      <w:pPr>
        <w:kinsoku w:val="0"/>
        <w:overflowPunct w:val="0"/>
        <w:autoSpaceDE/>
        <w:autoSpaceDN/>
        <w:adjustRightInd/>
        <w:spacing w:before="242" w:line="243" w:lineRule="exact"/>
        <w:ind w:left="288" w:right="648" w:firstLine="576"/>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Siguiendo la doctrina alemana, la Sala Constitucional ha considerado que los componentes básicos de la proporcionalidad, son la legitimidad, la idoneidad, la necesidad y la proporcionalidad en sentido estricto. Así, en el Voto No. 3933</w:t>
      </w:r>
      <w:r>
        <w:rPr>
          <w:rFonts w:ascii="Verdana" w:hAnsi="Verdana" w:cs="Verdana"/>
          <w:i/>
          <w:iCs/>
          <w:sz w:val="19"/>
          <w:szCs w:val="19"/>
          <w:lang w:val="es-ES" w:eastAsia="es-ES"/>
        </w:rPr>
        <w:softHyphen/>
        <w:t>98, indico lo siguiente:</w:t>
      </w:r>
    </w:p>
    <w:p w:rsidR="00DC4DB9" w:rsidRDefault="0034101A">
      <w:pPr>
        <w:kinsoku w:val="0"/>
        <w:overflowPunct w:val="0"/>
        <w:autoSpaceDE/>
        <w:autoSpaceDN/>
        <w:adjustRightInd/>
        <w:spacing w:before="229" w:line="243" w:lineRule="exact"/>
        <w:ind w:left="288" w:right="648"/>
        <w:jc w:val="both"/>
        <w:textAlignment w:val="baseline"/>
        <w:rPr>
          <w:rFonts w:ascii="Verdana" w:hAnsi="Verdana" w:cs="Verdana"/>
          <w:i/>
          <w:iCs/>
          <w:spacing w:val="3"/>
          <w:sz w:val="19"/>
          <w:szCs w:val="19"/>
          <w:lang w:val="es-ES" w:eastAsia="es-ES"/>
        </w:rPr>
      </w:pPr>
      <w:r>
        <w:rPr>
          <w:rFonts w:ascii="Verdana" w:hAnsi="Verdana" w:cs="Verdana"/>
          <w:i/>
          <w:iCs/>
          <w:spacing w:val="3"/>
          <w:sz w:val="19"/>
          <w:szCs w:val="19"/>
          <w:lang w:val="es-ES" w:eastAsia="es-ES"/>
        </w:rPr>
        <w:t xml:space="preserve">"(...) La legitimidad se refiere a que el objetivo pretendido con el acto o disposición impugnado no debe estar, al menos, legalmente prohibido; la idoneidad indica que la medida estatal cuestionada deber ser apta para alcanzar efectivamente el objetivo pretendido; la necesidad significa que entre varias medidas igualmente aptas para alcanzar tal objetivo, debe la autoridad competente elegir aquella que afecte lo menos posible la esfera jurídica de la persona; y la proporcionalidad en sentido estricto dispone que aparte del requisito de que la norma sea apta y necesaria, lo ordenado por ella no debe estar fuera de proporción con respecto al objetivo pretendido, o sea, </w:t>
      </w:r>
      <w:proofErr w:type="spellStart"/>
      <w:r>
        <w:rPr>
          <w:rFonts w:ascii="Verdana" w:hAnsi="Verdana" w:cs="Verdana"/>
          <w:i/>
          <w:iCs/>
          <w:spacing w:val="3"/>
          <w:sz w:val="19"/>
          <w:szCs w:val="19"/>
          <w:lang w:val="es-ES" w:eastAsia="es-ES"/>
        </w:rPr>
        <w:t>nó</w:t>
      </w:r>
      <w:proofErr w:type="spellEnd"/>
      <w:r>
        <w:rPr>
          <w:rFonts w:ascii="Verdana" w:hAnsi="Verdana" w:cs="Verdana"/>
          <w:i/>
          <w:iCs/>
          <w:spacing w:val="3"/>
          <w:sz w:val="19"/>
          <w:szCs w:val="19"/>
          <w:lang w:val="es-ES" w:eastAsia="es-ES"/>
        </w:rPr>
        <w:t xml:space="preserve"> le sea "exigible" al individuo (...)".</w:t>
      </w:r>
    </w:p>
    <w:p w:rsidR="00DC4DB9" w:rsidRDefault="0034101A">
      <w:pPr>
        <w:kinsoku w:val="0"/>
        <w:overflowPunct w:val="0"/>
        <w:autoSpaceDE/>
        <w:autoSpaceDN/>
        <w:adjustRightInd/>
        <w:spacing w:before="237" w:line="249" w:lineRule="exact"/>
        <w:ind w:left="288" w:right="648" w:firstLine="576"/>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En el Voto No. 8858-98, la Sala Constitucional volvió a referirse a los componentes referidos, al indicar lo siguiente:</w:t>
      </w:r>
    </w:p>
    <w:p w:rsidR="00DC4DB9" w:rsidRDefault="0034101A">
      <w:pPr>
        <w:kinsoku w:val="0"/>
        <w:overflowPunct w:val="0"/>
        <w:autoSpaceDE/>
        <w:autoSpaceDN/>
        <w:adjustRightInd/>
        <w:spacing w:before="283" w:line="243" w:lineRule="exact"/>
        <w:ind w:left="288" w:right="648"/>
        <w:jc w:val="both"/>
        <w:textAlignment w:val="baseline"/>
        <w:rPr>
          <w:rFonts w:ascii="Verdana" w:hAnsi="Verdana" w:cs="Verdana"/>
          <w:i/>
          <w:iCs/>
          <w:spacing w:val="2"/>
          <w:sz w:val="19"/>
          <w:szCs w:val="19"/>
          <w:lang w:val="es-ES" w:eastAsia="es-ES"/>
        </w:rPr>
      </w:pPr>
      <w:r>
        <w:rPr>
          <w:rFonts w:ascii="Verdana" w:hAnsi="Verdana" w:cs="Verdana"/>
          <w:i/>
          <w:iCs/>
          <w:spacing w:val="2"/>
          <w:sz w:val="19"/>
          <w:szCs w:val="19"/>
          <w:lang w:val="es-ES" w:eastAsia="es-ES"/>
        </w:rPr>
        <w:t xml:space="preserve">"Así, un acto limitativo de derechos es razonable cuando cumple con una triple condición: es necesario, idóneo y proporcional. La </w:t>
      </w:r>
      <w:r>
        <w:rPr>
          <w:rFonts w:ascii="Verdana" w:hAnsi="Verdana" w:cs="Verdana"/>
          <w:b/>
          <w:bCs/>
          <w:i/>
          <w:iCs/>
          <w:spacing w:val="2"/>
          <w:sz w:val="19"/>
          <w:szCs w:val="19"/>
          <w:lang w:val="es-ES" w:eastAsia="es-ES"/>
        </w:rPr>
        <w:t xml:space="preserve">necesidad </w:t>
      </w:r>
      <w:r>
        <w:rPr>
          <w:rFonts w:ascii="Verdana" w:hAnsi="Verdana" w:cs="Verdana"/>
          <w:i/>
          <w:iCs/>
          <w:spacing w:val="2"/>
          <w:sz w:val="19"/>
          <w:szCs w:val="19"/>
          <w:lang w:val="es-ES" w:eastAsia="es-ES"/>
        </w:rPr>
        <w:t xml:space="preserve">de una medida hace directa referencia a la existencia de una base fáctica que haga preciso proteger algún bien o conjunto de bienes de la colectividad -o de un determinado grupo- mediante la adopción de una medida de diferenciación. Es decir, </w:t>
      </w:r>
      <w:proofErr w:type="gramStart"/>
      <w:r>
        <w:rPr>
          <w:rFonts w:ascii="Verdana" w:hAnsi="Verdana" w:cs="Verdana"/>
          <w:i/>
          <w:iCs/>
          <w:spacing w:val="2"/>
          <w:sz w:val="19"/>
          <w:szCs w:val="19"/>
          <w:lang w:val="es-ES" w:eastAsia="es-ES"/>
        </w:rPr>
        <w:t>que</w:t>
      </w:r>
      <w:proofErr w:type="gramEnd"/>
      <w:r>
        <w:rPr>
          <w:rFonts w:ascii="Verdana" w:hAnsi="Verdana" w:cs="Verdana"/>
          <w:i/>
          <w:iCs/>
          <w:spacing w:val="2"/>
          <w:sz w:val="19"/>
          <w:szCs w:val="19"/>
          <w:lang w:val="es-ES" w:eastAsia="es-ES"/>
        </w:rPr>
        <w:t xml:space="preserve"> si dicha actuación no es realizada, importantes intereses públicos van a ser lesionados. Si la limitación no es necesaria, tampoco podrá ser considerada como razonable, y por ende constitucionalmente válida. La idoneidad, por su parte, importa un juicio referente a si el tipo de restricción a ser adoptado cumple o no con la finalidad de satisfacer la necesidad detectada. La </w:t>
      </w:r>
      <w:proofErr w:type="spellStart"/>
      <w:r>
        <w:rPr>
          <w:rFonts w:ascii="Verdana" w:hAnsi="Verdana" w:cs="Verdana"/>
          <w:i/>
          <w:iCs/>
          <w:spacing w:val="2"/>
          <w:sz w:val="19"/>
          <w:szCs w:val="19"/>
          <w:lang w:val="es-ES" w:eastAsia="es-ES"/>
        </w:rPr>
        <w:t>inidoneidad</w:t>
      </w:r>
      <w:proofErr w:type="spellEnd"/>
      <w:r>
        <w:rPr>
          <w:rFonts w:ascii="Verdana" w:hAnsi="Verdana" w:cs="Verdana"/>
          <w:i/>
          <w:iCs/>
          <w:spacing w:val="2"/>
          <w:sz w:val="19"/>
          <w:szCs w:val="19"/>
          <w:lang w:val="es-ES" w:eastAsia="es-ES"/>
        </w:rPr>
        <w:t xml:space="preserve"> de la medida nos indicaría que pueden existir otros mecanismos que en mejor manera</w:t>
      </w:r>
    </w:p>
    <w:p w:rsidR="00DC4DB9" w:rsidRDefault="00DC4DB9">
      <w:pPr>
        <w:widowControl/>
        <w:rPr>
          <w:sz w:val="24"/>
          <w:szCs w:val="24"/>
        </w:rPr>
        <w:sectPr w:rsidR="00DC4DB9">
          <w:pgSz w:w="12288" w:h="15730"/>
          <w:pgMar w:top="760" w:right="1417" w:bottom="314" w:left="1831" w:header="720" w:footer="720" w:gutter="0"/>
          <w:cols w:space="720"/>
          <w:noEndnote/>
        </w:sectPr>
      </w:pPr>
    </w:p>
    <w:p w:rsidR="00DC4DB9" w:rsidRDefault="0034101A">
      <w:pPr>
        <w:kinsoku w:val="0"/>
        <w:overflowPunct w:val="0"/>
        <w:autoSpaceDE/>
        <w:autoSpaceDN/>
        <w:adjustRightInd/>
        <w:spacing w:before="6" w:line="243" w:lineRule="exact"/>
        <w:ind w:left="432" w:right="504"/>
        <w:jc w:val="both"/>
        <w:textAlignment w:val="baseline"/>
        <w:rPr>
          <w:rFonts w:ascii="Verdana" w:hAnsi="Verdana" w:cs="Verdana"/>
          <w:i/>
          <w:iCs/>
          <w:spacing w:val="-3"/>
          <w:lang w:val="es-ES" w:eastAsia="es-ES"/>
        </w:rPr>
      </w:pPr>
      <w:r>
        <w:rPr>
          <w:rFonts w:ascii="Verdana" w:hAnsi="Verdana" w:cs="Verdana"/>
          <w:i/>
          <w:iCs/>
          <w:spacing w:val="-3"/>
          <w:lang w:val="es-ES" w:eastAsia="es-ES"/>
        </w:rPr>
        <w:lastRenderedPageBreak/>
        <w:t>solucionen la necesidad existente, pudiendo algunos de ellos cumplir con la finalidad propuesta sin restringir el disfrute del derecho en cuestión. Por su parte, la proporcionalidad nos remite a un juicio de necesaria comparación entre la finalidad perseguida por el acto y el tipo de restricción que se impone o pretende imponer, de manera que la limitación no sea de entidad marcadamente superior al beneficio que con ella se pretende obtener en beneficio de la colectividad. De los dos últimos elementos, podría decirse que el primero se basa en un juicio cualitativo, en cuanto que el segundo parte de una comparación cuantitativa de los dos objetos analizados."</w:t>
      </w:r>
    </w:p>
    <w:p w:rsidR="00DC4DB9" w:rsidRDefault="0034101A">
      <w:pPr>
        <w:kinsoku w:val="0"/>
        <w:overflowPunct w:val="0"/>
        <w:autoSpaceDE/>
        <w:autoSpaceDN/>
        <w:adjustRightInd/>
        <w:spacing w:before="256" w:line="243" w:lineRule="exact"/>
        <w:ind w:left="432" w:right="504" w:firstLine="576"/>
        <w:jc w:val="both"/>
        <w:textAlignment w:val="baseline"/>
        <w:rPr>
          <w:rFonts w:ascii="Verdana" w:hAnsi="Verdana" w:cs="Verdana"/>
          <w:i/>
          <w:iCs/>
          <w:spacing w:val="-1"/>
          <w:lang w:val="es-ES" w:eastAsia="es-ES"/>
        </w:rPr>
      </w:pPr>
      <w:r>
        <w:rPr>
          <w:rFonts w:ascii="Verdana" w:hAnsi="Verdana" w:cs="Verdana"/>
          <w:i/>
          <w:iCs/>
          <w:spacing w:val="-1"/>
          <w:lang w:val="es-ES" w:eastAsia="es-ES"/>
        </w:rPr>
        <w:t>En el Voto No. 1739-92, la Sala Constitucional estimó que debe distinguirse entre "(...) razonabilidad técnica, que es, como se dijo, la proporcionalidad entre medios y fines; razonabilidad jurídica, o la adecuación a la Constitución en general, y en especial, a los derechos y libertades reconocidos o supuestos por ella; y finalmente, razonabilidad de los efectos sobre los derechos personales, en el sentido de no imponer a esos derechos otras limitaciones o cargas que las razonablemente derivadas de la naturaleza y régimen de los derechos mismos, ni mayores que las indispensables para que funcionen razonablemente en la vida de la sociedad."</w:t>
      </w:r>
    </w:p>
    <w:p w:rsidR="00DC4DB9" w:rsidRDefault="0034101A">
      <w:pPr>
        <w:kinsoku w:val="0"/>
        <w:overflowPunct w:val="0"/>
        <w:autoSpaceDE/>
        <w:autoSpaceDN/>
        <w:adjustRightInd/>
        <w:spacing w:before="249" w:line="243" w:lineRule="exact"/>
        <w:ind w:left="432" w:right="504" w:firstLine="576"/>
        <w:jc w:val="both"/>
        <w:textAlignment w:val="baseline"/>
        <w:rPr>
          <w:rFonts w:ascii="Verdana" w:hAnsi="Verdana" w:cs="Verdana"/>
          <w:i/>
          <w:iCs/>
          <w:spacing w:val="-2"/>
          <w:lang w:val="es-ES" w:eastAsia="es-ES"/>
        </w:rPr>
      </w:pPr>
      <w:r>
        <w:rPr>
          <w:rFonts w:ascii="Verdana" w:hAnsi="Verdana" w:cs="Verdana"/>
          <w:i/>
          <w:iCs/>
          <w:spacing w:val="-2"/>
          <w:lang w:val="es-ES" w:eastAsia="es-ES"/>
        </w:rPr>
        <w:t>Conviene indicar, que el p</w:t>
      </w:r>
      <w:r w:rsidR="00E87526">
        <w:rPr>
          <w:rFonts w:ascii="Verdana" w:hAnsi="Verdana" w:cs="Verdana"/>
          <w:i/>
          <w:iCs/>
          <w:spacing w:val="-2"/>
          <w:lang w:val="es-ES" w:eastAsia="es-ES"/>
        </w:rPr>
        <w:t>r</w:t>
      </w:r>
      <w:r>
        <w:rPr>
          <w:rFonts w:ascii="Verdana" w:hAnsi="Verdana" w:cs="Verdana"/>
          <w:i/>
          <w:iCs/>
          <w:spacing w:val="-2"/>
          <w:lang w:val="es-ES" w:eastAsia="es-ES"/>
        </w:rPr>
        <w:t>incipio:</w:t>
      </w:r>
      <w:r w:rsidR="00E87526">
        <w:rPr>
          <w:rFonts w:ascii="Verdana" w:hAnsi="Verdana" w:cs="Verdana"/>
          <w:i/>
          <w:iCs/>
          <w:spacing w:val="-2"/>
          <w:lang w:val="es-ES" w:eastAsia="es-ES"/>
        </w:rPr>
        <w:t xml:space="preserve"> </w:t>
      </w:r>
      <w:r>
        <w:rPr>
          <w:rFonts w:ascii="Verdana" w:hAnsi="Verdana" w:cs="Verdana"/>
          <w:i/>
          <w:iCs/>
          <w:spacing w:val="-2"/>
          <w:lang w:val="es-ES" w:eastAsia="es-ES"/>
        </w:rPr>
        <w:t>de razonabilidad y proporcionalidad cumple un rol de primer orden en el Derecho Administrativo, al proyectarse en diversos ámbitos. Así, es de vital importancia como límite al ejercicio de la discrecionalidad administrativa, al establecer la LGAP que no podrán dictarse actos administrativos discrecionales contrarios a las reglas unívocas de la ciencia</w:t>
      </w:r>
    </w:p>
    <w:p w:rsidR="00DC4DB9" w:rsidRDefault="0034101A">
      <w:pPr>
        <w:numPr>
          <w:ilvl w:val="0"/>
          <w:numId w:val="18"/>
        </w:numPr>
        <w:kinsoku w:val="0"/>
        <w:overflowPunct w:val="0"/>
        <w:autoSpaceDE/>
        <w:autoSpaceDN/>
        <w:adjustRightInd/>
        <w:spacing w:before="10" w:line="243" w:lineRule="exact"/>
        <w:ind w:right="432"/>
        <w:jc w:val="both"/>
        <w:textAlignment w:val="baseline"/>
        <w:rPr>
          <w:rFonts w:ascii="Verdana" w:hAnsi="Verdana" w:cs="Verdana"/>
          <w:i/>
          <w:iCs/>
          <w:spacing w:val="-2"/>
          <w:lang w:val="es-ES" w:eastAsia="es-ES"/>
        </w:rPr>
      </w:pPr>
      <w:r>
        <w:rPr>
          <w:rFonts w:ascii="Verdana" w:hAnsi="Verdana" w:cs="Verdana"/>
          <w:i/>
          <w:iCs/>
          <w:spacing w:val="-2"/>
          <w:lang w:val="es-ES" w:eastAsia="es-ES"/>
        </w:rPr>
        <w:t xml:space="preserve">de la técnica, o a los principios elementales de justicia, lógica o conveniencia (artículos 16, párrafo 1°, 158, párrafo 4° y 160). En materia de los elementos constitutivos de índole material-objetivo (motivo, contenido y fin), debe existir una relación de proporcionalidad entre los mismos, así para una falta disciplinaria específica de un funcionario -motivo- debe existir una sanción proporcionada </w:t>
      </w:r>
      <w:r>
        <w:rPr>
          <w:rFonts w:ascii="Verdana" w:hAnsi="Verdana" w:cs="Verdana"/>
          <w:i/>
          <w:iCs/>
          <w:spacing w:val="-2"/>
          <w:lang w:val="es-ES" w:eastAsia="es-ES"/>
        </w:rPr>
        <w:softHyphen/>
        <w:t>amonestación verbal o escrita, suspensión o destitución-, en tal sentido el artículo 132, párrafo 2°, de la LGAP establece que el contenido "Deberá ser (...) proporcionado al fin legal y correspondiente al motivo, cuando ambos se hallen regulados". En el terreno del Derecho Administrativo sancionador y del Derecho. Tributario, el principio de proporcionalidad y razonabilidad es determinante para evitar sanciones o tributos desorbitados o desproporcionados."</w:t>
      </w:r>
    </w:p>
    <w:p w:rsidR="00DC4DB9" w:rsidRDefault="0034101A">
      <w:pPr>
        <w:kinsoku w:val="0"/>
        <w:overflowPunct w:val="0"/>
        <w:autoSpaceDE/>
        <w:autoSpaceDN/>
        <w:adjustRightInd/>
        <w:spacing w:before="292" w:line="284" w:lineRule="exact"/>
        <w:ind w:left="72" w:right="72"/>
        <w:jc w:val="both"/>
        <w:textAlignment w:val="baseline"/>
        <w:rPr>
          <w:rFonts w:ascii="Verdana" w:hAnsi="Verdana" w:cs="Verdana"/>
          <w:b/>
          <w:bCs/>
          <w:sz w:val="24"/>
          <w:szCs w:val="24"/>
          <w:lang w:val="es-ES" w:eastAsia="es-ES"/>
        </w:rPr>
      </w:pPr>
      <w:r>
        <w:rPr>
          <w:rFonts w:ascii="Verdana" w:hAnsi="Verdana" w:cs="Verdana"/>
          <w:b/>
          <w:bCs/>
          <w:sz w:val="24"/>
          <w:szCs w:val="24"/>
          <w:lang w:val="es-ES" w:eastAsia="es-ES"/>
        </w:rPr>
        <w:t>DE LA SUJECIÓN DE LOS ACTOS ADMINISTRATIVOS A LOS CRITERIOS DE LA TÉCNICA, LA CIENCIA Y LA LÓGICA.</w:t>
      </w:r>
    </w:p>
    <w:p w:rsidR="00DC4DB9" w:rsidRDefault="0034101A">
      <w:pPr>
        <w:kinsoku w:val="0"/>
        <w:overflowPunct w:val="0"/>
        <w:autoSpaceDE/>
        <w:autoSpaceDN/>
        <w:adjustRightInd/>
        <w:spacing w:before="292" w:line="290"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Es un principio general de Derecho, que la Administración Pública en ningún supuesto puede adoptar actos contrarios a las reglas unívocas de la ciencia, la técnica, la justicia, la lógica o la conveniencia, lo cual a su vez tienen como referencia la razonabilidad y la proporcionalidad como parámetro de legalidad.</w:t>
      </w:r>
    </w:p>
    <w:p w:rsidR="00DC4DB9" w:rsidRDefault="0034101A">
      <w:pPr>
        <w:kinsoku w:val="0"/>
        <w:overflowPunct w:val="0"/>
        <w:autoSpaceDE/>
        <w:autoSpaceDN/>
        <w:adjustRightInd/>
        <w:spacing w:before="317" w:line="290"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Ley General de la Administración Pública </w:t>
      </w:r>
      <w:r>
        <w:rPr>
          <w:rFonts w:ascii="Verdana" w:hAnsi="Verdana" w:cs="Verdana"/>
          <w:b/>
          <w:bCs/>
          <w:u w:val="single"/>
          <w:lang w:val="es-ES" w:eastAsia="es-ES"/>
        </w:rPr>
        <w:t>Ley 6227 del 02 de mayo de1978,</w:t>
      </w:r>
      <w:r>
        <w:rPr>
          <w:rFonts w:ascii="Verdana" w:hAnsi="Verdana" w:cs="Verdana"/>
          <w:sz w:val="24"/>
          <w:szCs w:val="24"/>
          <w:lang w:val="es-ES" w:eastAsia="es-ES"/>
        </w:rPr>
        <w:t xml:space="preserve"> (LAGP) en su Artículo 16 dispone:</w:t>
      </w:r>
    </w:p>
    <w:p w:rsidR="00DC4DB9" w:rsidRDefault="0034101A">
      <w:pPr>
        <w:kinsoku w:val="0"/>
        <w:overflowPunct w:val="0"/>
        <w:autoSpaceDE/>
        <w:autoSpaceDN/>
        <w:adjustRightInd/>
        <w:spacing w:before="274" w:line="243" w:lineRule="exact"/>
        <w:ind w:left="432"/>
        <w:textAlignment w:val="baseline"/>
        <w:rPr>
          <w:rFonts w:ascii="Verdana" w:hAnsi="Verdana" w:cs="Verdana"/>
          <w:sz w:val="24"/>
          <w:szCs w:val="24"/>
          <w:lang w:eastAsia="en-US"/>
        </w:rPr>
      </w:pPr>
      <w:r>
        <w:rPr>
          <w:rFonts w:ascii="Verdana" w:hAnsi="Verdana" w:cs="Verdana"/>
          <w:i/>
          <w:iCs/>
          <w:spacing w:val="-4"/>
          <w:lang w:val="es-ES" w:eastAsia="es-ES"/>
        </w:rPr>
        <w:t xml:space="preserve">"Artículo </w:t>
      </w:r>
      <w:proofErr w:type="gramStart"/>
      <w:r>
        <w:rPr>
          <w:rFonts w:ascii="Verdana" w:hAnsi="Verdana" w:cs="Verdana"/>
          <w:i/>
          <w:iCs/>
          <w:spacing w:val="-4"/>
          <w:lang w:val="es-ES" w:eastAsia="es-ES"/>
        </w:rPr>
        <w:t>16.</w:t>
      </w:r>
      <w:r>
        <w:rPr>
          <w:rFonts w:ascii="Verdana" w:hAnsi="Verdana" w:cs="Verdana"/>
          <w:i/>
          <w:iCs/>
          <w:spacing w:val="-4"/>
          <w:lang w:val="es-ES" w:eastAsia="es-ES"/>
        </w:rPr>
        <w:noBreakHyphen/>
      </w:r>
      <w:proofErr w:type="gramEnd"/>
    </w:p>
    <w:p w:rsidR="00DC4DB9" w:rsidRDefault="0034101A">
      <w:pPr>
        <w:kinsoku w:val="0"/>
        <w:overflowPunct w:val="0"/>
        <w:autoSpaceDE/>
        <w:autoSpaceDN/>
        <w:adjustRightInd/>
        <w:spacing w:before="311" w:line="243" w:lineRule="exact"/>
        <w:ind w:left="72"/>
        <w:jc w:val="center"/>
        <w:textAlignment w:val="baseline"/>
        <w:rPr>
          <w:rFonts w:ascii="Verdana" w:hAnsi="Verdana" w:cs="Verdana"/>
          <w:i/>
          <w:iCs/>
          <w:lang w:val="es-ES" w:eastAsia="es-ES"/>
        </w:rPr>
      </w:pPr>
      <w:r>
        <w:rPr>
          <w:rFonts w:ascii="Verdana" w:hAnsi="Verdana" w:cs="Verdana"/>
          <w:i/>
          <w:iCs/>
          <w:lang w:val="es-ES" w:eastAsia="es-ES"/>
        </w:rPr>
        <w:t>1. En ningún caso podrán dictarse actos contrarios a reglas unívocas de la ciencia</w:t>
      </w:r>
    </w:p>
    <w:p w:rsidR="00DC4DB9" w:rsidRDefault="00E87526" w:rsidP="00E87526">
      <w:pPr>
        <w:kinsoku w:val="0"/>
        <w:overflowPunct w:val="0"/>
        <w:autoSpaceDE/>
        <w:autoSpaceDN/>
        <w:adjustRightInd/>
        <w:spacing w:before="11" w:after="461" w:line="243" w:lineRule="exact"/>
        <w:ind w:left="432"/>
        <w:textAlignment w:val="baseline"/>
        <w:rPr>
          <w:rFonts w:ascii="Verdana" w:hAnsi="Verdana" w:cs="Verdana"/>
          <w:i/>
          <w:iCs/>
          <w:lang w:val="es-ES" w:eastAsia="es-ES"/>
        </w:rPr>
      </w:pPr>
      <w:r>
        <w:rPr>
          <w:rFonts w:ascii="Verdana" w:hAnsi="Verdana" w:cs="Verdana"/>
          <w:i/>
          <w:iCs/>
          <w:lang w:val="es-ES" w:eastAsia="es-ES"/>
        </w:rPr>
        <w:t xml:space="preserve">    </w:t>
      </w:r>
      <w:r w:rsidR="0034101A">
        <w:rPr>
          <w:rFonts w:ascii="Verdana" w:hAnsi="Verdana" w:cs="Verdana"/>
          <w:i/>
          <w:iCs/>
          <w:lang w:val="es-ES" w:eastAsia="es-ES"/>
        </w:rPr>
        <w:t>de la técnica, o a principios elementales de justicia, lógica o conveniencia.</w:t>
      </w:r>
    </w:p>
    <w:p w:rsidR="00DC4DB9" w:rsidRDefault="00DC4DB9">
      <w:pPr>
        <w:widowControl/>
        <w:rPr>
          <w:sz w:val="24"/>
          <w:szCs w:val="24"/>
        </w:rPr>
        <w:sectPr w:rsidR="00DC4DB9">
          <w:pgSz w:w="12298" w:h="15763"/>
          <w:pgMar w:top="980" w:right="1526" w:bottom="201" w:left="1732" w:header="720" w:footer="720" w:gutter="0"/>
          <w:cols w:space="720"/>
          <w:noEndnote/>
        </w:sectPr>
      </w:pPr>
    </w:p>
    <w:p w:rsidR="00DC4DB9" w:rsidRDefault="00DC4DB9">
      <w:pPr>
        <w:widowControl/>
        <w:rPr>
          <w:sz w:val="24"/>
          <w:szCs w:val="24"/>
        </w:rPr>
        <w:sectPr w:rsidR="00DC4DB9">
          <w:type w:val="continuous"/>
          <w:pgSz w:w="12298" w:h="15763"/>
          <w:pgMar w:top="980" w:right="1612" w:bottom="201" w:left="8866" w:header="720" w:footer="720" w:gutter="0"/>
          <w:cols w:space="720"/>
          <w:noEndnote/>
        </w:sectPr>
      </w:pPr>
    </w:p>
    <w:p w:rsidR="00DC4DB9" w:rsidRDefault="0034101A">
      <w:pPr>
        <w:kinsoku w:val="0"/>
        <w:overflowPunct w:val="0"/>
        <w:autoSpaceDE/>
        <w:autoSpaceDN/>
        <w:adjustRightInd/>
        <w:spacing w:before="36" w:line="239" w:lineRule="exact"/>
        <w:ind w:left="216" w:right="432"/>
        <w:textAlignment w:val="baseline"/>
        <w:rPr>
          <w:rFonts w:ascii="Verdana" w:hAnsi="Verdana" w:cs="Verdana"/>
          <w:i/>
          <w:iCs/>
          <w:lang w:val="es-ES" w:eastAsia="es-ES"/>
        </w:rPr>
      </w:pPr>
      <w:r>
        <w:rPr>
          <w:rFonts w:ascii="Verdana" w:hAnsi="Verdana" w:cs="Verdana"/>
          <w:i/>
          <w:iCs/>
          <w:lang w:val="es-ES" w:eastAsia="es-ES"/>
        </w:rPr>
        <w:lastRenderedPageBreak/>
        <w:t>2. El Juez podrá controlar la conformidad con estas reglas no jurídicas de los elementos discrecionales del acto, como si ejerciera contralor de legalidad."</w:t>
      </w:r>
    </w:p>
    <w:p w:rsidR="00DC4DB9" w:rsidRDefault="0034101A">
      <w:pPr>
        <w:kinsoku w:val="0"/>
        <w:overflowPunct w:val="0"/>
        <w:autoSpaceDE/>
        <w:autoSpaceDN/>
        <w:adjustRightInd/>
        <w:spacing w:before="271" w:line="292" w:lineRule="exact"/>
        <w:ind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De lo anterior se colige que la Administración Pública, no solo debe emitir sus actos dentro del marco de Legalidad consagrado en los artículos 11 de la Carta Magna y 11 del cuerpo legal de referencia, sino que además debe hacerlo dentro de las reglas de la ciencia, técnica y los principios elementales de justicia, lógica y conveniencia; esto es así pues los actos administrativos no pueden ser arbitrarios y por lo tanto causar o someter a través de ellos a los administrados a situaciones desproporcionadas o irracionales y que les cause un perjuicio injusto que traspasa los límites de la Legalidad misma.</w:t>
      </w:r>
    </w:p>
    <w:p w:rsidR="00DC4DB9" w:rsidRDefault="0034101A">
      <w:pPr>
        <w:kinsoku w:val="0"/>
        <w:overflowPunct w:val="0"/>
        <w:autoSpaceDE/>
        <w:autoSpaceDN/>
        <w:adjustRightInd/>
        <w:spacing w:before="246" w:line="288" w:lineRule="exact"/>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DEL CASO CONCRETO</w:t>
      </w:r>
    </w:p>
    <w:p w:rsidR="00DC4DB9" w:rsidRDefault="0034101A">
      <w:pPr>
        <w:kinsoku w:val="0"/>
        <w:overflowPunct w:val="0"/>
        <w:autoSpaceDE/>
        <w:autoSpaceDN/>
        <w:adjustRightInd/>
        <w:spacing w:before="318" w:line="291" w:lineRule="exact"/>
        <w:ind w:right="144"/>
        <w:jc w:val="both"/>
        <w:textAlignment w:val="baseline"/>
        <w:rPr>
          <w:rFonts w:ascii="Verdana" w:hAnsi="Verdana" w:cs="Verdana"/>
          <w:b/>
          <w:bCs/>
          <w:spacing w:val="-2"/>
          <w:sz w:val="24"/>
          <w:szCs w:val="24"/>
          <w:lang w:val="es-ES" w:eastAsia="es-ES"/>
        </w:rPr>
      </w:pPr>
      <w:r>
        <w:rPr>
          <w:rFonts w:ascii="Verdana" w:hAnsi="Verdana" w:cs="Verdana"/>
          <w:spacing w:val="-2"/>
          <w:sz w:val="24"/>
          <w:szCs w:val="24"/>
          <w:lang w:val="es-ES" w:eastAsia="es-ES"/>
        </w:rPr>
        <w:t xml:space="preserve">La empresa recurrente, impugna el </w:t>
      </w:r>
      <w:proofErr w:type="spellStart"/>
      <w:r>
        <w:rPr>
          <w:rFonts w:ascii="Verdana" w:hAnsi="Verdana" w:cs="Verdana"/>
          <w:b/>
          <w:bCs/>
          <w:spacing w:val="-2"/>
          <w:sz w:val="24"/>
          <w:szCs w:val="24"/>
          <w:lang w:val="es-ES" w:eastAsia="es-ES"/>
        </w:rPr>
        <w:t>articulo</w:t>
      </w:r>
      <w:proofErr w:type="spellEnd"/>
      <w:r>
        <w:rPr>
          <w:rFonts w:ascii="Verdana" w:hAnsi="Verdana" w:cs="Verdana"/>
          <w:b/>
          <w:bCs/>
          <w:spacing w:val="-2"/>
          <w:sz w:val="24"/>
          <w:szCs w:val="24"/>
          <w:lang w:val="es-ES" w:eastAsia="es-ES"/>
        </w:rPr>
        <w:t xml:space="preserve"> 7.12.24 de la Sesión Ordinaria 34-2017 de 30 de agosto de 2017, </w:t>
      </w:r>
      <w:r>
        <w:rPr>
          <w:rFonts w:ascii="Verdana" w:hAnsi="Verdana" w:cs="Verdana"/>
          <w:spacing w:val="-2"/>
          <w:sz w:val="24"/>
          <w:szCs w:val="24"/>
          <w:lang w:val="es-ES" w:eastAsia="es-ES"/>
        </w:rPr>
        <w:t xml:space="preserve">indicando 9n lo conducente, que se le rechaza la solicitud de prórroga para informar cual empresa les realizaría el estudio de evaluación de la calidad, basándose la Junta Directiva del CTP en lo acordado en el </w:t>
      </w:r>
      <w:r>
        <w:rPr>
          <w:rFonts w:ascii="Verdana" w:hAnsi="Verdana" w:cs="Verdana"/>
          <w:b/>
          <w:bCs/>
          <w:spacing w:val="-2"/>
          <w:sz w:val="24"/>
          <w:szCs w:val="24"/>
          <w:lang w:val="es-ES" w:eastAsia="es-ES"/>
        </w:rPr>
        <w:t xml:space="preserve">artículo 7.18 de la Sesión Ordinaria 23-2017 de 7 de junio de 2017, </w:t>
      </w:r>
      <w:r>
        <w:rPr>
          <w:rFonts w:ascii="Verdana" w:hAnsi="Verdana" w:cs="Verdana"/>
          <w:spacing w:val="-2"/>
          <w:sz w:val="24"/>
          <w:szCs w:val="24"/>
          <w:lang w:val="es-ES" w:eastAsia="es-ES"/>
        </w:rPr>
        <w:t xml:space="preserve">no obstante, omitió dicho cuerpo colegiado y la Dirección de Asuntos Jurídicos quien preparó el informe técnico que sustento el acto que se recurre, que dicho plazo del 1 de agosto de 2017 para presentar la solicitud de extensión de plazo no era perentorio sino </w:t>
      </w:r>
      <w:proofErr w:type="spellStart"/>
      <w:r>
        <w:rPr>
          <w:rFonts w:ascii="Verdana" w:hAnsi="Verdana" w:cs="Verdana"/>
          <w:spacing w:val="-2"/>
          <w:sz w:val="24"/>
          <w:szCs w:val="24"/>
          <w:lang w:val="es-ES" w:eastAsia="es-ES"/>
        </w:rPr>
        <w:t>ordenatorio</w:t>
      </w:r>
      <w:proofErr w:type="spellEnd"/>
      <w:r>
        <w:rPr>
          <w:rFonts w:ascii="Verdana" w:hAnsi="Verdana" w:cs="Verdana"/>
          <w:spacing w:val="-2"/>
          <w:sz w:val="24"/>
          <w:szCs w:val="24"/>
          <w:lang w:val="es-ES" w:eastAsia="es-ES"/>
        </w:rPr>
        <w:t xml:space="preserve">, por haberlo decidido así la misma Junta Directiva del Consejo de Transporte Público, mediante </w:t>
      </w:r>
      <w:r>
        <w:rPr>
          <w:rFonts w:ascii="Verdana" w:hAnsi="Verdana" w:cs="Verdana"/>
          <w:b/>
          <w:bCs/>
          <w:spacing w:val="-2"/>
          <w:sz w:val="24"/>
          <w:szCs w:val="24"/>
          <w:lang w:val="es-ES" w:eastAsia="es-ES"/>
        </w:rPr>
        <w:t>acuerdo 5.1 de la Sesión Ordinaria 30-2017 del 26 de julio de 2017.</w:t>
      </w:r>
    </w:p>
    <w:p w:rsidR="00DC4DB9" w:rsidRDefault="0034101A">
      <w:pPr>
        <w:kinsoku w:val="0"/>
        <w:overflowPunct w:val="0"/>
        <w:autoSpaceDE/>
        <w:autoSpaceDN/>
        <w:adjustRightInd/>
        <w:spacing w:before="285" w:line="291" w:lineRule="exact"/>
        <w:ind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Este Tribunal Administrativo de Transporte, se avoca al análisis del </w:t>
      </w:r>
      <w:r>
        <w:rPr>
          <w:rFonts w:ascii="Verdana" w:hAnsi="Verdana" w:cs="Verdana"/>
          <w:b/>
          <w:bCs/>
          <w:sz w:val="24"/>
          <w:szCs w:val="24"/>
          <w:lang w:val="es-ES" w:eastAsia="es-ES"/>
        </w:rPr>
        <w:t xml:space="preserve">acuerdo 5.1 de la Sesión Ordinaria 30-2017 del 26 de julio de 2017, </w:t>
      </w:r>
      <w:r>
        <w:rPr>
          <w:rFonts w:ascii="Verdana" w:hAnsi="Verdana" w:cs="Verdana"/>
          <w:sz w:val="24"/>
          <w:szCs w:val="24"/>
          <w:lang w:val="es-ES" w:eastAsia="es-ES"/>
        </w:rPr>
        <w:t>y puede determinar que efectivamente, con la adopción de dicho acuerdo se genera una incertidumbre jurídica, que pudo llamar a error a los administrados.</w:t>
      </w:r>
    </w:p>
    <w:p w:rsidR="00DC4DB9" w:rsidRDefault="0034101A">
      <w:pPr>
        <w:kinsoku w:val="0"/>
        <w:overflowPunct w:val="0"/>
        <w:autoSpaceDE/>
        <w:autoSpaceDN/>
        <w:adjustRightInd/>
        <w:spacing w:before="269" w:after="426" w:line="296"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Nótese que la Junta Directiva del Consejo de Transporte Público en el </w:t>
      </w:r>
      <w:r>
        <w:rPr>
          <w:rFonts w:ascii="Verdana" w:hAnsi="Verdana" w:cs="Verdana"/>
          <w:b/>
          <w:bCs/>
          <w:sz w:val="24"/>
          <w:szCs w:val="24"/>
          <w:lang w:val="es-ES" w:eastAsia="es-ES"/>
        </w:rPr>
        <w:t xml:space="preserve">acuerdo 5.1 de la Sesión Ordinaria 30-2017, </w:t>
      </w:r>
      <w:r>
        <w:rPr>
          <w:rFonts w:ascii="Verdana" w:hAnsi="Verdana" w:cs="Verdana"/>
          <w:sz w:val="24"/>
          <w:szCs w:val="24"/>
          <w:lang w:val="es-ES" w:eastAsia="es-ES"/>
        </w:rPr>
        <w:t xml:space="preserve">analizando una petición de prórroga planteada por la Comisión Nacional de Pequeños y Medianos Empresarios Autobuseros, determina en su Por Tanto segundo que </w:t>
      </w:r>
      <w:r>
        <w:rPr>
          <w:rFonts w:ascii="Verdana" w:hAnsi="Verdana" w:cs="Verdana"/>
          <w:i/>
          <w:iCs/>
          <w:sz w:val="24"/>
          <w:szCs w:val="24"/>
          <w:lang w:val="es-ES" w:eastAsia="es-ES"/>
        </w:rPr>
        <w:t xml:space="preserve">"La fecha del primero de agosto del 2017 quedó establecida básicamente con el objetivo de que los transportistas puedan comunicar si tienen la posibilidad real o no, de contratar a un Organismo de Inspección acreditado ante el ECA en la Norma INTE - ISO/IEC 17020, o si no es así, para que la Administración, en un plazo de quince días posteriores a esta fecha, pueda valorar si les autoriza o no, la contratación de un organismo que no esté acreditado ante el ECA, </w:t>
      </w:r>
      <w:r>
        <w:rPr>
          <w:rFonts w:ascii="Verdana" w:hAnsi="Verdana" w:cs="Verdana"/>
          <w:i/>
          <w:iCs/>
          <w:sz w:val="24"/>
          <w:szCs w:val="24"/>
          <w:u w:val="single"/>
          <w:lang w:val="es-ES" w:eastAsia="es-ES"/>
        </w:rPr>
        <w:t xml:space="preserve">y </w:t>
      </w:r>
      <w:r>
        <w:rPr>
          <w:rFonts w:ascii="Verdana" w:hAnsi="Verdana" w:cs="Verdana"/>
          <w:b/>
          <w:bCs/>
          <w:i/>
          <w:iCs/>
          <w:sz w:val="24"/>
          <w:szCs w:val="24"/>
          <w:u w:val="single"/>
          <w:lang w:val="es-ES" w:eastAsia="es-ES"/>
        </w:rPr>
        <w:t xml:space="preserve">por ello el establecimiento de  dicha fecha, la cual no constituye un plazo perentorio, sino que es  un plazo </w:t>
      </w:r>
      <w:proofErr w:type="spellStart"/>
      <w:r>
        <w:rPr>
          <w:rFonts w:ascii="Verdana" w:hAnsi="Verdana" w:cs="Verdana"/>
          <w:b/>
          <w:bCs/>
          <w:i/>
          <w:iCs/>
          <w:sz w:val="24"/>
          <w:szCs w:val="24"/>
          <w:u w:val="single"/>
          <w:lang w:val="es-ES" w:eastAsia="es-ES"/>
        </w:rPr>
        <w:t>ordenatorio</w:t>
      </w:r>
      <w:proofErr w:type="spellEnd"/>
      <w:r>
        <w:rPr>
          <w:rFonts w:ascii="Verdana" w:hAnsi="Verdana" w:cs="Verdana"/>
          <w:b/>
          <w:bCs/>
          <w:i/>
          <w:iCs/>
          <w:sz w:val="24"/>
          <w:szCs w:val="24"/>
          <w:u w:val="single"/>
          <w:lang w:val="es-ES" w:eastAsia="es-ES"/>
        </w:rPr>
        <w:t>"</w:t>
      </w:r>
      <w:r>
        <w:rPr>
          <w:rFonts w:ascii="Verdana" w:hAnsi="Verdana" w:cs="Verdana"/>
          <w:sz w:val="24"/>
          <w:szCs w:val="24"/>
          <w:lang w:val="es-ES" w:eastAsia="es-ES"/>
        </w:rPr>
        <w:t xml:space="preserve"> (el resaltado es nuestro).</w:t>
      </w:r>
    </w:p>
    <w:p w:rsidR="00DC4DB9" w:rsidRDefault="00DC4DB9">
      <w:pPr>
        <w:widowControl/>
        <w:rPr>
          <w:sz w:val="24"/>
          <w:szCs w:val="24"/>
        </w:rPr>
        <w:sectPr w:rsidR="00DC4DB9">
          <w:pgSz w:w="12298" w:h="15763"/>
          <w:pgMar w:top="720" w:right="1545" w:bottom="347" w:left="1713" w:header="720" w:footer="720" w:gutter="0"/>
          <w:cols w:space="720"/>
          <w:noEndnote/>
        </w:sectPr>
      </w:pPr>
    </w:p>
    <w:p w:rsidR="00DC4DB9" w:rsidRDefault="00DC4DB9">
      <w:pPr>
        <w:widowControl/>
        <w:rPr>
          <w:sz w:val="24"/>
          <w:szCs w:val="24"/>
        </w:rPr>
        <w:sectPr w:rsidR="00DC4DB9">
          <w:type w:val="continuous"/>
          <w:pgSz w:w="12298" w:h="15763"/>
          <w:pgMar w:top="720" w:right="1655" w:bottom="347" w:left="8803" w:header="720" w:footer="720" w:gutter="0"/>
          <w:cols w:space="720"/>
          <w:noEndnote/>
        </w:sectPr>
      </w:pPr>
    </w:p>
    <w:p w:rsidR="00DC4DB9" w:rsidRDefault="0034101A">
      <w:pPr>
        <w:kinsoku w:val="0"/>
        <w:overflowPunct w:val="0"/>
        <w:autoSpaceDE/>
        <w:autoSpaceDN/>
        <w:adjustRightInd/>
        <w:spacing w:before="20" w:line="291" w:lineRule="exact"/>
        <w:ind w:left="72" w:right="72"/>
        <w:jc w:val="both"/>
        <w:textAlignment w:val="baseline"/>
        <w:rPr>
          <w:rFonts w:ascii="Verdana" w:hAnsi="Verdana" w:cs="Verdana"/>
          <w:i/>
          <w:iCs/>
          <w:sz w:val="24"/>
          <w:szCs w:val="24"/>
          <w:lang w:val="es-ES" w:eastAsia="es-ES"/>
        </w:rPr>
      </w:pPr>
      <w:r>
        <w:rPr>
          <w:rFonts w:ascii="Verdana" w:hAnsi="Verdana" w:cs="Verdana"/>
          <w:sz w:val="24"/>
          <w:szCs w:val="24"/>
          <w:lang w:val="es-ES" w:eastAsia="es-ES"/>
        </w:rPr>
        <w:lastRenderedPageBreak/>
        <w:t xml:space="preserve">Por otro lado, en el Por Tanto octavo amén de lo indicado en la segunda disposición de la parte dispositiva del acuerdo determina: </w:t>
      </w:r>
      <w:r>
        <w:rPr>
          <w:rFonts w:ascii="Verdana" w:hAnsi="Verdana" w:cs="Verdana"/>
          <w:i/>
          <w:iCs/>
          <w:sz w:val="24"/>
          <w:szCs w:val="24"/>
          <w:lang w:val="es-ES" w:eastAsia="es-ES"/>
        </w:rPr>
        <w:t>"Por todo lo anteriormente indicado, la referida fecha del primero de agosto del 2017, no se estaría prorrogando".</w:t>
      </w:r>
    </w:p>
    <w:p w:rsidR="00DC4DB9" w:rsidRDefault="0034101A">
      <w:pPr>
        <w:kinsoku w:val="0"/>
        <w:overflowPunct w:val="0"/>
        <w:autoSpaceDE/>
        <w:autoSpaceDN/>
        <w:adjustRightInd/>
        <w:spacing w:before="197" w:line="292" w:lineRule="exact"/>
        <w:ind w:left="72" w:right="72"/>
        <w:jc w:val="both"/>
        <w:textAlignment w:val="baseline"/>
        <w:rPr>
          <w:rFonts w:ascii="Verdana" w:hAnsi="Verdana" w:cs="Verdana"/>
          <w:b/>
          <w:bCs/>
          <w:sz w:val="24"/>
          <w:szCs w:val="24"/>
          <w:lang w:val="es-ES" w:eastAsia="es-ES"/>
        </w:rPr>
      </w:pPr>
      <w:r>
        <w:rPr>
          <w:rFonts w:ascii="Verdana" w:hAnsi="Verdana" w:cs="Verdana"/>
          <w:sz w:val="24"/>
          <w:szCs w:val="24"/>
          <w:lang w:val="es-ES" w:eastAsia="es-ES"/>
        </w:rPr>
        <w:t xml:space="preserve">Como se puede verificar de lo dicho anteriormente, el acto de referencia es ambiguo y por lo tanto llama a confusión al administrado, quien al razonar que se ha indicado que los plazos son </w:t>
      </w:r>
      <w:proofErr w:type="spellStart"/>
      <w:r>
        <w:rPr>
          <w:rFonts w:ascii="Verdana" w:hAnsi="Verdana" w:cs="Verdana"/>
          <w:sz w:val="24"/>
          <w:szCs w:val="24"/>
          <w:lang w:val="es-ES" w:eastAsia="es-ES"/>
        </w:rPr>
        <w:t>ordenatorios</w:t>
      </w:r>
      <w:proofErr w:type="spellEnd"/>
      <w:r>
        <w:rPr>
          <w:rFonts w:ascii="Verdana" w:hAnsi="Verdana" w:cs="Verdana"/>
          <w:sz w:val="24"/>
          <w:szCs w:val="24"/>
          <w:lang w:val="es-ES" w:eastAsia="es-ES"/>
        </w:rPr>
        <w:t xml:space="preserve"> y no perentorios, ve la posibilidad de pedir una prorroga al plazo dispuesto en el </w:t>
      </w:r>
      <w:r>
        <w:rPr>
          <w:rFonts w:ascii="Verdana" w:hAnsi="Verdana" w:cs="Verdana"/>
          <w:b/>
          <w:bCs/>
          <w:sz w:val="24"/>
          <w:szCs w:val="24"/>
          <w:lang w:val="es-ES" w:eastAsia="es-ES"/>
        </w:rPr>
        <w:t xml:space="preserve">acuerdo 7.18 de la Sesión Ordinaria 23-2017 de 7 de junio de 2017, </w:t>
      </w:r>
      <w:r>
        <w:rPr>
          <w:rFonts w:ascii="Verdana" w:hAnsi="Verdana" w:cs="Verdana"/>
          <w:sz w:val="24"/>
          <w:szCs w:val="24"/>
          <w:lang w:val="es-ES" w:eastAsia="es-ES"/>
        </w:rPr>
        <w:t xml:space="preserve">que era el </w:t>
      </w:r>
      <w:r>
        <w:rPr>
          <w:rFonts w:ascii="Verdana" w:hAnsi="Verdana" w:cs="Verdana"/>
          <w:b/>
          <w:bCs/>
          <w:sz w:val="24"/>
          <w:szCs w:val="24"/>
          <w:lang w:val="es-ES" w:eastAsia="es-ES"/>
        </w:rPr>
        <w:t>1 de agosto de 2017.</w:t>
      </w:r>
    </w:p>
    <w:p w:rsidR="00DC4DB9" w:rsidRDefault="0034101A">
      <w:pPr>
        <w:kinsoku w:val="0"/>
        <w:overflowPunct w:val="0"/>
        <w:autoSpaceDE/>
        <w:autoSpaceDN/>
        <w:adjustRightInd/>
        <w:spacing w:before="213" w:line="291" w:lineRule="exact"/>
        <w:ind w:left="72" w:right="72"/>
        <w:jc w:val="both"/>
        <w:textAlignment w:val="baseline"/>
        <w:rPr>
          <w:rFonts w:ascii="Verdana" w:hAnsi="Verdana" w:cs="Verdana"/>
          <w:i/>
          <w:iCs/>
          <w:spacing w:val="-3"/>
          <w:sz w:val="24"/>
          <w:szCs w:val="24"/>
          <w:lang w:val="es-ES" w:eastAsia="es-ES"/>
        </w:rPr>
      </w:pPr>
      <w:r>
        <w:rPr>
          <w:rFonts w:ascii="Verdana" w:hAnsi="Verdana" w:cs="Verdana"/>
          <w:spacing w:val="-3"/>
          <w:sz w:val="24"/>
          <w:szCs w:val="24"/>
          <w:lang w:val="es-ES" w:eastAsia="es-ES"/>
        </w:rPr>
        <w:t>Lo indicado anteriormente, queda evidenciado en la misma solicitud de prórroga presentada por la recurrente en conjunto con otras empresas, por medio de su representante L.M</w:t>
      </w:r>
      <w:r w:rsidR="00E87526">
        <w:rPr>
          <w:rFonts w:ascii="Verdana" w:hAnsi="Verdana" w:cs="Verdana"/>
          <w:spacing w:val="-3"/>
          <w:sz w:val="24"/>
          <w:szCs w:val="24"/>
          <w:lang w:val="es-ES" w:eastAsia="es-ES"/>
        </w:rPr>
        <w:t>.D.P.O.</w:t>
      </w:r>
      <w:r>
        <w:rPr>
          <w:rFonts w:ascii="Verdana" w:hAnsi="Verdana" w:cs="Verdana"/>
          <w:spacing w:val="-3"/>
          <w:sz w:val="24"/>
          <w:szCs w:val="24"/>
          <w:lang w:val="es-ES" w:eastAsia="es-ES"/>
        </w:rPr>
        <w:t xml:space="preserve">, el 1 de agosto de 2017, al indicar: </w:t>
      </w:r>
      <w:r>
        <w:rPr>
          <w:rFonts w:ascii="Verdana" w:hAnsi="Verdana" w:cs="Verdana"/>
          <w:i/>
          <w:iCs/>
          <w:spacing w:val="-3"/>
          <w:sz w:val="24"/>
          <w:szCs w:val="24"/>
          <w:lang w:val="es-ES" w:eastAsia="es-ES"/>
        </w:rPr>
        <w:t xml:space="preserve">"Que si bien es cierto, ese plazo es </w:t>
      </w:r>
      <w:proofErr w:type="spellStart"/>
      <w:r>
        <w:rPr>
          <w:rFonts w:ascii="Verdana" w:hAnsi="Verdana" w:cs="Verdana"/>
          <w:i/>
          <w:iCs/>
          <w:spacing w:val="-3"/>
          <w:sz w:val="24"/>
          <w:szCs w:val="24"/>
          <w:lang w:val="es-ES" w:eastAsia="es-ES"/>
        </w:rPr>
        <w:t>ordenatorio</w:t>
      </w:r>
      <w:proofErr w:type="spellEnd"/>
      <w:r>
        <w:rPr>
          <w:rFonts w:ascii="Verdana" w:hAnsi="Verdana" w:cs="Verdana"/>
          <w:i/>
          <w:iCs/>
          <w:spacing w:val="-3"/>
          <w:sz w:val="24"/>
          <w:szCs w:val="24"/>
          <w:lang w:val="es-ES" w:eastAsia="es-ES"/>
        </w:rPr>
        <w:t xml:space="preserve"> y no fatal, por lo que carece de sanción por su no cumplimiento, en aras de contribuir con la organización del plan de control de calidad, manifiesto que todas las empresas, estarán suministrando la información sobre con cual organismo se realizará el estudio, lo anterior con base en que a la fecha se están analizando las mejores ofertas para firmar el contrato".</w:t>
      </w:r>
    </w:p>
    <w:p w:rsidR="00DC4DB9" w:rsidRDefault="0034101A">
      <w:pPr>
        <w:kinsoku w:val="0"/>
        <w:overflowPunct w:val="0"/>
        <w:autoSpaceDE/>
        <w:autoSpaceDN/>
        <w:adjustRightInd/>
        <w:spacing w:before="278" w:line="292"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De lo anterior se desprende con meridiana claridad que las empresas han sido llamadas a confusión debido a la ambigüedad de las decisiones de la Administración que por un lado indica que el plazo del 1 de agosto de 2017 es improrrogable, pero por otro lado indica que los plazos son perentorios y no </w:t>
      </w:r>
      <w:proofErr w:type="spellStart"/>
      <w:r>
        <w:rPr>
          <w:rFonts w:ascii="Verdana" w:hAnsi="Verdana" w:cs="Verdana"/>
          <w:sz w:val="24"/>
          <w:szCs w:val="24"/>
          <w:lang w:val="es-ES" w:eastAsia="es-ES"/>
        </w:rPr>
        <w:t>ordenatorios</w:t>
      </w:r>
      <w:proofErr w:type="spellEnd"/>
      <w:r>
        <w:rPr>
          <w:rFonts w:ascii="Verdana" w:hAnsi="Verdana" w:cs="Verdana"/>
          <w:sz w:val="24"/>
          <w:szCs w:val="24"/>
          <w:lang w:val="es-ES" w:eastAsia="es-ES"/>
        </w:rPr>
        <w:t>.</w:t>
      </w:r>
    </w:p>
    <w:p w:rsidR="00DC4DB9" w:rsidRDefault="0034101A">
      <w:pPr>
        <w:kinsoku w:val="0"/>
        <w:overflowPunct w:val="0"/>
        <w:autoSpaceDE/>
        <w:autoSpaceDN/>
        <w:adjustRightInd/>
        <w:spacing w:before="299" w:line="292"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Sobre el tema de los plazos </w:t>
      </w:r>
      <w:proofErr w:type="spellStart"/>
      <w:r>
        <w:rPr>
          <w:rFonts w:ascii="Verdana" w:hAnsi="Verdana" w:cs="Verdana"/>
          <w:sz w:val="24"/>
          <w:szCs w:val="24"/>
          <w:lang w:val="es-ES" w:eastAsia="es-ES"/>
        </w:rPr>
        <w:t>ordenatorios</w:t>
      </w:r>
      <w:proofErr w:type="spellEnd"/>
      <w:r>
        <w:rPr>
          <w:rFonts w:ascii="Verdana" w:hAnsi="Verdana" w:cs="Verdana"/>
          <w:sz w:val="24"/>
          <w:szCs w:val="24"/>
          <w:lang w:val="es-ES" w:eastAsia="es-ES"/>
        </w:rPr>
        <w:t xml:space="preserve"> y no perentorios La Procuraduría General de la República en su dictamen C-069-2015 del 09 de abril de 2015, respecto al tema bajo estudio indicó:</w:t>
      </w:r>
    </w:p>
    <w:p w:rsidR="00DC4DB9" w:rsidRDefault="0034101A">
      <w:pPr>
        <w:kinsoku w:val="0"/>
        <w:overflowPunct w:val="0"/>
        <w:autoSpaceDE/>
        <w:autoSpaceDN/>
        <w:adjustRightInd/>
        <w:spacing w:before="301" w:line="239" w:lineRule="exact"/>
        <w:ind w:left="504" w:right="432"/>
        <w:jc w:val="both"/>
        <w:textAlignment w:val="baseline"/>
        <w:rPr>
          <w:rFonts w:ascii="Verdana" w:hAnsi="Verdana" w:cs="Verdana"/>
          <w:lang w:val="es-ES" w:eastAsia="es-ES"/>
        </w:rPr>
      </w:pPr>
      <w:r>
        <w:rPr>
          <w:rFonts w:ascii="Verdana" w:hAnsi="Verdana" w:cs="Verdana"/>
          <w:lang w:val="es-ES" w:eastAsia="es-ES"/>
        </w:rPr>
        <w:t xml:space="preserve">"Cabe </w:t>
      </w:r>
      <w:proofErr w:type="gramStart"/>
      <w:r>
        <w:rPr>
          <w:rFonts w:ascii="Verdana" w:hAnsi="Verdana" w:cs="Verdana"/>
          <w:lang w:val="es-ES" w:eastAsia="es-ES"/>
        </w:rPr>
        <w:t>señalar</w:t>
      </w:r>
      <w:proofErr w:type="gramEnd"/>
      <w:r>
        <w:rPr>
          <w:rFonts w:ascii="Verdana" w:hAnsi="Verdana" w:cs="Verdana"/>
          <w:lang w:val="es-ES" w:eastAsia="es-ES"/>
        </w:rPr>
        <w:t xml:space="preserve"> no obstante, que el plazo establecido en esta norma es un plazo </w:t>
      </w:r>
      <w:proofErr w:type="spellStart"/>
      <w:r>
        <w:rPr>
          <w:rFonts w:ascii="Verdana" w:hAnsi="Verdana" w:cs="Verdana"/>
          <w:lang w:val="es-ES" w:eastAsia="es-ES"/>
        </w:rPr>
        <w:t>ordenatorio</w:t>
      </w:r>
      <w:proofErr w:type="spellEnd"/>
      <w:r>
        <w:rPr>
          <w:rFonts w:ascii="Verdana" w:hAnsi="Verdana" w:cs="Verdana"/>
          <w:lang w:val="es-ES" w:eastAsia="es-ES"/>
        </w:rPr>
        <w:t>, no un plazo perentorio, tal y como lo ha establecido El Tribunal Procesal Contencioso Administrativo en la sentencia 00018 del 13 de marzo del 2014. Lo que quiere decir que el incumplimiento del plazo, no genera como regla de principio, la nulidad del procedimiento administrativo ni mucho menos inhibe a la administración para ejercer la competencia debida y dictar el acto final del procedimiento, tal y como lo establece el artículo 329 de la Ley General de la Administración Pública(..)"</w:t>
      </w:r>
    </w:p>
    <w:p w:rsidR="00DC4DB9" w:rsidRDefault="0034101A">
      <w:pPr>
        <w:kinsoku w:val="0"/>
        <w:overflowPunct w:val="0"/>
        <w:autoSpaceDE/>
        <w:autoSpaceDN/>
        <w:adjustRightInd/>
        <w:spacing w:before="328" w:line="298" w:lineRule="exact"/>
        <w:ind w:left="72" w:right="72"/>
        <w:jc w:val="both"/>
        <w:textAlignment w:val="baseline"/>
        <w:rPr>
          <w:rFonts w:ascii="Verdana" w:hAnsi="Verdana" w:cs="Verdana"/>
          <w:i/>
          <w:iCs/>
          <w:spacing w:val="-3"/>
          <w:sz w:val="24"/>
          <w:szCs w:val="24"/>
          <w:lang w:val="es-ES" w:eastAsia="es-ES"/>
        </w:rPr>
      </w:pPr>
      <w:r>
        <w:rPr>
          <w:rFonts w:ascii="Verdana" w:hAnsi="Verdana" w:cs="Verdana"/>
          <w:spacing w:val="-3"/>
          <w:sz w:val="24"/>
          <w:szCs w:val="24"/>
          <w:lang w:val="es-ES" w:eastAsia="es-ES"/>
        </w:rPr>
        <w:t>El Consejo de Transporte Público, en varios de sus acuerdos</w:t>
      </w:r>
      <w:r w:rsidR="00E87526">
        <w:rPr>
          <w:rFonts w:ascii="Verdana" w:hAnsi="Verdana" w:cs="Verdana"/>
          <w:spacing w:val="-3"/>
          <w:sz w:val="24"/>
          <w:szCs w:val="24"/>
          <w:lang w:val="es-ES" w:eastAsia="es-ES"/>
        </w:rPr>
        <w:t xml:space="preserve"> </w:t>
      </w:r>
      <w:proofErr w:type="spellStart"/>
      <w:r>
        <w:rPr>
          <w:rFonts w:ascii="Verdana" w:hAnsi="Verdana" w:cs="Verdana"/>
          <w:spacing w:val="-3"/>
          <w:sz w:val="24"/>
          <w:szCs w:val="24"/>
          <w:lang w:val="es-ES" w:eastAsia="es-ES"/>
        </w:rPr>
        <w:t>a</w:t>
      </w:r>
      <w:proofErr w:type="spellEnd"/>
      <w:r>
        <w:rPr>
          <w:rFonts w:ascii="Verdana" w:hAnsi="Verdana" w:cs="Verdana"/>
          <w:spacing w:val="-3"/>
          <w:sz w:val="24"/>
          <w:szCs w:val="24"/>
          <w:lang w:val="es-ES" w:eastAsia="es-ES"/>
        </w:rPr>
        <w:t xml:space="preserve"> demostrado que conoce la imposibilidad de los organismos acreditados por el ECA, para absorber la demanda para realizar los estudios de calidad de todas las empresas de Transporte Remunerado de Personas, tal es el caso del </w:t>
      </w:r>
      <w:r>
        <w:rPr>
          <w:rFonts w:ascii="Verdana" w:hAnsi="Verdana" w:cs="Verdana"/>
          <w:b/>
          <w:bCs/>
          <w:spacing w:val="-3"/>
          <w:sz w:val="24"/>
          <w:szCs w:val="24"/>
          <w:lang w:val="es-ES" w:eastAsia="es-ES"/>
        </w:rPr>
        <w:t xml:space="preserve">artículo 8.1 de la Sesión Ordinaria 42-2016 de 01 de setiembre de 2016, celebrado por la Junta Directiva del Consejo de Transporte Público, </w:t>
      </w:r>
      <w:r>
        <w:rPr>
          <w:rFonts w:ascii="Verdana" w:hAnsi="Verdana" w:cs="Verdana"/>
          <w:spacing w:val="-3"/>
          <w:sz w:val="24"/>
          <w:szCs w:val="24"/>
          <w:lang w:val="es-ES" w:eastAsia="es-ES"/>
        </w:rPr>
        <w:t xml:space="preserve">en el que dispuso. "6. </w:t>
      </w:r>
      <w:r>
        <w:rPr>
          <w:rFonts w:ascii="Verdana" w:hAnsi="Verdana" w:cs="Verdana"/>
          <w:i/>
          <w:iCs/>
          <w:spacing w:val="-3"/>
          <w:sz w:val="24"/>
          <w:szCs w:val="24"/>
          <w:lang w:val="es-ES" w:eastAsia="es-ES"/>
        </w:rPr>
        <w:t>En caso que no exista capacidad instalada por parte de los Organismos de Inspección acreditados ante la ECA, o que</w:t>
      </w:r>
    </w:p>
    <w:p w:rsidR="00DC4DB9" w:rsidRDefault="00DC4DB9">
      <w:pPr>
        <w:widowControl/>
        <w:rPr>
          <w:sz w:val="24"/>
          <w:szCs w:val="24"/>
        </w:rPr>
        <w:sectPr w:rsidR="00DC4DB9">
          <w:pgSz w:w="12283" w:h="15763"/>
          <w:pgMar w:top="1000" w:right="1542" w:bottom="181" w:left="1701" w:header="720" w:footer="720" w:gutter="0"/>
          <w:cols w:space="720"/>
          <w:noEndnote/>
        </w:sectPr>
      </w:pPr>
    </w:p>
    <w:p w:rsidR="00DC4DB9" w:rsidRDefault="0034101A">
      <w:pPr>
        <w:kinsoku w:val="0"/>
        <w:overflowPunct w:val="0"/>
        <w:autoSpaceDE/>
        <w:autoSpaceDN/>
        <w:adjustRightInd/>
        <w:spacing w:before="21" w:line="292" w:lineRule="exact"/>
        <w:ind w:left="72" w:right="72"/>
        <w:jc w:val="both"/>
        <w:textAlignment w:val="baseline"/>
        <w:rPr>
          <w:rFonts w:ascii="Verdana" w:hAnsi="Verdana" w:cs="Verdana"/>
          <w:i/>
          <w:iCs/>
          <w:spacing w:val="-1"/>
          <w:sz w:val="24"/>
          <w:szCs w:val="24"/>
          <w:lang w:val="es-ES" w:eastAsia="es-ES"/>
        </w:rPr>
      </w:pPr>
      <w:r>
        <w:rPr>
          <w:rFonts w:ascii="Verdana" w:hAnsi="Verdana" w:cs="Verdana"/>
          <w:i/>
          <w:iCs/>
          <w:spacing w:val="-1"/>
          <w:sz w:val="24"/>
          <w:szCs w:val="24"/>
          <w:lang w:val="es-ES" w:eastAsia="es-ES"/>
        </w:rPr>
        <w:lastRenderedPageBreak/>
        <w:t>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
    <w:p w:rsidR="00DC4DB9" w:rsidRDefault="0034101A">
      <w:pPr>
        <w:kinsoku w:val="0"/>
        <w:overflowPunct w:val="0"/>
        <w:autoSpaceDE/>
        <w:autoSpaceDN/>
        <w:adjustRightInd/>
        <w:spacing w:before="292" w:line="292" w:lineRule="exact"/>
        <w:ind w:left="72" w:right="72"/>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 xml:space="preserve">Dado que la Administración conoce que no existe la suficiente cantidad de empresas acreditadas ante el ECA en la Norma INTE - ISO/IEC 17020, por lo que reconoce la posibilidad de hacer las dispensas del caso a las empresas y siendo que ha sido la Junta Directiva del Consejo de Transporte Público ambigua en cuanto a sus determinaciones, lo que ha llamado a confusión a las empresas, al indicar que el plazo para presentar las solicitud de indicar cual empresa no acreditada realizaría el estudio al 1 de agosto de 2017 es </w:t>
      </w:r>
      <w:proofErr w:type="spellStart"/>
      <w:r>
        <w:rPr>
          <w:rFonts w:ascii="Verdana" w:hAnsi="Verdana" w:cs="Verdana"/>
          <w:spacing w:val="-2"/>
          <w:sz w:val="24"/>
          <w:szCs w:val="24"/>
          <w:lang w:val="es-ES" w:eastAsia="es-ES"/>
        </w:rPr>
        <w:t>ordenatorio</w:t>
      </w:r>
      <w:proofErr w:type="spellEnd"/>
      <w:r>
        <w:rPr>
          <w:rFonts w:ascii="Verdana" w:hAnsi="Verdana" w:cs="Verdana"/>
          <w:spacing w:val="-2"/>
          <w:sz w:val="24"/>
          <w:szCs w:val="24"/>
          <w:lang w:val="es-ES" w:eastAsia="es-ES"/>
        </w:rPr>
        <w:t xml:space="preserve"> y no perentorio y siendo que sé pone en peligro la continuidad del servicio público, este órgano colegiado considera que debe acogerse el recurso planteado y procederse a la anulación del acto impugnado.</w:t>
      </w:r>
    </w:p>
    <w:p w:rsidR="00DC4DB9" w:rsidRDefault="0034101A">
      <w:pPr>
        <w:kinsoku w:val="0"/>
        <w:overflowPunct w:val="0"/>
        <w:autoSpaceDE/>
        <w:autoSpaceDN/>
        <w:adjustRightInd/>
        <w:spacing w:before="289" w:line="292"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Como </w:t>
      </w:r>
      <w:proofErr w:type="spellStart"/>
      <w:r>
        <w:rPr>
          <w:rFonts w:ascii="Verdana" w:hAnsi="Verdana" w:cs="Verdana"/>
          <w:sz w:val="24"/>
          <w:szCs w:val="24"/>
          <w:lang w:val="es-ES" w:eastAsia="es-ES"/>
        </w:rPr>
        <w:t>colorario</w:t>
      </w:r>
      <w:proofErr w:type="spellEnd"/>
      <w:r>
        <w:rPr>
          <w:rFonts w:ascii="Verdana" w:hAnsi="Verdana" w:cs="Verdana"/>
          <w:sz w:val="24"/>
          <w:szCs w:val="24"/>
          <w:lang w:val="es-ES" w:eastAsia="es-ES"/>
        </w:rPr>
        <w:t xml:space="preserve"> de lo dicho debe tenerse presente que la Administración además de inducir a error a los administrados con su ambigüedad, no dio respuesta cierta a las empresas que presentaron el 1 de agosto de 2017 mediante expediente de ventanilla única 342974, solicitud de una prórroga de quince días para la presentación de la indicación de cual organismo realizaría el estudio de calidad, lo que refuerza aún más la decisión que se adopta en esta resolución.</w:t>
      </w:r>
    </w:p>
    <w:p w:rsidR="00DC4DB9" w:rsidRDefault="0034101A">
      <w:pPr>
        <w:kinsoku w:val="0"/>
        <w:overflowPunct w:val="0"/>
        <w:autoSpaceDE/>
        <w:autoSpaceDN/>
        <w:adjustRightInd/>
        <w:spacing w:before="276" w:line="251" w:lineRule="exact"/>
        <w:ind w:left="72" w:right="72"/>
        <w:textAlignment w:val="baseline"/>
        <w:rPr>
          <w:rFonts w:ascii="Verdana" w:hAnsi="Verdana" w:cs="Verdana"/>
          <w:b/>
          <w:bCs/>
          <w:sz w:val="24"/>
          <w:szCs w:val="24"/>
          <w:u w:val="single"/>
          <w:lang w:val="es-ES" w:eastAsia="es-ES"/>
        </w:rPr>
      </w:pPr>
      <w:r>
        <w:rPr>
          <w:rFonts w:ascii="Verdana" w:hAnsi="Verdana" w:cs="Verdana"/>
          <w:b/>
          <w:bCs/>
          <w:sz w:val="24"/>
          <w:szCs w:val="24"/>
          <w:u w:val="single"/>
          <w:lang w:val="es-ES" w:eastAsia="es-ES"/>
        </w:rPr>
        <w:t>DEL INTERÉS ACTUAL</w:t>
      </w:r>
    </w:p>
    <w:p w:rsidR="00DC4DB9" w:rsidRDefault="0034101A">
      <w:pPr>
        <w:kinsoku w:val="0"/>
        <w:overflowPunct w:val="0"/>
        <w:autoSpaceDE/>
        <w:autoSpaceDN/>
        <w:adjustRightInd/>
        <w:spacing w:before="319" w:line="292"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No </w:t>
      </w:r>
      <w:proofErr w:type="gramStart"/>
      <w:r>
        <w:rPr>
          <w:rFonts w:ascii="Verdana" w:hAnsi="Verdana" w:cs="Verdana"/>
          <w:sz w:val="24"/>
          <w:szCs w:val="24"/>
          <w:lang w:val="es-ES" w:eastAsia="es-ES"/>
        </w:rPr>
        <w:t>obstante</w:t>
      </w:r>
      <w:proofErr w:type="gramEnd"/>
      <w:r>
        <w:rPr>
          <w:rFonts w:ascii="Verdana" w:hAnsi="Verdana" w:cs="Verdana"/>
          <w:sz w:val="24"/>
          <w:szCs w:val="24"/>
          <w:lang w:val="es-ES" w:eastAsia="es-ES"/>
        </w:rPr>
        <w:t xml:space="preserve"> lo dicho anteriormente, el caso debe rechazarse por lo que de seguido se indicará. Si quiere recalcarse, que todo el desarrollo técnico jurídico anterior se ha considerado pertinente mantenerlo, por cuanto de no haberse dado lo que se indicará de seguido, el caso habría sido resuelto distinto, por lo razonamientos que se indicaron.</w:t>
      </w:r>
    </w:p>
    <w:p w:rsidR="00DC4DB9" w:rsidRDefault="0034101A">
      <w:pPr>
        <w:kinsoku w:val="0"/>
        <w:overflowPunct w:val="0"/>
        <w:autoSpaceDE/>
        <w:autoSpaceDN/>
        <w:adjustRightInd/>
        <w:spacing w:before="288" w:line="297" w:lineRule="exact"/>
        <w:ind w:left="72" w:right="72"/>
        <w:jc w:val="both"/>
        <w:textAlignment w:val="baseline"/>
        <w:rPr>
          <w:rFonts w:ascii="Verdana" w:hAnsi="Verdana" w:cs="Verdana"/>
          <w:b/>
          <w:bCs/>
          <w:spacing w:val="-3"/>
          <w:sz w:val="24"/>
          <w:szCs w:val="24"/>
          <w:lang w:val="es-ES" w:eastAsia="es-ES"/>
        </w:rPr>
      </w:pPr>
      <w:r>
        <w:rPr>
          <w:rFonts w:ascii="Verdana" w:hAnsi="Verdana" w:cs="Verdana"/>
          <w:spacing w:val="-3"/>
          <w:sz w:val="24"/>
          <w:szCs w:val="24"/>
          <w:lang w:val="es-ES" w:eastAsia="es-ES"/>
        </w:rPr>
        <w:t xml:space="preserve">Debido a prevención que realizara un Juez de este Tribunal mediante </w:t>
      </w:r>
      <w:r>
        <w:rPr>
          <w:rFonts w:ascii="Verdana" w:hAnsi="Verdana" w:cs="Verdana"/>
          <w:b/>
          <w:bCs/>
          <w:spacing w:val="-3"/>
          <w:sz w:val="24"/>
          <w:szCs w:val="24"/>
          <w:lang w:val="es-ES" w:eastAsia="es-ES"/>
        </w:rPr>
        <w:t xml:space="preserve">Oficio DT-2018-0321 del 18 de junio del 2018, la Dirección Técnica del Consejo de Transporte Público, </w:t>
      </w:r>
      <w:r>
        <w:rPr>
          <w:rFonts w:ascii="Verdana" w:hAnsi="Verdana" w:cs="Verdana"/>
          <w:spacing w:val="-3"/>
          <w:sz w:val="24"/>
          <w:szCs w:val="24"/>
          <w:lang w:val="es-ES" w:eastAsia="es-ES"/>
        </w:rPr>
        <w:t xml:space="preserve">informa que efectivamente casi la generalidad de las empresas que han recurrido el </w:t>
      </w:r>
      <w:r>
        <w:rPr>
          <w:rFonts w:ascii="Verdana" w:hAnsi="Verdana" w:cs="Verdana"/>
          <w:b/>
          <w:bCs/>
          <w:spacing w:val="-3"/>
          <w:sz w:val="24"/>
          <w:szCs w:val="24"/>
          <w:lang w:val="es-ES" w:eastAsia="es-ES"/>
        </w:rPr>
        <w:t xml:space="preserve">acuerdo No. 7.12 de la Sesión Ordinaria No. 34-2017 del 30 de </w:t>
      </w:r>
      <w:proofErr w:type="gramStart"/>
      <w:r>
        <w:rPr>
          <w:rFonts w:ascii="Verdana" w:hAnsi="Verdana" w:cs="Verdana"/>
          <w:b/>
          <w:bCs/>
          <w:spacing w:val="-3"/>
          <w:sz w:val="24"/>
          <w:szCs w:val="24"/>
          <w:lang w:val="es-ES" w:eastAsia="es-ES"/>
        </w:rPr>
        <w:t>Agosto</w:t>
      </w:r>
      <w:proofErr w:type="gramEnd"/>
      <w:r>
        <w:rPr>
          <w:rFonts w:ascii="Verdana" w:hAnsi="Verdana" w:cs="Verdana"/>
          <w:b/>
          <w:bCs/>
          <w:spacing w:val="-3"/>
          <w:sz w:val="24"/>
          <w:szCs w:val="24"/>
          <w:lang w:val="es-ES" w:eastAsia="es-ES"/>
        </w:rPr>
        <w:t xml:space="preserve"> del año 2017, </w:t>
      </w:r>
      <w:r>
        <w:rPr>
          <w:rFonts w:ascii="Verdana" w:hAnsi="Verdana" w:cs="Verdana"/>
          <w:spacing w:val="-3"/>
          <w:sz w:val="24"/>
          <w:szCs w:val="24"/>
          <w:lang w:val="es-ES" w:eastAsia="es-ES"/>
        </w:rPr>
        <w:t>y que estaban representadas por la L</w:t>
      </w:r>
      <w:r w:rsidR="008160CA">
        <w:rPr>
          <w:rFonts w:ascii="Verdana" w:hAnsi="Verdana" w:cs="Verdana"/>
          <w:spacing w:val="-3"/>
          <w:sz w:val="24"/>
          <w:szCs w:val="24"/>
          <w:lang w:val="es-ES" w:eastAsia="es-ES"/>
        </w:rPr>
        <w:t>.M.D.P.O.H.</w:t>
      </w:r>
      <w:r>
        <w:rPr>
          <w:rFonts w:ascii="Verdana" w:hAnsi="Verdana" w:cs="Verdana"/>
          <w:spacing w:val="-3"/>
          <w:sz w:val="24"/>
          <w:szCs w:val="24"/>
          <w:lang w:val="es-ES" w:eastAsia="es-ES"/>
        </w:rPr>
        <w:t xml:space="preserve">, </w:t>
      </w:r>
      <w:r>
        <w:rPr>
          <w:rFonts w:ascii="Verdana" w:hAnsi="Verdana" w:cs="Verdana"/>
          <w:b/>
          <w:bCs/>
          <w:spacing w:val="-3"/>
          <w:sz w:val="24"/>
          <w:szCs w:val="24"/>
          <w:lang w:val="es-ES" w:eastAsia="es-ES"/>
        </w:rPr>
        <w:t>CUMPLIERON CON LA PRESENTACIÓN DE LOS ESTUDIOS DE CONTROL DE CALIDAD CON UN ORGANISMO</w:t>
      </w:r>
    </w:p>
    <w:p w:rsidR="00DC4DB9" w:rsidRDefault="00DC4DB9">
      <w:pPr>
        <w:widowControl/>
        <w:rPr>
          <w:sz w:val="24"/>
          <w:szCs w:val="24"/>
        </w:rPr>
        <w:sectPr w:rsidR="00DC4DB9">
          <w:pgSz w:w="12283" w:h="15763"/>
          <w:pgMar w:top="760" w:right="1607" w:bottom="327" w:left="1636" w:header="720" w:footer="720" w:gutter="0"/>
          <w:cols w:space="720"/>
          <w:noEndnote/>
        </w:sectPr>
      </w:pPr>
    </w:p>
    <w:p w:rsidR="00DC4DB9" w:rsidRDefault="0034101A">
      <w:pPr>
        <w:kinsoku w:val="0"/>
        <w:overflowPunct w:val="0"/>
        <w:autoSpaceDE/>
        <w:autoSpaceDN/>
        <w:adjustRightInd/>
        <w:spacing w:before="20" w:line="287" w:lineRule="exact"/>
        <w:ind w:left="216" w:right="216"/>
        <w:jc w:val="both"/>
        <w:textAlignment w:val="baseline"/>
        <w:rPr>
          <w:rFonts w:ascii="Verdana" w:hAnsi="Verdana" w:cs="Verdana"/>
          <w:sz w:val="24"/>
          <w:szCs w:val="24"/>
          <w:lang w:val="es-ES" w:eastAsia="es-ES"/>
        </w:rPr>
      </w:pPr>
      <w:r>
        <w:rPr>
          <w:rFonts w:ascii="Verdana" w:hAnsi="Verdana" w:cs="Verdana"/>
          <w:b/>
          <w:bCs/>
          <w:sz w:val="24"/>
          <w:szCs w:val="24"/>
          <w:lang w:val="es-ES" w:eastAsia="es-ES"/>
        </w:rPr>
        <w:lastRenderedPageBreak/>
        <w:t xml:space="preserve">ACREDITADO ANTE EL ECA. </w:t>
      </w:r>
      <w:r>
        <w:rPr>
          <w:rFonts w:ascii="Verdana" w:hAnsi="Verdana" w:cs="Verdana"/>
          <w:sz w:val="24"/>
          <w:szCs w:val="24"/>
          <w:lang w:val="es-ES" w:eastAsia="es-ES"/>
        </w:rPr>
        <w:t>(ver folios del 125 al 127 del expediente administrativo)</w:t>
      </w:r>
    </w:p>
    <w:p w:rsidR="00DC4DB9" w:rsidRDefault="0034101A">
      <w:pPr>
        <w:kinsoku w:val="0"/>
        <w:overflowPunct w:val="0"/>
        <w:autoSpaceDE/>
        <w:autoSpaceDN/>
        <w:adjustRightInd/>
        <w:spacing w:before="243" w:line="293" w:lineRule="exact"/>
        <w:ind w:left="216" w:right="216"/>
        <w:jc w:val="both"/>
        <w:textAlignment w:val="baseline"/>
        <w:rPr>
          <w:rFonts w:ascii="Verdana" w:hAnsi="Verdana" w:cs="Verdana"/>
          <w:b/>
          <w:bCs/>
          <w:sz w:val="24"/>
          <w:szCs w:val="24"/>
          <w:u w:val="single"/>
          <w:lang w:val="es-ES" w:eastAsia="es-ES"/>
        </w:rPr>
      </w:pPr>
      <w:r>
        <w:rPr>
          <w:rFonts w:ascii="Verdana" w:hAnsi="Verdana" w:cs="Verdana"/>
          <w:sz w:val="24"/>
          <w:szCs w:val="24"/>
          <w:lang w:val="es-ES" w:eastAsia="es-ES"/>
        </w:rPr>
        <w:t xml:space="preserve">Así las cosas, la discusión sobre la procedencia o no de las gestiones de excepción rechazadas, pasa a adolecer de uno de los elementos esenciales para su Admisibilidad, Procedencia, como lo es </w:t>
      </w:r>
      <w:r>
        <w:rPr>
          <w:rFonts w:ascii="Verdana" w:hAnsi="Verdana" w:cs="Verdana"/>
          <w:b/>
          <w:bCs/>
          <w:sz w:val="24"/>
          <w:szCs w:val="24"/>
          <w:u w:val="single"/>
          <w:lang w:val="es-ES" w:eastAsia="es-ES"/>
        </w:rPr>
        <w:t xml:space="preserve">INTERÉS ACTUAL. </w:t>
      </w:r>
    </w:p>
    <w:p w:rsidR="00DC4DB9" w:rsidRDefault="0034101A">
      <w:pPr>
        <w:kinsoku w:val="0"/>
        <w:overflowPunct w:val="0"/>
        <w:autoSpaceDE/>
        <w:autoSpaceDN/>
        <w:adjustRightInd/>
        <w:spacing w:before="334" w:line="294" w:lineRule="exact"/>
        <w:ind w:left="216" w:right="216"/>
        <w:jc w:val="both"/>
        <w:textAlignment w:val="baseline"/>
        <w:rPr>
          <w:rFonts w:ascii="Verdana" w:hAnsi="Verdana" w:cs="Verdana"/>
          <w:spacing w:val="-3"/>
          <w:sz w:val="24"/>
          <w:szCs w:val="24"/>
          <w:lang w:val="es-ES" w:eastAsia="es-ES"/>
        </w:rPr>
      </w:pPr>
      <w:r>
        <w:rPr>
          <w:rFonts w:ascii="Verdana" w:hAnsi="Verdana" w:cs="Verdana"/>
          <w:spacing w:val="-3"/>
          <w:sz w:val="24"/>
          <w:szCs w:val="24"/>
          <w:lang w:val="es-ES" w:eastAsia="es-ES"/>
        </w:rPr>
        <w:t>Las acciones recursivas bajo análisis, carecen de sentido en este momento pues el fin pretendido cual era una prórroga para presentar ante el CTP, la imposibilidad de contratar con un Organismo acreditado ante el ECA y la indicación de la propuesta de quien realizaría el estudio de calidad del servicio ya, pierde sentido al haberse presentado el Estudio de calidad del 2017 por parte de la recurrente, fin último que se pretendería con el libelo. En cuanto a lo anterior el autor y conocido tratadista jurídico, José Chiovenda, muy claramente nos indica:</w:t>
      </w:r>
    </w:p>
    <w:p w:rsidR="00DC4DB9" w:rsidRDefault="0034101A">
      <w:pPr>
        <w:kinsoku w:val="0"/>
        <w:overflowPunct w:val="0"/>
        <w:autoSpaceDE/>
        <w:autoSpaceDN/>
        <w:adjustRightInd/>
        <w:spacing w:before="290" w:line="294" w:lineRule="exact"/>
        <w:ind w:left="216" w:right="216"/>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..."En todo proceso, existen los presupuestos de fondo, relacionados con el derecho tutelar de la pretensión, la legitimación en la causa y el interés actual. Sí es entendido que una acción deviene en frustránea cuando falta cualquiera de los presupuestos de fondo: derecho real o personal, interés actual y legitimación. En las causas sometidas a su conocimiento, el Juez está obligado a realizar, incluso, en f</w:t>
      </w:r>
      <w:r w:rsidR="008160CA">
        <w:rPr>
          <w:rFonts w:ascii="Verdana" w:hAnsi="Verdana" w:cs="Verdana"/>
          <w:spacing w:val="-2"/>
          <w:sz w:val="24"/>
          <w:szCs w:val="24"/>
          <w:lang w:val="es-ES" w:eastAsia="es-ES"/>
        </w:rPr>
        <w:t>o</w:t>
      </w:r>
      <w:r>
        <w:rPr>
          <w:rFonts w:ascii="Verdana" w:hAnsi="Verdana" w:cs="Verdana"/>
          <w:spacing w:val="-2"/>
          <w:sz w:val="24"/>
          <w:szCs w:val="24"/>
          <w:lang w:val="es-ES" w:eastAsia="es-ES"/>
        </w:rPr>
        <w:t>rma</w:t>
      </w:r>
      <w:r w:rsidR="008160CA">
        <w:rPr>
          <w:rFonts w:ascii="Verdana" w:hAnsi="Verdana" w:cs="Verdana"/>
          <w:spacing w:val="-2"/>
          <w:sz w:val="24"/>
          <w:szCs w:val="24"/>
          <w:lang w:val="es-ES" w:eastAsia="es-ES"/>
        </w:rPr>
        <w:t xml:space="preserve"> </w:t>
      </w:r>
      <w:r>
        <w:rPr>
          <w:rFonts w:ascii="Verdana" w:hAnsi="Verdana" w:cs="Verdana"/>
          <w:spacing w:val="-2"/>
          <w:sz w:val="24"/>
          <w:szCs w:val="24"/>
          <w:lang w:val="es-ES" w:eastAsia="es-ES"/>
        </w:rPr>
        <w:t>oficiosa,</w:t>
      </w:r>
      <w:r w:rsidR="008160CA">
        <w:rPr>
          <w:rFonts w:ascii="Verdana" w:hAnsi="Verdana" w:cs="Verdana"/>
          <w:spacing w:val="-2"/>
          <w:sz w:val="24"/>
          <w:szCs w:val="24"/>
          <w:lang w:val="es-ES" w:eastAsia="es-ES"/>
        </w:rPr>
        <w:t xml:space="preserve"> l</w:t>
      </w:r>
      <w:r>
        <w:rPr>
          <w:rFonts w:ascii="Verdana" w:hAnsi="Verdana" w:cs="Verdana"/>
          <w:spacing w:val="-2"/>
          <w:sz w:val="24"/>
          <w:szCs w:val="24"/>
          <w:lang w:val="es-ES" w:eastAsia="es-ES"/>
        </w:rPr>
        <w:t xml:space="preserve">os presupuestos de toda demanda, a saber: derecho, </w:t>
      </w:r>
      <w:r w:rsidR="008160CA">
        <w:rPr>
          <w:rFonts w:ascii="Verdana" w:hAnsi="Verdana" w:cs="Verdana"/>
          <w:spacing w:val="-2"/>
          <w:sz w:val="24"/>
          <w:szCs w:val="24"/>
          <w:lang w:val="es-ES" w:eastAsia="es-ES"/>
        </w:rPr>
        <w:t>legitimación</w:t>
      </w:r>
      <w:r>
        <w:rPr>
          <w:rFonts w:ascii="Verdana" w:hAnsi="Verdana" w:cs="Verdana"/>
          <w:spacing w:val="-2"/>
          <w:sz w:val="24"/>
          <w:szCs w:val="24"/>
          <w:lang w:val="es-ES" w:eastAsia="es-ES"/>
        </w:rPr>
        <w:t xml:space="preserve"> (activa o pasiva) y el interés actual. ''... Chiovenda, José: </w:t>
      </w:r>
      <w:r w:rsidR="008160CA">
        <w:rPr>
          <w:rFonts w:ascii="Verdana" w:hAnsi="Verdana" w:cs="Verdana"/>
          <w:spacing w:val="-2"/>
          <w:sz w:val="24"/>
          <w:szCs w:val="24"/>
          <w:lang w:val="es-ES" w:eastAsia="es-ES"/>
        </w:rPr>
        <w:t>Principios</w:t>
      </w:r>
      <w:r>
        <w:rPr>
          <w:rFonts w:ascii="Verdana" w:hAnsi="Verdana" w:cs="Verdana"/>
          <w:spacing w:val="-2"/>
          <w:sz w:val="24"/>
          <w:szCs w:val="24"/>
          <w:lang w:val="es-ES" w:eastAsia="es-ES"/>
        </w:rPr>
        <w:t xml:space="preserve"> de</w:t>
      </w:r>
      <w:r w:rsidR="008160CA">
        <w:rPr>
          <w:rFonts w:ascii="Verdana" w:hAnsi="Verdana" w:cs="Verdana"/>
          <w:spacing w:val="-2"/>
          <w:sz w:val="24"/>
          <w:szCs w:val="24"/>
          <w:lang w:val="es-ES" w:eastAsia="es-ES"/>
        </w:rPr>
        <w:t xml:space="preserve"> </w:t>
      </w:r>
      <w:r>
        <w:rPr>
          <w:rFonts w:ascii="Verdana" w:hAnsi="Verdana" w:cs="Verdana"/>
          <w:spacing w:val="-2"/>
          <w:sz w:val="24"/>
          <w:szCs w:val="24"/>
          <w:lang w:val="es-ES" w:eastAsia="es-ES"/>
        </w:rPr>
        <w:t>Derecho</w:t>
      </w:r>
      <w:r w:rsidR="008160CA">
        <w:rPr>
          <w:rFonts w:ascii="Verdana" w:hAnsi="Verdana" w:cs="Verdana"/>
          <w:spacing w:val="-2"/>
          <w:sz w:val="24"/>
          <w:szCs w:val="24"/>
          <w:vertAlign w:val="subscript"/>
          <w:lang w:val="es-ES" w:eastAsia="es-ES"/>
        </w:rPr>
        <w:t xml:space="preserve"> </w:t>
      </w:r>
      <w:r>
        <w:rPr>
          <w:rFonts w:ascii="Verdana" w:hAnsi="Verdana" w:cs="Verdana"/>
          <w:spacing w:val="-2"/>
          <w:sz w:val="24"/>
          <w:szCs w:val="24"/>
          <w:lang w:val="es-ES" w:eastAsia="es-ES"/>
        </w:rPr>
        <w:t>Pro</w:t>
      </w:r>
      <w:r w:rsidR="008160CA">
        <w:rPr>
          <w:rFonts w:ascii="Verdana" w:hAnsi="Verdana" w:cs="Verdana"/>
          <w:spacing w:val="-2"/>
          <w:sz w:val="24"/>
          <w:szCs w:val="24"/>
          <w:lang w:val="es-ES" w:eastAsia="es-ES"/>
        </w:rPr>
        <w:t>ce</w:t>
      </w:r>
      <w:r>
        <w:rPr>
          <w:rFonts w:ascii="Verdana" w:hAnsi="Verdana" w:cs="Verdana"/>
          <w:spacing w:val="-2"/>
          <w:sz w:val="24"/>
          <w:szCs w:val="24"/>
          <w:lang w:val="es-ES" w:eastAsia="es-ES"/>
        </w:rPr>
        <w:t>sal Civil, To</w:t>
      </w:r>
      <w:r w:rsidR="008160CA">
        <w:rPr>
          <w:rFonts w:ascii="Verdana" w:hAnsi="Verdana" w:cs="Verdana"/>
          <w:spacing w:val="-2"/>
          <w:sz w:val="24"/>
          <w:szCs w:val="24"/>
          <w:lang w:val="es-ES" w:eastAsia="es-ES"/>
        </w:rPr>
        <w:t>mo</w:t>
      </w:r>
      <w:r>
        <w:rPr>
          <w:rFonts w:ascii="Verdana" w:hAnsi="Verdana" w:cs="Verdana"/>
          <w:spacing w:val="-2"/>
          <w:sz w:val="24"/>
          <w:szCs w:val="24"/>
          <w:lang w:val="es-ES" w:eastAsia="es-ES"/>
        </w:rPr>
        <w:t xml:space="preserve"> I, Pág. 178).</w:t>
      </w:r>
    </w:p>
    <w:p w:rsidR="00DC4DB9" w:rsidRDefault="0034101A">
      <w:pPr>
        <w:kinsoku w:val="0"/>
        <w:overflowPunct w:val="0"/>
        <w:autoSpaceDE/>
        <w:autoSpaceDN/>
        <w:adjustRightInd/>
        <w:spacing w:before="320" w:line="285" w:lineRule="exact"/>
        <w:ind w:left="216" w:right="216"/>
        <w:jc w:val="both"/>
        <w:textAlignment w:val="baseline"/>
        <w:rPr>
          <w:rFonts w:ascii="Verdana" w:hAnsi="Verdana" w:cs="Verdana"/>
          <w:sz w:val="24"/>
          <w:szCs w:val="24"/>
          <w:lang w:eastAsia="en-US"/>
        </w:rPr>
      </w:pPr>
      <w:r>
        <w:rPr>
          <w:rFonts w:ascii="Verdana" w:hAnsi="Verdana" w:cs="Verdana"/>
          <w:sz w:val="24"/>
          <w:szCs w:val="24"/>
          <w:lang w:val="es-ES" w:eastAsia="es-ES"/>
        </w:rPr>
        <w:t xml:space="preserve">Y nuestro jurista el Dr. Eduardo Ortiz </w:t>
      </w:r>
      <w:proofErr w:type="spellStart"/>
      <w:r>
        <w:rPr>
          <w:rFonts w:ascii="Verdana" w:hAnsi="Verdana" w:cs="Verdana"/>
          <w:sz w:val="24"/>
          <w:szCs w:val="24"/>
          <w:lang w:val="es-ES" w:eastAsia="es-ES"/>
        </w:rPr>
        <w:t>Ortiz</w:t>
      </w:r>
      <w:proofErr w:type="spellEnd"/>
      <w:r>
        <w:rPr>
          <w:rFonts w:ascii="Verdana" w:hAnsi="Verdana" w:cs="Verdana"/>
          <w:sz w:val="24"/>
          <w:szCs w:val="24"/>
          <w:lang w:val="es-ES" w:eastAsia="es-ES"/>
        </w:rPr>
        <w:t xml:space="preserve">, en su </w:t>
      </w:r>
      <w:r>
        <w:rPr>
          <w:rFonts w:ascii="Verdana" w:hAnsi="Verdana" w:cs="Verdana"/>
          <w:b/>
          <w:bCs/>
          <w:sz w:val="24"/>
          <w:szCs w:val="24"/>
          <w:lang w:val="es-ES" w:eastAsia="es-ES"/>
        </w:rPr>
        <w:t xml:space="preserve">TESIS DE DERECHO ADMINISTRATIVO Tomo II, </w:t>
      </w:r>
      <w:proofErr w:type="gramStart"/>
      <w:r>
        <w:rPr>
          <w:rFonts w:ascii="Verdana" w:hAnsi="Verdana" w:cs="Verdana"/>
          <w:sz w:val="24"/>
          <w:szCs w:val="24"/>
          <w:lang w:val="es-ES" w:eastAsia="es-ES"/>
        </w:rPr>
        <w:t>señala:</w:t>
      </w:r>
      <w:r>
        <w:rPr>
          <w:rFonts w:ascii="Verdana" w:hAnsi="Verdana" w:cs="Verdana"/>
          <w:sz w:val="24"/>
          <w:szCs w:val="24"/>
          <w:vertAlign w:val="superscript"/>
          <w:lang w:val="es-ES" w:eastAsia="es-ES"/>
        </w:rPr>
        <w:noBreakHyphen/>
      </w:r>
      <w:proofErr w:type="gramEnd"/>
    </w:p>
    <w:p w:rsidR="00DC4DB9" w:rsidRDefault="0034101A">
      <w:pPr>
        <w:kinsoku w:val="0"/>
        <w:overflowPunct w:val="0"/>
        <w:autoSpaceDE/>
        <w:autoSpaceDN/>
        <w:adjustRightInd/>
        <w:spacing w:before="277" w:line="294" w:lineRule="exact"/>
        <w:ind w:left="216"/>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..."b) El interés debe ser actual</w:t>
      </w:r>
    </w:p>
    <w:p w:rsidR="00DC4DB9" w:rsidRDefault="0034101A">
      <w:pPr>
        <w:kinsoku w:val="0"/>
        <w:overflowPunct w:val="0"/>
        <w:autoSpaceDE/>
        <w:autoSpaceDN/>
        <w:adjustRightInd/>
        <w:spacing w:before="265" w:after="643" w:line="294" w:lineRule="exact"/>
        <w:ind w:left="216" w:right="216"/>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efecto), aunque no es necesario que haya sido ya efectuado. Sólo cuando se ha completado el procedimiento administrativo tendiente a la producción definitiva del efecto —aunque sólo sea en primera instancia-la lesión puede producirse y considerarse actual y no futura. En consecuencia, la actualidad no se da cuando se trata de actos no definitivos (preparatorios) o de actos pendientes (ausencia de elementos de perfección necesarios para la formación o constitución del acto) o de actos </w:t>
      </w:r>
      <w:proofErr w:type="gramStart"/>
      <w:r>
        <w:rPr>
          <w:rFonts w:ascii="Verdana" w:hAnsi="Verdana" w:cs="Verdana"/>
          <w:sz w:val="24"/>
          <w:szCs w:val="24"/>
          <w:lang w:val="es-ES" w:eastAsia="es-ES"/>
        </w:rPr>
        <w:t>ineficaces."..</w:t>
      </w:r>
      <w:proofErr w:type="gramEnd"/>
    </w:p>
    <w:p w:rsidR="00DC4DB9" w:rsidRDefault="00DC4DB9">
      <w:pPr>
        <w:widowControl/>
        <w:rPr>
          <w:sz w:val="24"/>
          <w:szCs w:val="24"/>
        </w:rPr>
        <w:sectPr w:rsidR="00DC4DB9">
          <w:pgSz w:w="12283" w:h="15792"/>
          <w:pgMar w:top="1000" w:right="1412" w:bottom="176" w:left="1591" w:header="720" w:footer="720" w:gutter="0"/>
          <w:cols w:space="720"/>
          <w:noEndnote/>
        </w:sectPr>
      </w:pPr>
    </w:p>
    <w:p w:rsidR="00DC4DB9" w:rsidRDefault="00DC4DB9">
      <w:pPr>
        <w:widowControl/>
        <w:rPr>
          <w:sz w:val="24"/>
          <w:szCs w:val="24"/>
        </w:rPr>
        <w:sectPr w:rsidR="00DC4DB9">
          <w:type w:val="continuous"/>
          <w:pgSz w:w="12283" w:h="15792"/>
          <w:pgMar w:top="1000" w:right="1616" w:bottom="176" w:left="8827" w:header="720" w:footer="720" w:gutter="0"/>
          <w:cols w:space="720"/>
          <w:noEndnote/>
        </w:sectPr>
      </w:pPr>
    </w:p>
    <w:p w:rsidR="00DC4DB9" w:rsidRDefault="0034101A">
      <w:pPr>
        <w:kinsoku w:val="0"/>
        <w:overflowPunct w:val="0"/>
        <w:autoSpaceDE/>
        <w:autoSpaceDN/>
        <w:adjustRightInd/>
        <w:spacing w:before="19" w:line="285" w:lineRule="exact"/>
        <w:ind w:left="360"/>
        <w:jc w:val="both"/>
        <w:textAlignment w:val="baseline"/>
        <w:rPr>
          <w:rFonts w:ascii="Tahoma" w:hAnsi="Tahoma" w:cs="Tahoma"/>
          <w:sz w:val="25"/>
          <w:szCs w:val="25"/>
          <w:lang w:val="es-ES" w:eastAsia="es-ES"/>
        </w:rPr>
      </w:pPr>
      <w:r>
        <w:rPr>
          <w:rFonts w:ascii="Tahoma" w:hAnsi="Tahoma" w:cs="Tahoma"/>
          <w:sz w:val="25"/>
          <w:szCs w:val="25"/>
          <w:lang w:val="es-ES" w:eastAsia="es-ES"/>
        </w:rPr>
        <w:t xml:space="preserve">Determinándose así la IMPROCEDENCIA de las Acciones que nos ocupan, por </w:t>
      </w:r>
      <w:r>
        <w:rPr>
          <w:rFonts w:ascii="Tahoma" w:hAnsi="Tahoma" w:cs="Tahoma"/>
          <w:sz w:val="25"/>
          <w:szCs w:val="25"/>
          <w:lang w:val="es-ES" w:eastAsia="es-ES"/>
        </w:rPr>
        <w:lastRenderedPageBreak/>
        <w:t>FALTA DE INTERÉS ACTUAL.</w:t>
      </w:r>
    </w:p>
    <w:p w:rsidR="00DC4DB9" w:rsidRDefault="0034101A">
      <w:pPr>
        <w:kinsoku w:val="0"/>
        <w:overflowPunct w:val="0"/>
        <w:autoSpaceDE/>
        <w:autoSpaceDN/>
        <w:adjustRightInd/>
        <w:spacing w:before="599" w:line="286" w:lineRule="exact"/>
        <w:jc w:val="center"/>
        <w:textAlignment w:val="baseline"/>
        <w:rPr>
          <w:rFonts w:ascii="Tahoma" w:hAnsi="Tahoma" w:cs="Tahoma"/>
          <w:b/>
          <w:bCs/>
          <w:spacing w:val="7"/>
          <w:sz w:val="25"/>
          <w:szCs w:val="25"/>
          <w:lang w:val="es-ES" w:eastAsia="es-ES"/>
        </w:rPr>
      </w:pPr>
      <w:r>
        <w:rPr>
          <w:rFonts w:ascii="Tahoma" w:hAnsi="Tahoma" w:cs="Tahoma"/>
          <w:b/>
          <w:bCs/>
          <w:spacing w:val="7"/>
          <w:sz w:val="25"/>
          <w:szCs w:val="25"/>
          <w:lang w:val="es-ES" w:eastAsia="es-ES"/>
        </w:rPr>
        <w:t>POR TANTO:</w:t>
      </w:r>
    </w:p>
    <w:p w:rsidR="00DC4DB9" w:rsidRDefault="0034101A">
      <w:pPr>
        <w:numPr>
          <w:ilvl w:val="0"/>
          <w:numId w:val="20"/>
        </w:numPr>
        <w:kinsoku w:val="0"/>
        <w:overflowPunct w:val="0"/>
        <w:autoSpaceDE/>
        <w:autoSpaceDN/>
        <w:adjustRightInd/>
        <w:spacing w:before="321" w:line="292" w:lineRule="exact"/>
        <w:jc w:val="both"/>
        <w:textAlignment w:val="baseline"/>
        <w:rPr>
          <w:rFonts w:ascii="Tahoma" w:hAnsi="Tahoma" w:cs="Tahoma"/>
          <w:b/>
          <w:bCs/>
          <w:spacing w:val="9"/>
          <w:sz w:val="25"/>
          <w:szCs w:val="25"/>
          <w:lang w:val="es-ES" w:eastAsia="es-ES"/>
        </w:rPr>
      </w:pPr>
      <w:r>
        <w:rPr>
          <w:rFonts w:ascii="Tahoma" w:hAnsi="Tahoma" w:cs="Tahoma"/>
          <w:spacing w:val="9"/>
          <w:sz w:val="25"/>
          <w:szCs w:val="25"/>
          <w:lang w:val="es-ES" w:eastAsia="es-ES"/>
        </w:rPr>
        <w:t xml:space="preserve">Se rechaza por </w:t>
      </w:r>
      <w:r>
        <w:rPr>
          <w:rFonts w:ascii="Tahoma" w:hAnsi="Tahoma" w:cs="Tahoma"/>
          <w:b/>
          <w:bCs/>
          <w:spacing w:val="9"/>
          <w:sz w:val="25"/>
          <w:szCs w:val="25"/>
          <w:lang w:val="es-ES" w:eastAsia="es-ES"/>
        </w:rPr>
        <w:t xml:space="preserve">FALTA DE INTERÉS ACTUAL </w:t>
      </w:r>
      <w:r>
        <w:rPr>
          <w:rFonts w:ascii="Tahoma" w:hAnsi="Tahoma" w:cs="Tahoma"/>
          <w:spacing w:val="9"/>
          <w:sz w:val="25"/>
          <w:szCs w:val="25"/>
          <w:lang w:val="es-ES" w:eastAsia="es-ES"/>
        </w:rPr>
        <w:t xml:space="preserve">el </w:t>
      </w:r>
      <w:r>
        <w:rPr>
          <w:rFonts w:ascii="Tahoma" w:hAnsi="Tahoma" w:cs="Tahoma"/>
          <w:b/>
          <w:bCs/>
          <w:spacing w:val="9"/>
          <w:lang w:val="es-ES" w:eastAsia="es-ES"/>
        </w:rPr>
        <w:t xml:space="preserve">RECURSO DE APELACIÓN Y NULIDAD CONCOMITANTE, </w:t>
      </w:r>
      <w:r>
        <w:rPr>
          <w:rFonts w:ascii="Tahoma" w:hAnsi="Tahoma" w:cs="Tahoma"/>
          <w:spacing w:val="9"/>
          <w:sz w:val="25"/>
          <w:szCs w:val="25"/>
          <w:lang w:val="es-ES" w:eastAsia="es-ES"/>
        </w:rPr>
        <w:t xml:space="preserve">interpuesto por </w:t>
      </w:r>
      <w:r>
        <w:rPr>
          <w:rFonts w:ascii="Tahoma" w:hAnsi="Tahoma" w:cs="Tahoma"/>
          <w:b/>
          <w:bCs/>
          <w:spacing w:val="9"/>
          <w:sz w:val="25"/>
          <w:szCs w:val="25"/>
          <w:lang w:val="es-ES" w:eastAsia="es-ES"/>
        </w:rPr>
        <w:t>T</w:t>
      </w:r>
      <w:r w:rsidR="008160CA">
        <w:rPr>
          <w:rFonts w:ascii="Tahoma" w:hAnsi="Tahoma" w:cs="Tahoma"/>
          <w:b/>
          <w:bCs/>
          <w:spacing w:val="9"/>
          <w:sz w:val="25"/>
          <w:szCs w:val="25"/>
          <w:lang w:val="es-ES" w:eastAsia="es-ES"/>
        </w:rPr>
        <w:t>.R.Y.C.S.A.</w:t>
      </w:r>
      <w:r>
        <w:rPr>
          <w:rFonts w:ascii="Tahoma" w:hAnsi="Tahoma" w:cs="Tahoma"/>
          <w:b/>
          <w:bCs/>
          <w:spacing w:val="9"/>
          <w:sz w:val="25"/>
          <w:szCs w:val="25"/>
          <w:lang w:val="es-ES" w:eastAsia="es-ES"/>
        </w:rPr>
        <w:t xml:space="preserve">, cédula jurídica número </w:t>
      </w:r>
      <w:r w:rsidR="008160CA">
        <w:rPr>
          <w:rFonts w:ascii="Tahoma" w:hAnsi="Tahoma" w:cs="Tahoma"/>
          <w:b/>
          <w:bCs/>
          <w:spacing w:val="9"/>
          <w:sz w:val="25"/>
          <w:szCs w:val="25"/>
          <w:lang w:val="es-ES" w:eastAsia="es-ES"/>
        </w:rPr>
        <w:t>…</w:t>
      </w:r>
      <w:r>
        <w:rPr>
          <w:rFonts w:ascii="Tahoma" w:hAnsi="Tahoma" w:cs="Tahoma"/>
          <w:b/>
          <w:bCs/>
          <w:spacing w:val="9"/>
          <w:sz w:val="25"/>
          <w:szCs w:val="25"/>
          <w:lang w:val="es-ES" w:eastAsia="es-ES"/>
        </w:rPr>
        <w:t xml:space="preserve">, </w:t>
      </w:r>
      <w:r>
        <w:rPr>
          <w:rFonts w:ascii="Tahoma" w:hAnsi="Tahoma" w:cs="Tahoma"/>
          <w:spacing w:val="9"/>
          <w:sz w:val="25"/>
          <w:szCs w:val="25"/>
          <w:lang w:val="es-ES" w:eastAsia="es-ES"/>
        </w:rPr>
        <w:t xml:space="preserve">por medio de su apoderado Generalísimo sin Límite de suma, señor </w:t>
      </w:r>
      <w:r>
        <w:rPr>
          <w:rFonts w:ascii="Tahoma" w:hAnsi="Tahoma" w:cs="Tahoma"/>
          <w:b/>
          <w:bCs/>
          <w:spacing w:val="9"/>
          <w:sz w:val="25"/>
          <w:szCs w:val="25"/>
          <w:lang w:val="es-ES" w:eastAsia="es-ES"/>
        </w:rPr>
        <w:t>R</w:t>
      </w:r>
      <w:r w:rsidR="008160CA">
        <w:rPr>
          <w:rFonts w:ascii="Tahoma" w:hAnsi="Tahoma" w:cs="Tahoma"/>
          <w:b/>
          <w:bCs/>
          <w:spacing w:val="9"/>
          <w:sz w:val="25"/>
          <w:szCs w:val="25"/>
          <w:lang w:val="es-ES" w:eastAsia="es-ES"/>
        </w:rPr>
        <w:t>.A.A.R.</w:t>
      </w:r>
      <w:r>
        <w:rPr>
          <w:rFonts w:ascii="Tahoma" w:hAnsi="Tahoma" w:cs="Tahoma"/>
          <w:b/>
          <w:bCs/>
          <w:spacing w:val="9"/>
          <w:sz w:val="25"/>
          <w:szCs w:val="25"/>
          <w:lang w:val="es-ES" w:eastAsia="es-ES"/>
        </w:rPr>
        <w:t xml:space="preserve"> cédula de identidad número </w:t>
      </w:r>
      <w:r w:rsidR="008160CA">
        <w:rPr>
          <w:rFonts w:ascii="Tahoma" w:hAnsi="Tahoma" w:cs="Tahoma"/>
          <w:b/>
          <w:bCs/>
          <w:spacing w:val="9"/>
          <w:sz w:val="25"/>
          <w:szCs w:val="25"/>
          <w:lang w:val="es-ES" w:eastAsia="es-ES"/>
        </w:rPr>
        <w:t>…</w:t>
      </w:r>
      <w:r>
        <w:rPr>
          <w:rFonts w:ascii="Tahoma" w:hAnsi="Tahoma" w:cs="Tahoma"/>
          <w:b/>
          <w:bCs/>
          <w:spacing w:val="9"/>
          <w:sz w:val="25"/>
          <w:szCs w:val="25"/>
          <w:lang w:val="es-ES" w:eastAsia="es-ES"/>
        </w:rPr>
        <w:t xml:space="preserve">, </w:t>
      </w:r>
      <w:r>
        <w:rPr>
          <w:rFonts w:ascii="Tahoma" w:hAnsi="Tahoma" w:cs="Tahoma"/>
          <w:spacing w:val="9"/>
          <w:sz w:val="25"/>
          <w:szCs w:val="25"/>
          <w:lang w:val="es-ES" w:eastAsia="es-ES"/>
        </w:rPr>
        <w:t xml:space="preserve">contra </w:t>
      </w:r>
      <w:r>
        <w:rPr>
          <w:rFonts w:ascii="Tahoma" w:hAnsi="Tahoma" w:cs="Tahoma"/>
          <w:b/>
          <w:bCs/>
          <w:spacing w:val="9"/>
          <w:sz w:val="25"/>
          <w:szCs w:val="25"/>
          <w:lang w:val="es-ES" w:eastAsia="es-ES"/>
        </w:rPr>
        <w:t>el artículo 7.12.24 de la Sesión Ordinaria 34-2017 de 30 de agosto de 2017, celebrado por la Junta Directiva del Consejo de Transporte Público.</w:t>
      </w:r>
    </w:p>
    <w:p w:rsidR="00DC4DB9" w:rsidRDefault="0034101A">
      <w:pPr>
        <w:numPr>
          <w:ilvl w:val="0"/>
          <w:numId w:val="21"/>
        </w:numPr>
        <w:kinsoku w:val="0"/>
        <w:overflowPunct w:val="0"/>
        <w:autoSpaceDE/>
        <w:autoSpaceDN/>
        <w:adjustRightInd/>
        <w:spacing w:before="288" w:line="300" w:lineRule="exact"/>
        <w:jc w:val="both"/>
        <w:textAlignment w:val="baseline"/>
        <w:rPr>
          <w:rFonts w:ascii="Verdana" w:hAnsi="Verdana" w:cs="Verdana"/>
          <w:i/>
          <w:iCs/>
          <w:sz w:val="24"/>
          <w:szCs w:val="24"/>
          <w:lang w:val="es-ES" w:eastAsia="es-ES"/>
        </w:rPr>
      </w:pPr>
      <w:r>
        <w:rPr>
          <w:rFonts w:ascii="Tahoma" w:hAnsi="Tahoma" w:cs="Tahoma"/>
          <w:sz w:val="25"/>
          <w:szCs w:val="25"/>
          <w:lang w:val="es-ES" w:eastAsia="es-ES"/>
        </w:rPr>
        <w:t xml:space="preserve">De conformidad con el artículo 22, inciso c), de la citada Ley 7969, la presente resolución no tiene ulterior recurso por lo que, se </w:t>
      </w:r>
      <w:r>
        <w:rPr>
          <w:rFonts w:ascii="Verdana" w:hAnsi="Verdana" w:cs="Verdana"/>
          <w:i/>
          <w:iCs/>
          <w:sz w:val="24"/>
          <w:szCs w:val="24"/>
          <w:lang w:val="es-ES" w:eastAsia="es-ES"/>
        </w:rPr>
        <w:t>tiene por</w:t>
      </w:r>
    </w:p>
    <w:p w:rsidR="00DC4DB9" w:rsidRDefault="0034101A" w:rsidP="008160CA">
      <w:pPr>
        <w:kinsoku w:val="0"/>
        <w:overflowPunct w:val="0"/>
        <w:autoSpaceDE/>
        <w:autoSpaceDN/>
        <w:adjustRightInd/>
        <w:spacing w:before="45" w:after="365" w:line="291" w:lineRule="exact"/>
        <w:ind w:left="360"/>
        <w:textAlignment w:val="baseline"/>
        <w:rPr>
          <w:sz w:val="24"/>
          <w:szCs w:val="24"/>
        </w:rPr>
      </w:pPr>
      <w:r>
        <w:rPr>
          <w:rFonts w:ascii="Verdana" w:hAnsi="Verdana" w:cs="Verdana"/>
          <w:i/>
          <w:iCs/>
          <w:spacing w:val="3"/>
          <w:sz w:val="24"/>
          <w:szCs w:val="24"/>
          <w:lang w:val="es-ES" w:eastAsia="es-ES"/>
        </w:rPr>
        <w:t xml:space="preserve">agotada la vía administrativa. </w:t>
      </w:r>
      <w:proofErr w:type="gramStart"/>
      <w:r>
        <w:rPr>
          <w:rFonts w:ascii="Tahoma" w:hAnsi="Tahoma" w:cs="Tahoma"/>
          <w:b/>
          <w:bCs/>
          <w:spacing w:val="3"/>
          <w:sz w:val="25"/>
          <w:szCs w:val="25"/>
          <w:lang w:val="es-ES" w:eastAsia="es-ES"/>
        </w:rPr>
        <w:t>NOTIFIQUESE.</w:t>
      </w:r>
      <w:r>
        <w:rPr>
          <w:rFonts w:ascii="Tahoma" w:hAnsi="Tahoma" w:cs="Tahoma"/>
          <w:b/>
          <w:bCs/>
          <w:spacing w:val="3"/>
          <w:sz w:val="25"/>
          <w:szCs w:val="25"/>
          <w:lang w:val="es-ES" w:eastAsia="es-ES"/>
        </w:rPr>
        <w:noBreakHyphen/>
      </w:r>
      <w:proofErr w:type="gramEnd"/>
      <w:r w:rsidR="008160CA">
        <w:rPr>
          <w:sz w:val="24"/>
          <w:szCs w:val="24"/>
        </w:rPr>
        <w:t xml:space="preserve"> </w:t>
      </w:r>
    </w:p>
    <w:p w:rsidR="008160CA" w:rsidRDefault="008160CA" w:rsidP="008160CA">
      <w:pPr>
        <w:pStyle w:val="Ttulo1"/>
        <w:ind w:left="709" w:firstLine="284"/>
        <w:jc w:val="center"/>
        <w:rPr>
          <w:rFonts w:ascii="Verdana" w:hAnsi="Verdana"/>
          <w:color w:val="000000"/>
        </w:rPr>
      </w:pPr>
    </w:p>
    <w:p w:rsidR="008160CA" w:rsidRPr="00070939" w:rsidRDefault="008160CA" w:rsidP="008160CA">
      <w:pPr>
        <w:pStyle w:val="Ttulo1"/>
        <w:ind w:left="426"/>
        <w:jc w:val="center"/>
        <w:rPr>
          <w:rFonts w:ascii="Verdana" w:hAnsi="Verdana"/>
          <w:color w:val="000000"/>
        </w:rPr>
      </w:pPr>
      <w:r w:rsidRPr="00070939">
        <w:rPr>
          <w:rFonts w:ascii="Verdana" w:hAnsi="Verdana"/>
          <w:color w:val="000000"/>
        </w:rPr>
        <w:t>Lic. Carlos Miguel Portuguez Méndez</w:t>
      </w:r>
    </w:p>
    <w:p w:rsidR="008160CA" w:rsidRPr="00070939" w:rsidRDefault="008160CA" w:rsidP="008160CA">
      <w:pPr>
        <w:ind w:left="426"/>
        <w:jc w:val="center"/>
        <w:rPr>
          <w:rFonts w:ascii="Verdana" w:hAnsi="Verdana"/>
          <w:b/>
          <w:i/>
          <w:color w:val="000000"/>
          <w:sz w:val="24"/>
          <w:szCs w:val="24"/>
        </w:rPr>
      </w:pPr>
      <w:proofErr w:type="spellStart"/>
      <w:r w:rsidRPr="00070939">
        <w:rPr>
          <w:rFonts w:ascii="Verdana" w:hAnsi="Verdana"/>
          <w:b/>
          <w:i/>
          <w:color w:val="000000"/>
          <w:sz w:val="24"/>
          <w:szCs w:val="24"/>
        </w:rPr>
        <w:t>Presidente</w:t>
      </w:r>
      <w:proofErr w:type="spellEnd"/>
    </w:p>
    <w:p w:rsidR="008160CA" w:rsidRPr="00070939" w:rsidRDefault="008160CA" w:rsidP="008160CA">
      <w:pPr>
        <w:spacing w:before="100" w:beforeAutospacing="1" w:after="100" w:afterAutospacing="1"/>
        <w:ind w:left="426"/>
        <w:jc w:val="center"/>
        <w:rPr>
          <w:rFonts w:ascii="Verdana" w:hAnsi="Verdana"/>
          <w:b/>
          <w:color w:val="000000"/>
          <w:sz w:val="24"/>
          <w:szCs w:val="24"/>
        </w:rPr>
      </w:pPr>
    </w:p>
    <w:p w:rsidR="008160CA" w:rsidRPr="00070939" w:rsidRDefault="008160CA" w:rsidP="008160CA">
      <w:pPr>
        <w:pStyle w:val="Ttulo1"/>
        <w:ind w:left="426"/>
        <w:jc w:val="center"/>
        <w:rPr>
          <w:rFonts w:ascii="Verdana" w:hAnsi="Verdana"/>
          <w:color w:val="000000"/>
        </w:rPr>
      </w:pPr>
      <w:r w:rsidRPr="00070939">
        <w:rPr>
          <w:rFonts w:ascii="Verdana" w:hAnsi="Verdana"/>
          <w:color w:val="000000"/>
        </w:rPr>
        <w:t>Lic.  Mario Quesada Aguirre</w:t>
      </w:r>
      <w:r w:rsidRPr="00070939">
        <w:rPr>
          <w:rFonts w:ascii="Verdana" w:hAnsi="Verdana"/>
          <w:color w:val="000000"/>
        </w:rPr>
        <w:tab/>
        <w:t xml:space="preserve">           Lic. Ronald Muñoz Corea</w:t>
      </w:r>
    </w:p>
    <w:p w:rsidR="008160CA" w:rsidRPr="00070939" w:rsidRDefault="008160CA" w:rsidP="008160CA">
      <w:pPr>
        <w:kinsoku w:val="0"/>
        <w:overflowPunct w:val="0"/>
        <w:autoSpaceDE/>
        <w:autoSpaceDN/>
        <w:adjustRightInd/>
        <w:spacing w:line="309" w:lineRule="exact"/>
        <w:ind w:left="426" w:right="216"/>
        <w:jc w:val="center"/>
        <w:textAlignment w:val="baseline"/>
        <w:rPr>
          <w:rFonts w:ascii="Verdana" w:hAnsi="Verdana"/>
          <w:b/>
          <w:i/>
          <w:color w:val="000000"/>
          <w:sz w:val="24"/>
          <w:szCs w:val="24"/>
        </w:rPr>
      </w:pPr>
      <w:r>
        <w:rPr>
          <w:rFonts w:ascii="Verdana" w:hAnsi="Verdana"/>
          <w:b/>
          <w:i/>
          <w:color w:val="000000"/>
          <w:sz w:val="24"/>
          <w:szCs w:val="24"/>
        </w:rPr>
        <w:t xml:space="preserve">             </w:t>
      </w:r>
      <w:proofErr w:type="spellStart"/>
      <w:r w:rsidRPr="00070939">
        <w:rPr>
          <w:rFonts w:ascii="Verdana" w:hAnsi="Verdana"/>
          <w:b/>
          <w:i/>
          <w:color w:val="000000"/>
          <w:sz w:val="24"/>
          <w:szCs w:val="24"/>
        </w:rPr>
        <w:t>Juez</w:t>
      </w:r>
      <w:proofErr w:type="spellEnd"/>
      <w:r w:rsidRPr="00070939">
        <w:rPr>
          <w:rFonts w:ascii="Verdana" w:hAnsi="Verdana"/>
          <w:b/>
          <w:i/>
          <w:color w:val="000000"/>
          <w:sz w:val="24"/>
          <w:szCs w:val="24"/>
        </w:rPr>
        <w:t xml:space="preserve"> </w:t>
      </w:r>
      <w:r w:rsidRPr="00070939">
        <w:rPr>
          <w:rFonts w:ascii="Verdana" w:hAnsi="Verdana"/>
          <w:b/>
          <w:i/>
          <w:color w:val="000000"/>
          <w:sz w:val="24"/>
          <w:szCs w:val="24"/>
        </w:rPr>
        <w:tab/>
      </w:r>
      <w:r w:rsidRPr="00070939">
        <w:rPr>
          <w:rFonts w:ascii="Verdana" w:hAnsi="Verdana"/>
          <w:b/>
          <w:i/>
          <w:color w:val="000000"/>
          <w:sz w:val="24"/>
          <w:szCs w:val="24"/>
        </w:rPr>
        <w:tab/>
      </w:r>
      <w:r w:rsidRPr="00070939">
        <w:rPr>
          <w:rFonts w:ascii="Verdana" w:hAnsi="Verdana"/>
          <w:b/>
          <w:i/>
          <w:color w:val="000000"/>
          <w:sz w:val="24"/>
          <w:szCs w:val="24"/>
        </w:rPr>
        <w:tab/>
      </w:r>
      <w:r w:rsidRPr="00070939">
        <w:rPr>
          <w:rFonts w:ascii="Verdana" w:hAnsi="Verdana"/>
          <w:b/>
          <w:i/>
          <w:color w:val="000000"/>
          <w:sz w:val="24"/>
          <w:szCs w:val="24"/>
        </w:rPr>
        <w:tab/>
        <w:t xml:space="preserve">                     </w:t>
      </w:r>
      <w:r w:rsidRPr="00070939">
        <w:rPr>
          <w:rFonts w:ascii="Verdana" w:hAnsi="Verdana"/>
          <w:b/>
          <w:i/>
          <w:color w:val="000000"/>
          <w:sz w:val="24"/>
          <w:szCs w:val="24"/>
        </w:rPr>
        <w:tab/>
        <w:t xml:space="preserve">       </w:t>
      </w:r>
      <w:proofErr w:type="spellStart"/>
      <w:r w:rsidRPr="00070939">
        <w:rPr>
          <w:rFonts w:ascii="Verdana" w:hAnsi="Verdana"/>
          <w:b/>
          <w:i/>
          <w:color w:val="000000"/>
          <w:sz w:val="24"/>
          <w:szCs w:val="24"/>
        </w:rPr>
        <w:t>Juez</w:t>
      </w:r>
      <w:proofErr w:type="spellEnd"/>
    </w:p>
    <w:p w:rsidR="008160CA" w:rsidRPr="008160CA" w:rsidRDefault="008160CA" w:rsidP="008160CA">
      <w:pPr>
        <w:kinsoku w:val="0"/>
        <w:overflowPunct w:val="0"/>
        <w:autoSpaceDE/>
        <w:autoSpaceDN/>
        <w:adjustRightInd/>
        <w:spacing w:before="45" w:after="365" w:line="291" w:lineRule="exact"/>
        <w:ind w:left="360"/>
        <w:textAlignment w:val="baseline"/>
        <w:rPr>
          <w:sz w:val="24"/>
          <w:szCs w:val="24"/>
        </w:rPr>
      </w:pPr>
    </w:p>
    <w:p w:rsidR="008160CA" w:rsidRDefault="008160CA">
      <w:pPr>
        <w:kinsoku w:val="0"/>
        <w:overflowPunct w:val="0"/>
        <w:autoSpaceDE/>
        <w:autoSpaceDN/>
        <w:adjustRightInd/>
        <w:spacing w:before="7488" w:line="288" w:lineRule="exact"/>
        <w:textAlignment w:val="baseline"/>
        <w:rPr>
          <w:sz w:val="24"/>
          <w:szCs w:val="24"/>
        </w:rPr>
        <w:sectPr w:rsidR="008160CA">
          <w:type w:val="continuous"/>
          <w:pgSz w:w="12283" w:h="15792"/>
          <w:pgMar w:top="760" w:right="1640" w:bottom="316" w:left="1339" w:header="720" w:footer="720" w:gutter="0"/>
          <w:cols w:space="720"/>
          <w:noEndnote/>
        </w:sectPr>
      </w:pPr>
    </w:p>
    <w:p w:rsidR="00DC4DB9" w:rsidRDefault="00DC4DB9" w:rsidP="008160CA">
      <w:pPr>
        <w:kinsoku w:val="0"/>
        <w:overflowPunct w:val="0"/>
        <w:autoSpaceDE/>
        <w:autoSpaceDN/>
        <w:adjustRightInd/>
        <w:spacing w:before="6" w:line="235" w:lineRule="exact"/>
        <w:textAlignment w:val="baseline"/>
        <w:rPr>
          <w:spacing w:val="-6"/>
          <w:sz w:val="21"/>
          <w:szCs w:val="21"/>
          <w:lang w:val="es-ES" w:eastAsia="es-ES"/>
        </w:rPr>
      </w:pPr>
    </w:p>
    <w:sectPr w:rsidR="00DC4DB9">
      <w:type w:val="continuous"/>
      <w:pgSz w:w="12283" w:h="15792"/>
      <w:pgMar w:top="760" w:right="1640" w:bottom="316" w:left="880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5D44"/>
    <w:multiLevelType w:val="singleLevel"/>
    <w:tmpl w:val="02683CCD"/>
    <w:lvl w:ilvl="0">
      <w:start w:val="1"/>
      <w:numFmt w:val="decimal"/>
      <w:lvlText w:val="%1."/>
      <w:lvlJc w:val="left"/>
      <w:pPr>
        <w:tabs>
          <w:tab w:val="num" w:pos="720"/>
        </w:tabs>
        <w:ind w:left="504"/>
      </w:pPr>
      <w:rPr>
        <w:rFonts w:ascii="Verdana" w:hAnsi="Verdana" w:cs="Verdana"/>
        <w:i/>
        <w:iCs/>
        <w:snapToGrid/>
        <w:sz w:val="16"/>
        <w:szCs w:val="16"/>
      </w:rPr>
    </w:lvl>
  </w:abstractNum>
  <w:abstractNum w:abstractNumId="1" w15:restartNumberingAfterBreak="0">
    <w:nsid w:val="016BEB5B"/>
    <w:multiLevelType w:val="singleLevel"/>
    <w:tmpl w:val="6F0EC845"/>
    <w:lvl w:ilvl="0">
      <w:start w:val="8"/>
      <w:numFmt w:val="decimal"/>
      <w:lvlText w:val="%1."/>
      <w:lvlJc w:val="left"/>
      <w:pPr>
        <w:tabs>
          <w:tab w:val="num" w:pos="720"/>
        </w:tabs>
        <w:ind w:left="504"/>
      </w:pPr>
      <w:rPr>
        <w:rFonts w:ascii="Verdana" w:hAnsi="Verdana" w:cs="Verdana"/>
        <w:i/>
        <w:iCs/>
        <w:snapToGrid/>
        <w:spacing w:val="-2"/>
        <w:sz w:val="16"/>
        <w:szCs w:val="16"/>
      </w:rPr>
    </w:lvl>
  </w:abstractNum>
  <w:abstractNum w:abstractNumId="2" w15:restartNumberingAfterBreak="0">
    <w:nsid w:val="01E06140"/>
    <w:multiLevelType w:val="singleLevel"/>
    <w:tmpl w:val="67F6CB04"/>
    <w:lvl w:ilvl="0">
      <w:start w:val="5"/>
      <w:numFmt w:val="upperLetter"/>
      <w:lvlText w:val="%1).-"/>
      <w:lvlJc w:val="left"/>
      <w:pPr>
        <w:tabs>
          <w:tab w:val="num" w:pos="720"/>
        </w:tabs>
        <w:ind w:left="144"/>
      </w:pPr>
      <w:rPr>
        <w:rFonts w:ascii="Verdana" w:hAnsi="Verdana" w:cs="Verdana"/>
        <w:b/>
        <w:snapToGrid/>
        <w:sz w:val="24"/>
        <w:szCs w:val="24"/>
      </w:rPr>
    </w:lvl>
  </w:abstractNum>
  <w:abstractNum w:abstractNumId="3" w15:restartNumberingAfterBreak="0">
    <w:nsid w:val="02A0D1EE"/>
    <w:multiLevelType w:val="singleLevel"/>
    <w:tmpl w:val="6CB06605"/>
    <w:lvl w:ilvl="0">
      <w:start w:val="1"/>
      <w:numFmt w:val="decimal"/>
      <w:lvlText w:val="%1.-"/>
      <w:lvlJc w:val="left"/>
      <w:pPr>
        <w:tabs>
          <w:tab w:val="num" w:pos="504"/>
        </w:tabs>
      </w:pPr>
      <w:rPr>
        <w:rFonts w:ascii="Verdana" w:hAnsi="Verdana" w:cs="Verdana"/>
        <w:b/>
        <w:bCs/>
        <w:snapToGrid/>
        <w:sz w:val="24"/>
        <w:szCs w:val="24"/>
      </w:rPr>
    </w:lvl>
  </w:abstractNum>
  <w:abstractNum w:abstractNumId="4" w15:restartNumberingAfterBreak="0">
    <w:nsid w:val="03488D61"/>
    <w:multiLevelType w:val="singleLevel"/>
    <w:tmpl w:val="A420EAEE"/>
    <w:lvl w:ilvl="0">
      <w:start w:val="1"/>
      <w:numFmt w:val="upperRoman"/>
      <w:lvlText w:val="%1.-"/>
      <w:lvlJc w:val="left"/>
      <w:pPr>
        <w:tabs>
          <w:tab w:val="num" w:pos="1080"/>
        </w:tabs>
        <w:ind w:left="360"/>
      </w:pPr>
      <w:rPr>
        <w:rFonts w:ascii="Tahoma" w:hAnsi="Tahoma" w:cs="Tahoma"/>
        <w:snapToGrid/>
        <w:spacing w:val="9"/>
        <w:sz w:val="25"/>
        <w:szCs w:val="25"/>
      </w:rPr>
    </w:lvl>
  </w:abstractNum>
  <w:abstractNum w:abstractNumId="5" w15:restartNumberingAfterBreak="0">
    <w:nsid w:val="039D3D6F"/>
    <w:multiLevelType w:val="singleLevel"/>
    <w:tmpl w:val="5AF1CDE7"/>
    <w:lvl w:ilvl="0">
      <w:start w:val="1"/>
      <w:numFmt w:val="decimal"/>
      <w:lvlText w:val="%1."/>
      <w:lvlJc w:val="left"/>
      <w:pPr>
        <w:tabs>
          <w:tab w:val="num" w:pos="216"/>
        </w:tabs>
      </w:pPr>
      <w:rPr>
        <w:rFonts w:ascii="Verdana" w:hAnsi="Verdana" w:cs="Verdana"/>
        <w:i/>
        <w:iCs/>
        <w:snapToGrid/>
        <w:sz w:val="16"/>
        <w:szCs w:val="16"/>
      </w:rPr>
    </w:lvl>
  </w:abstractNum>
  <w:abstractNum w:abstractNumId="6" w15:restartNumberingAfterBreak="0">
    <w:nsid w:val="0416CF18"/>
    <w:multiLevelType w:val="singleLevel"/>
    <w:tmpl w:val="5ECA6BE2"/>
    <w:lvl w:ilvl="0">
      <w:start w:val="1"/>
      <w:numFmt w:val="lowerLetter"/>
      <w:lvlText w:val="%1)"/>
      <w:lvlJc w:val="left"/>
      <w:pPr>
        <w:tabs>
          <w:tab w:val="num" w:pos="1440"/>
        </w:tabs>
        <w:ind w:left="648" w:firstLine="360"/>
      </w:pPr>
      <w:rPr>
        <w:rFonts w:ascii="Verdana" w:hAnsi="Verdana" w:cs="Verdana"/>
        <w:b/>
        <w:bCs/>
        <w:i/>
        <w:iCs/>
        <w:snapToGrid/>
        <w:sz w:val="21"/>
        <w:szCs w:val="21"/>
      </w:rPr>
    </w:lvl>
  </w:abstractNum>
  <w:abstractNum w:abstractNumId="7" w15:restartNumberingAfterBreak="0">
    <w:nsid w:val="060518BF"/>
    <w:multiLevelType w:val="singleLevel"/>
    <w:tmpl w:val="799E3FD6"/>
    <w:lvl w:ilvl="0">
      <w:start w:val="2"/>
      <w:numFmt w:val="upperLetter"/>
      <w:lvlText w:val="%1)."/>
      <w:lvlJc w:val="left"/>
      <w:pPr>
        <w:tabs>
          <w:tab w:val="num" w:pos="576"/>
        </w:tabs>
        <w:ind w:left="72"/>
      </w:pPr>
      <w:rPr>
        <w:rFonts w:ascii="Verdana" w:hAnsi="Verdana" w:cs="Verdana"/>
        <w:b/>
        <w:snapToGrid/>
        <w:sz w:val="24"/>
        <w:szCs w:val="24"/>
      </w:rPr>
    </w:lvl>
  </w:abstractNum>
  <w:abstractNum w:abstractNumId="8" w15:restartNumberingAfterBreak="0">
    <w:nsid w:val="067E5B7E"/>
    <w:multiLevelType w:val="singleLevel"/>
    <w:tmpl w:val="5EF8DBDA"/>
    <w:lvl w:ilvl="0">
      <w:numFmt w:val="bullet"/>
      <w:lvlText w:val="o"/>
      <w:lvlJc w:val="left"/>
      <w:pPr>
        <w:tabs>
          <w:tab w:val="num" w:pos="432"/>
        </w:tabs>
        <w:ind w:left="72"/>
      </w:pPr>
      <w:rPr>
        <w:rFonts w:ascii="Courier New" w:hAnsi="Courier New" w:cs="Courier New"/>
        <w:b/>
        <w:bCs/>
        <w:i/>
        <w:iCs/>
        <w:snapToGrid/>
        <w:sz w:val="24"/>
        <w:szCs w:val="24"/>
      </w:rPr>
    </w:lvl>
  </w:abstractNum>
  <w:abstractNum w:abstractNumId="9" w15:restartNumberingAfterBreak="0">
    <w:nsid w:val="07BF36A2"/>
    <w:multiLevelType w:val="singleLevel"/>
    <w:tmpl w:val="782373BB"/>
    <w:lvl w:ilvl="0">
      <w:start w:val="4"/>
      <w:numFmt w:val="decimal"/>
      <w:lvlText w:val="%1.-"/>
      <w:lvlJc w:val="left"/>
      <w:pPr>
        <w:tabs>
          <w:tab w:val="num" w:pos="504"/>
        </w:tabs>
        <w:ind w:left="144"/>
      </w:pPr>
      <w:rPr>
        <w:rFonts w:ascii="Verdana" w:hAnsi="Verdana" w:cs="Verdana"/>
        <w:b/>
        <w:bCs/>
        <w:snapToGrid/>
        <w:sz w:val="24"/>
        <w:szCs w:val="24"/>
      </w:rPr>
    </w:lvl>
  </w:abstractNum>
  <w:num w:numId="1">
    <w:abstractNumId w:val="5"/>
  </w:num>
  <w:num w:numId="2">
    <w:abstractNumId w:val="5"/>
    <w:lvlOverride w:ilvl="0">
      <w:lvl w:ilvl="0">
        <w:numFmt w:val="decimal"/>
        <w:lvlText w:val="%1."/>
        <w:lvlJc w:val="left"/>
        <w:pPr>
          <w:tabs>
            <w:tab w:val="num" w:pos="216"/>
          </w:tabs>
        </w:pPr>
        <w:rPr>
          <w:rFonts w:ascii="Verdana" w:hAnsi="Verdana" w:cs="Verdana"/>
          <w:b/>
          <w:bCs/>
          <w:i/>
          <w:iCs/>
          <w:snapToGrid/>
          <w:spacing w:val="-1"/>
          <w:sz w:val="16"/>
          <w:szCs w:val="16"/>
          <w:u w:val="single"/>
        </w:rPr>
      </w:lvl>
    </w:lvlOverride>
  </w:num>
  <w:num w:numId="3">
    <w:abstractNumId w:val="1"/>
  </w:num>
  <w:num w:numId="4">
    <w:abstractNumId w:val="1"/>
    <w:lvlOverride w:ilvl="0">
      <w:lvl w:ilvl="0">
        <w:numFmt w:val="decimal"/>
        <w:lvlText w:val="%1."/>
        <w:lvlJc w:val="left"/>
        <w:pPr>
          <w:tabs>
            <w:tab w:val="num" w:pos="720"/>
          </w:tabs>
          <w:ind w:left="504"/>
        </w:pPr>
        <w:rPr>
          <w:rFonts w:ascii="Verdana" w:hAnsi="Verdana" w:cs="Verdana"/>
          <w:b/>
          <w:bCs/>
          <w:i/>
          <w:iCs/>
          <w:snapToGrid/>
          <w:spacing w:val="2"/>
          <w:sz w:val="16"/>
          <w:szCs w:val="16"/>
        </w:rPr>
      </w:lvl>
    </w:lvlOverride>
  </w:num>
  <w:num w:numId="5">
    <w:abstractNumId w:val="0"/>
  </w:num>
  <w:num w:numId="6">
    <w:abstractNumId w:val="0"/>
    <w:lvlOverride w:ilvl="0">
      <w:lvl w:ilvl="0">
        <w:numFmt w:val="decimal"/>
        <w:lvlText w:val="%1."/>
        <w:lvlJc w:val="left"/>
        <w:pPr>
          <w:tabs>
            <w:tab w:val="num" w:pos="720"/>
          </w:tabs>
          <w:ind w:left="504"/>
        </w:pPr>
        <w:rPr>
          <w:rFonts w:ascii="Verdana" w:hAnsi="Verdana" w:cs="Verdana"/>
          <w:b/>
          <w:bCs/>
          <w:i/>
          <w:iCs/>
          <w:snapToGrid/>
          <w:spacing w:val="4"/>
          <w:sz w:val="16"/>
          <w:szCs w:val="16"/>
        </w:rPr>
      </w:lvl>
    </w:lvlOverride>
  </w:num>
  <w:num w:numId="7">
    <w:abstractNumId w:val="3"/>
  </w:num>
  <w:num w:numId="8">
    <w:abstractNumId w:val="7"/>
  </w:num>
  <w:num w:numId="9">
    <w:abstractNumId w:val="7"/>
    <w:lvlOverride w:ilvl="0">
      <w:lvl w:ilvl="0">
        <w:numFmt w:val="upperLetter"/>
        <w:lvlText w:val="%1)."/>
        <w:lvlJc w:val="left"/>
        <w:pPr>
          <w:tabs>
            <w:tab w:val="num" w:pos="648"/>
          </w:tabs>
          <w:ind w:left="72"/>
        </w:pPr>
        <w:rPr>
          <w:rFonts w:ascii="Verdana" w:hAnsi="Verdana" w:cs="Verdana"/>
          <w:b/>
          <w:snapToGrid/>
          <w:sz w:val="24"/>
          <w:szCs w:val="24"/>
        </w:rPr>
      </w:lvl>
    </w:lvlOverride>
  </w:num>
  <w:num w:numId="10">
    <w:abstractNumId w:val="7"/>
    <w:lvlOverride w:ilvl="0">
      <w:lvl w:ilvl="0">
        <w:numFmt w:val="upperLetter"/>
        <w:lvlText w:val="%1)."/>
        <w:lvlJc w:val="left"/>
        <w:pPr>
          <w:tabs>
            <w:tab w:val="num" w:pos="720"/>
          </w:tabs>
          <w:ind w:left="72"/>
        </w:pPr>
        <w:rPr>
          <w:rFonts w:ascii="Verdana" w:hAnsi="Verdana" w:cs="Verdana"/>
          <w:b/>
          <w:snapToGrid/>
          <w:sz w:val="24"/>
          <w:szCs w:val="24"/>
        </w:rPr>
      </w:lvl>
    </w:lvlOverride>
  </w:num>
  <w:num w:numId="11">
    <w:abstractNumId w:val="2"/>
  </w:num>
  <w:num w:numId="12">
    <w:abstractNumId w:val="9"/>
  </w:num>
  <w:num w:numId="13">
    <w:abstractNumId w:val="8"/>
  </w:num>
  <w:num w:numId="14">
    <w:abstractNumId w:val="6"/>
  </w:num>
  <w:num w:numId="15">
    <w:abstractNumId w:val="6"/>
    <w:lvlOverride w:ilvl="0">
      <w:lvl w:ilvl="0">
        <w:numFmt w:val="lowerLetter"/>
        <w:lvlText w:val="%1)"/>
        <w:lvlJc w:val="left"/>
        <w:pPr>
          <w:tabs>
            <w:tab w:val="num" w:pos="1296"/>
          </w:tabs>
          <w:ind w:left="648" w:firstLine="360"/>
        </w:pPr>
        <w:rPr>
          <w:rFonts w:ascii="Verdana" w:hAnsi="Verdana" w:cs="Verdana"/>
          <w:i/>
          <w:iCs/>
          <w:snapToGrid/>
          <w:spacing w:val="-9"/>
          <w:sz w:val="24"/>
          <w:szCs w:val="24"/>
        </w:rPr>
      </w:lvl>
    </w:lvlOverride>
  </w:num>
  <w:num w:numId="16">
    <w:abstractNumId w:val="6"/>
    <w:lvlOverride w:ilvl="0">
      <w:lvl w:ilvl="0">
        <w:numFmt w:val="lowerLetter"/>
        <w:lvlText w:val="%1)"/>
        <w:lvlJc w:val="left"/>
        <w:pPr>
          <w:tabs>
            <w:tab w:val="num" w:pos="1440"/>
          </w:tabs>
          <w:ind w:left="648" w:firstLine="360"/>
        </w:pPr>
        <w:rPr>
          <w:rFonts w:ascii="Verdana" w:hAnsi="Verdana" w:cs="Verdana"/>
          <w:i/>
          <w:iCs/>
          <w:snapToGrid/>
          <w:sz w:val="21"/>
          <w:szCs w:val="21"/>
          <w:u w:val="single"/>
        </w:rPr>
      </w:lvl>
    </w:lvlOverride>
  </w:num>
  <w:num w:numId="17">
    <w:abstractNumId w:val="8"/>
    <w:lvlOverride w:ilvl="0">
      <w:lvl w:ilvl="0">
        <w:numFmt w:val="bullet"/>
        <w:lvlText w:val="o"/>
        <w:lvlJc w:val="left"/>
        <w:pPr>
          <w:tabs>
            <w:tab w:val="num" w:pos="648"/>
          </w:tabs>
          <w:ind w:left="432"/>
        </w:pPr>
        <w:rPr>
          <w:rFonts w:ascii="Courier New" w:hAnsi="Courier New" w:cs="Courier New"/>
          <w:i/>
          <w:iCs/>
          <w:snapToGrid/>
          <w:spacing w:val="-1"/>
          <w:sz w:val="18"/>
          <w:szCs w:val="18"/>
        </w:rPr>
      </w:lvl>
    </w:lvlOverride>
  </w:num>
  <w:num w:numId="18">
    <w:abstractNumId w:val="8"/>
    <w:lvlOverride w:ilvl="0">
      <w:lvl w:ilvl="0">
        <w:numFmt w:val="bullet"/>
        <w:lvlText w:val="o"/>
        <w:lvlJc w:val="left"/>
        <w:pPr>
          <w:tabs>
            <w:tab w:val="num" w:pos="648"/>
          </w:tabs>
          <w:ind w:left="432"/>
        </w:pPr>
        <w:rPr>
          <w:rFonts w:ascii="Courier New" w:hAnsi="Courier New" w:cs="Courier New"/>
          <w:i/>
          <w:iCs/>
          <w:snapToGrid/>
          <w:spacing w:val="-2"/>
          <w:sz w:val="20"/>
          <w:szCs w:val="20"/>
        </w:rPr>
      </w:lvl>
    </w:lvlOverride>
  </w:num>
  <w:num w:numId="19">
    <w:abstractNumId w:val="8"/>
    <w:lvlOverride w:ilvl="0">
      <w:lvl w:ilvl="0">
        <w:numFmt w:val="bullet"/>
        <w:lvlText w:val="o"/>
        <w:lvlJc w:val="left"/>
        <w:pPr>
          <w:tabs>
            <w:tab w:val="num" w:pos="576"/>
          </w:tabs>
          <w:ind w:left="432"/>
        </w:pPr>
        <w:rPr>
          <w:rFonts w:ascii="Courier New" w:hAnsi="Courier New" w:cs="Courier New"/>
          <w:i/>
          <w:iCs/>
          <w:snapToGrid/>
          <w:sz w:val="20"/>
          <w:szCs w:val="20"/>
        </w:rPr>
      </w:lvl>
    </w:lvlOverride>
  </w:num>
  <w:num w:numId="20">
    <w:abstractNumId w:val="4"/>
  </w:num>
  <w:num w:numId="21">
    <w:abstractNumId w:val="4"/>
    <w:lvlOverride w:ilvl="0">
      <w:lvl w:ilvl="0">
        <w:numFmt w:val="upperRoman"/>
        <w:lvlText w:val="%1.-"/>
        <w:lvlJc w:val="left"/>
        <w:pPr>
          <w:tabs>
            <w:tab w:val="num" w:pos="936"/>
          </w:tabs>
          <w:ind w:left="360"/>
        </w:pPr>
        <w:rPr>
          <w:rFonts w:ascii="Tahoma" w:hAnsi="Tahoma" w:cs="Tahoma"/>
          <w:b/>
          <w:i w:val="0"/>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1F"/>
    <w:rsid w:val="0034101A"/>
    <w:rsid w:val="005B1D1F"/>
    <w:rsid w:val="008160CA"/>
    <w:rsid w:val="00B34AD4"/>
    <w:rsid w:val="00DC4DB9"/>
    <w:rsid w:val="00E8752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4AB225"/>
  <w14:defaultImageDpi w14:val="0"/>
  <w15:docId w15:val="{1E7DAF37-BAB9-42D1-8D27-D3A1D012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8160CA"/>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60CA"/>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opez@ctp.go.cr" TargetMode="External"/><Relationship Id="rId3" Type="http://schemas.openxmlformats.org/officeDocument/2006/relationships/settings" Target="settings.xml"/><Relationship Id="rId7" Type="http://schemas.openxmlformats.org/officeDocument/2006/relationships/hyperlink" Target="mailto:scredas@ctp.go.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fonseca@ctp.go.cr" TargetMode="External"/><Relationship Id="rId11" Type="http://schemas.openxmlformats.org/officeDocument/2006/relationships/theme" Target="theme/theme1.xml"/><Relationship Id="rId5" Type="http://schemas.openxmlformats.org/officeDocument/2006/relationships/hyperlink" Target="mailto:mfallas@ctp.go.c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orozco@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8698</Words>
  <Characters>47841</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2019-04-25T17:42:00Z</dcterms:created>
  <dcterms:modified xsi:type="dcterms:W3CDTF">2019-04-25T17:42:00Z</dcterms:modified>
</cp:coreProperties>
</file>