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307" w:rsidRDefault="00B97307">
      <w:pPr>
        <w:kinsoku w:val="0"/>
        <w:overflowPunct w:val="0"/>
        <w:autoSpaceDE/>
        <w:autoSpaceDN/>
        <w:adjustRightInd/>
        <w:spacing w:after="552" w:line="20" w:lineRule="exact"/>
        <w:textAlignment w:val="baseline"/>
        <w:rPr>
          <w:sz w:val="24"/>
          <w:szCs w:val="24"/>
        </w:rPr>
      </w:pPr>
    </w:p>
    <w:p w:rsidR="00B97307" w:rsidRDefault="00186D89">
      <w:pPr>
        <w:kinsoku w:val="0"/>
        <w:overflowPunct w:val="0"/>
        <w:autoSpaceDE/>
        <w:autoSpaceDN/>
        <w:adjustRightInd/>
        <w:spacing w:before="2" w:line="285"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 xml:space="preserve">RESOLUCION </w:t>
      </w:r>
      <w:bookmarkStart w:id="0" w:name="_GoBack"/>
      <w:r>
        <w:rPr>
          <w:rFonts w:ascii="Verdana" w:hAnsi="Verdana" w:cs="Verdana"/>
          <w:b/>
          <w:bCs/>
          <w:spacing w:val="1"/>
          <w:sz w:val="24"/>
          <w:szCs w:val="24"/>
          <w:lang w:val="es-ES" w:eastAsia="es-ES"/>
        </w:rPr>
        <w:t>TAT</w:t>
      </w:r>
      <w:r w:rsidR="008C7E47">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3438-2018</w:t>
      </w:r>
      <w:bookmarkEnd w:id="0"/>
    </w:p>
    <w:p w:rsidR="00B97307" w:rsidRDefault="00186D89">
      <w:pPr>
        <w:kinsoku w:val="0"/>
        <w:overflowPunct w:val="0"/>
        <w:autoSpaceDE/>
        <w:autoSpaceDN/>
        <w:adjustRightInd/>
        <w:spacing w:before="609" w:line="293"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diez horas treinta y tres minutos del veintiocho de junio de dos mil dieciocho.</w:t>
      </w:r>
    </w:p>
    <w:p w:rsidR="00B97307" w:rsidRDefault="00186D89">
      <w:pPr>
        <w:kinsoku w:val="0"/>
        <w:overflowPunct w:val="0"/>
        <w:autoSpaceDE/>
        <w:autoSpaceDN/>
        <w:adjustRightInd/>
        <w:spacing w:before="272" w:line="293" w:lineRule="exact"/>
        <w:ind w:right="144"/>
        <w:jc w:val="both"/>
        <w:textAlignment w:val="baseline"/>
        <w:rPr>
          <w:rFonts w:ascii="Verdana" w:hAnsi="Verdana" w:cs="Verdana"/>
          <w:b/>
          <w:bCs/>
          <w:sz w:val="24"/>
          <w:szCs w:val="24"/>
          <w:lang w:val="es-ES" w:eastAsia="es-ES"/>
        </w:rPr>
      </w:pPr>
      <w:r>
        <w:rPr>
          <w:rFonts w:ascii="Verdana" w:hAnsi="Verdana" w:cs="Verdana"/>
          <w:b/>
          <w:bCs/>
          <w:sz w:val="19"/>
          <w:szCs w:val="19"/>
          <w:lang w:val="es-ES" w:eastAsia="es-ES"/>
        </w:rPr>
        <w:t xml:space="preserve">RECURSO DE APELACIÓN Y NULIDAD CONCOMITANTE, </w:t>
      </w:r>
      <w:r>
        <w:rPr>
          <w:rFonts w:ascii="Verdana" w:hAnsi="Verdana" w:cs="Verdana"/>
          <w:sz w:val="24"/>
          <w:szCs w:val="24"/>
          <w:lang w:val="es-ES" w:eastAsia="es-ES"/>
        </w:rPr>
        <w:t xml:space="preserve">interpuesto por </w:t>
      </w:r>
      <w:r>
        <w:rPr>
          <w:rFonts w:ascii="Verdana" w:hAnsi="Verdana" w:cs="Verdana"/>
          <w:b/>
          <w:bCs/>
          <w:sz w:val="24"/>
          <w:szCs w:val="24"/>
          <w:lang w:val="es-ES" w:eastAsia="es-ES"/>
        </w:rPr>
        <w:t>V</w:t>
      </w:r>
      <w:r w:rsidR="00F142D7">
        <w:rPr>
          <w:rFonts w:ascii="Verdana" w:hAnsi="Verdana" w:cs="Verdana"/>
          <w:b/>
          <w:bCs/>
          <w:sz w:val="24"/>
          <w:szCs w:val="24"/>
          <w:lang w:val="es-ES" w:eastAsia="es-ES"/>
        </w:rPr>
        <w:t>.E.Y.M.S.A.</w:t>
      </w:r>
      <w:r>
        <w:rPr>
          <w:rFonts w:ascii="Verdana" w:hAnsi="Verdana" w:cs="Verdana"/>
          <w:b/>
          <w:bCs/>
          <w:sz w:val="24"/>
          <w:szCs w:val="24"/>
          <w:lang w:val="es-ES" w:eastAsia="es-ES"/>
        </w:rPr>
        <w:t xml:space="preserve">, cédula jurídica número </w:t>
      </w:r>
      <w:r w:rsidR="00F142D7">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por medio de su apoder</w:t>
      </w:r>
      <w:r w:rsidR="00F142D7">
        <w:rPr>
          <w:rFonts w:ascii="Verdana" w:hAnsi="Verdana" w:cs="Verdana"/>
          <w:sz w:val="24"/>
          <w:szCs w:val="24"/>
          <w:lang w:val="es-ES" w:eastAsia="es-ES"/>
        </w:rPr>
        <w:t>a</w:t>
      </w:r>
      <w:r>
        <w:rPr>
          <w:rFonts w:ascii="Verdana" w:hAnsi="Verdana" w:cs="Verdana"/>
          <w:sz w:val="24"/>
          <w:szCs w:val="24"/>
          <w:lang w:val="es-ES" w:eastAsia="es-ES"/>
        </w:rPr>
        <w:t xml:space="preserve">do Generalísimo sin Límite de suma, señor </w:t>
      </w:r>
      <w:r>
        <w:rPr>
          <w:rFonts w:ascii="Verdana" w:hAnsi="Verdana" w:cs="Verdana"/>
          <w:b/>
          <w:bCs/>
          <w:sz w:val="24"/>
          <w:szCs w:val="24"/>
          <w:lang w:val="es-ES" w:eastAsia="es-ES"/>
        </w:rPr>
        <w:t>M</w:t>
      </w:r>
      <w:r w:rsidR="00F142D7">
        <w:rPr>
          <w:rFonts w:ascii="Verdana" w:hAnsi="Verdana" w:cs="Verdana"/>
          <w:b/>
          <w:bCs/>
          <w:sz w:val="24"/>
          <w:szCs w:val="24"/>
          <w:lang w:val="es-ES" w:eastAsia="es-ES"/>
        </w:rPr>
        <w:t>.G.A.</w:t>
      </w:r>
      <w:r>
        <w:rPr>
          <w:rFonts w:ascii="Verdana" w:hAnsi="Verdana" w:cs="Verdana"/>
          <w:b/>
          <w:bCs/>
          <w:sz w:val="24"/>
          <w:szCs w:val="24"/>
          <w:lang w:val="es-ES" w:eastAsia="es-ES"/>
        </w:rPr>
        <w:t xml:space="preserve"> cédula de identidad número</w:t>
      </w:r>
      <w:r w:rsidR="00F142D7">
        <w:rPr>
          <w:rFonts w:ascii="Verdana" w:hAnsi="Verdana" w:cs="Verdana"/>
          <w:b/>
          <w:bCs/>
          <w:sz w:val="24"/>
          <w:szCs w:val="24"/>
          <w:lang w:val="es-ES" w:eastAsia="es-ES"/>
        </w:rPr>
        <w:t xml:space="preserve"> …</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w:t>
      </w:r>
      <w:r>
        <w:rPr>
          <w:rFonts w:ascii="Verdana" w:hAnsi="Verdana" w:cs="Verdana"/>
          <w:b/>
          <w:bCs/>
          <w:sz w:val="24"/>
          <w:szCs w:val="24"/>
          <w:lang w:val="es-ES" w:eastAsia="es-ES"/>
        </w:rPr>
        <w:t xml:space="preserve">el artículo 7.12.25 de la Sesión Ordinaria </w:t>
      </w:r>
      <w:r w:rsidR="00F142D7">
        <w:rPr>
          <w:rFonts w:ascii="Verdana" w:hAnsi="Verdana" w:cs="Verdana"/>
          <w:b/>
          <w:bCs/>
          <w:sz w:val="24"/>
          <w:szCs w:val="24"/>
          <w:lang w:val="es-ES" w:eastAsia="es-ES"/>
        </w:rPr>
        <w:t xml:space="preserve">          </w:t>
      </w:r>
      <w:r>
        <w:rPr>
          <w:rFonts w:ascii="Verdana" w:hAnsi="Verdana" w:cs="Verdana"/>
          <w:b/>
          <w:bCs/>
          <w:sz w:val="24"/>
          <w:szCs w:val="24"/>
          <w:lang w:val="es-ES" w:eastAsia="es-ES"/>
        </w:rPr>
        <w:t xml:space="preserve">34-2017 de 30 de agosto de 2017, celebrado por la Junta Directiva. del Consejo de Transporte Público. </w:t>
      </w:r>
      <w:r>
        <w:rPr>
          <w:rFonts w:ascii="Verdana" w:hAnsi="Verdana" w:cs="Verdana"/>
          <w:sz w:val="24"/>
          <w:szCs w:val="24"/>
          <w:lang w:val="es-ES" w:eastAsia="es-ES"/>
        </w:rPr>
        <w:t xml:space="preserve">El caso es tramitado en este Despacho bajo el </w:t>
      </w:r>
      <w:r>
        <w:rPr>
          <w:rFonts w:ascii="Verdana" w:hAnsi="Verdana" w:cs="Verdana"/>
          <w:b/>
          <w:bCs/>
          <w:sz w:val="24"/>
          <w:szCs w:val="24"/>
          <w:lang w:val="es-ES" w:eastAsia="es-ES"/>
        </w:rPr>
        <w:t xml:space="preserve">Expediente Administrativo No. </w:t>
      </w:r>
      <w:r w:rsidR="00F142D7">
        <w:rPr>
          <w:rFonts w:ascii="Verdana" w:hAnsi="Verdana" w:cs="Verdana"/>
          <w:b/>
          <w:bCs/>
          <w:sz w:val="24"/>
          <w:szCs w:val="24"/>
          <w:lang w:val="es-ES" w:eastAsia="es-ES"/>
        </w:rPr>
        <w:t xml:space="preserve">                     </w:t>
      </w:r>
      <w:r>
        <w:rPr>
          <w:rFonts w:ascii="Verdana" w:hAnsi="Verdana" w:cs="Verdana"/>
          <w:b/>
          <w:bCs/>
          <w:sz w:val="24"/>
          <w:szCs w:val="24"/>
          <w:lang w:val="es-ES" w:eastAsia="es-ES"/>
        </w:rPr>
        <w:t>TAT-054-18</w:t>
      </w:r>
    </w:p>
    <w:p w:rsidR="00B97307" w:rsidRDefault="00186D89">
      <w:pPr>
        <w:kinsoku w:val="0"/>
        <w:overflowPunct w:val="0"/>
        <w:autoSpaceDE/>
        <w:autoSpaceDN/>
        <w:adjustRightInd/>
        <w:spacing w:before="293" w:line="285"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RESULTANDO</w:t>
      </w:r>
    </w:p>
    <w:p w:rsidR="00B97307" w:rsidRDefault="00186D89">
      <w:pPr>
        <w:kinsoku w:val="0"/>
        <w:overflowPunct w:val="0"/>
        <w:autoSpaceDE/>
        <w:autoSpaceDN/>
        <w:adjustRightInd/>
        <w:spacing w:before="295" w:line="293"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7.12.25 de la Sesión Ordinaria 34-2017 de 30 de agosto de 2017, celebrado por la Junta Directiva del Consejo de Transporte Público, </w:t>
      </w:r>
      <w:r>
        <w:rPr>
          <w:rFonts w:ascii="Verdana" w:hAnsi="Verdana" w:cs="Verdana"/>
          <w:sz w:val="24"/>
          <w:szCs w:val="24"/>
          <w:lang w:val="es-ES" w:eastAsia="es-ES"/>
        </w:rPr>
        <w:t>dispuso. (Léase folio 13 cara y vuelto del expediente administrativo)</w:t>
      </w:r>
    </w:p>
    <w:p w:rsidR="00B97307" w:rsidRDefault="00186D89">
      <w:pPr>
        <w:kinsoku w:val="0"/>
        <w:overflowPunct w:val="0"/>
        <w:autoSpaceDE/>
        <w:autoSpaceDN/>
        <w:adjustRightInd/>
        <w:spacing w:before="241" w:line="189" w:lineRule="exact"/>
        <w:ind w:lef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B97307" w:rsidRDefault="00F142D7" w:rsidP="00F142D7">
      <w:pPr>
        <w:kinsoku w:val="0"/>
        <w:overflowPunct w:val="0"/>
        <w:autoSpaceDE/>
        <w:autoSpaceDN/>
        <w:adjustRightInd/>
        <w:spacing w:before="226" w:line="176" w:lineRule="exact"/>
        <w:ind w:firstLine="432"/>
        <w:jc w:val="both"/>
        <w:textAlignment w:val="baseline"/>
        <w:rPr>
          <w:rFonts w:ascii="Verdana" w:hAnsi="Verdana" w:cs="Verdana"/>
          <w:i/>
          <w:iCs/>
          <w:spacing w:val="32"/>
          <w:sz w:val="16"/>
          <w:szCs w:val="16"/>
          <w:lang w:val="es-ES" w:eastAsia="es-ES"/>
        </w:rPr>
      </w:pPr>
      <w:r>
        <w:rPr>
          <w:rFonts w:ascii="Verdana" w:hAnsi="Verdana" w:cs="Verdana"/>
          <w:i/>
          <w:iCs/>
          <w:spacing w:val="32"/>
          <w:sz w:val="16"/>
          <w:szCs w:val="16"/>
          <w:lang w:val="es-ES" w:eastAsia="es-ES"/>
        </w:rPr>
        <w:t>(…</w:t>
      </w:r>
      <w:r w:rsidR="00186D89">
        <w:rPr>
          <w:rFonts w:ascii="Verdana" w:hAnsi="Verdana" w:cs="Verdana"/>
          <w:i/>
          <w:iCs/>
          <w:spacing w:val="32"/>
          <w:sz w:val="16"/>
          <w:szCs w:val="16"/>
          <w:lang w:val="es-ES" w:eastAsia="es-ES"/>
        </w:rPr>
        <w:t>)</w:t>
      </w:r>
    </w:p>
    <w:p w:rsidR="00B97307" w:rsidRDefault="00186D89">
      <w:pPr>
        <w:kinsoku w:val="0"/>
        <w:overflowPunct w:val="0"/>
        <w:autoSpaceDE/>
        <w:autoSpaceDN/>
        <w:adjustRightInd/>
        <w:spacing w:line="193" w:lineRule="exact"/>
        <w:ind w:left="432" w:right="504"/>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 xml:space="preserve">2. Declarar extemporánea la solicitud de excepcionalidad y/o dispensa, planteada por el señor </w:t>
      </w:r>
      <w:r>
        <w:rPr>
          <w:rFonts w:ascii="Verdana" w:hAnsi="Verdana" w:cs="Verdana"/>
          <w:b/>
          <w:bCs/>
          <w:i/>
          <w:iCs/>
          <w:spacing w:val="-1"/>
          <w:sz w:val="16"/>
          <w:szCs w:val="16"/>
          <w:lang w:val="es-ES" w:eastAsia="es-ES"/>
        </w:rPr>
        <w:t>M</w:t>
      </w:r>
      <w:r w:rsidR="00F142D7">
        <w:rPr>
          <w:rFonts w:ascii="Verdana" w:hAnsi="Verdana" w:cs="Verdana"/>
          <w:b/>
          <w:bCs/>
          <w:i/>
          <w:iCs/>
          <w:spacing w:val="-1"/>
          <w:sz w:val="16"/>
          <w:szCs w:val="16"/>
          <w:lang w:val="es-ES" w:eastAsia="es-ES"/>
        </w:rPr>
        <w:t>.G.A.</w:t>
      </w:r>
      <w:r>
        <w:rPr>
          <w:rFonts w:ascii="Verdana" w:hAnsi="Verdana" w:cs="Verdana"/>
          <w:b/>
          <w:bCs/>
          <w:i/>
          <w:iCs/>
          <w:spacing w:val="-1"/>
          <w:sz w:val="16"/>
          <w:szCs w:val="16"/>
          <w:lang w:val="es-ES" w:eastAsia="es-ES"/>
        </w:rPr>
        <w:t xml:space="preserve"> APODERADO GENERALISIMO SIN LIMITE DE SUMA DE LA FIRMA V</w:t>
      </w:r>
      <w:r w:rsidR="00F142D7">
        <w:rPr>
          <w:rFonts w:ascii="Verdana" w:hAnsi="Verdana" w:cs="Verdana"/>
          <w:b/>
          <w:bCs/>
          <w:i/>
          <w:iCs/>
          <w:spacing w:val="-1"/>
          <w:sz w:val="16"/>
          <w:szCs w:val="16"/>
          <w:lang w:val="es-ES" w:eastAsia="es-ES"/>
        </w:rPr>
        <w:t>.E.Y.M.S.A.</w:t>
      </w:r>
      <w:r>
        <w:rPr>
          <w:rFonts w:ascii="Verdana" w:hAnsi="Verdana" w:cs="Verdana"/>
          <w:b/>
          <w:bCs/>
          <w:i/>
          <w:iCs/>
          <w:spacing w:val="-1"/>
          <w:sz w:val="16"/>
          <w:szCs w:val="16"/>
          <w:lang w:val="es-ES" w:eastAsia="es-ES"/>
        </w:rPr>
        <w:t xml:space="preserve"> RUTA </w:t>
      </w:r>
      <w:proofErr w:type="spellStart"/>
      <w:r>
        <w:rPr>
          <w:rFonts w:ascii="Verdana" w:hAnsi="Verdana" w:cs="Verdana"/>
          <w:b/>
          <w:bCs/>
          <w:i/>
          <w:iCs/>
          <w:spacing w:val="-1"/>
          <w:sz w:val="16"/>
          <w:szCs w:val="16"/>
          <w:lang w:val="es-ES" w:eastAsia="es-ES"/>
        </w:rPr>
        <w:t>N°</w:t>
      </w:r>
      <w:proofErr w:type="spellEnd"/>
      <w:r>
        <w:rPr>
          <w:rFonts w:ascii="Verdana" w:hAnsi="Verdana" w:cs="Verdana"/>
          <w:b/>
          <w:bCs/>
          <w:i/>
          <w:iCs/>
          <w:spacing w:val="-1"/>
          <w:sz w:val="16"/>
          <w:szCs w:val="16"/>
          <w:lang w:val="es-ES" w:eastAsia="es-ES"/>
        </w:rPr>
        <w:t xml:space="preserve"> 366, </w:t>
      </w:r>
      <w:r>
        <w:rPr>
          <w:rFonts w:ascii="Verdana" w:hAnsi="Verdana" w:cs="Verdana"/>
          <w:i/>
          <w:iCs/>
          <w:spacing w:val="-1"/>
          <w:sz w:val="16"/>
          <w:szCs w:val="16"/>
          <w:lang w:val="es-ES" w:eastAsia="es-ES"/>
        </w:rPr>
        <w:t xml:space="preserve">en virtud de lo establecido en el punto </w:t>
      </w:r>
      <w:proofErr w:type="spellStart"/>
      <w:r>
        <w:rPr>
          <w:rFonts w:ascii="Verdana" w:hAnsi="Verdana" w:cs="Verdana"/>
          <w:i/>
          <w:iCs/>
          <w:spacing w:val="-1"/>
          <w:sz w:val="16"/>
          <w:szCs w:val="16"/>
          <w:lang w:val="es-ES" w:eastAsia="es-ES"/>
        </w:rPr>
        <w:t>N°</w:t>
      </w:r>
      <w:proofErr w:type="spellEnd"/>
      <w:r>
        <w:rPr>
          <w:rFonts w:ascii="Verdana" w:hAnsi="Verdana" w:cs="Verdana"/>
          <w:i/>
          <w:iCs/>
          <w:spacing w:val="-1"/>
          <w:sz w:val="16"/>
          <w:szCs w:val="16"/>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fundamentos y exposiciones emitidas anteriormente. (-)"</w:t>
      </w:r>
    </w:p>
    <w:p w:rsidR="00B97307" w:rsidRDefault="00186D89">
      <w:pPr>
        <w:kinsoku w:val="0"/>
        <w:overflowPunct w:val="0"/>
        <w:autoSpaceDE/>
        <w:autoSpaceDN/>
        <w:adjustRightInd/>
        <w:spacing w:before="223" w:line="293" w:lineRule="exact"/>
        <w:ind w:right="144"/>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SEGUNDO: </w:t>
      </w:r>
      <w:r>
        <w:rPr>
          <w:rFonts w:ascii="Verdana" w:hAnsi="Verdana" w:cs="Verdana"/>
          <w:spacing w:val="-2"/>
          <w:sz w:val="24"/>
          <w:szCs w:val="24"/>
          <w:lang w:val="es-ES" w:eastAsia="es-ES"/>
        </w:rPr>
        <w:t xml:space="preserve">La empresa recurrente, impugna el </w:t>
      </w:r>
      <w:r>
        <w:rPr>
          <w:rFonts w:ascii="Verdana" w:hAnsi="Verdana" w:cs="Verdana"/>
          <w:b/>
          <w:bCs/>
          <w:spacing w:val="-2"/>
          <w:sz w:val="24"/>
          <w:szCs w:val="24"/>
          <w:lang w:val="es-ES" w:eastAsia="es-ES"/>
        </w:rPr>
        <w:t xml:space="preserve">acuerdo 7.12.25 de la Sesión Ordinaria 34-2017 de 30 de agosto de 2017, </w:t>
      </w:r>
      <w:r>
        <w:rPr>
          <w:rFonts w:ascii="Verdana" w:hAnsi="Verdana" w:cs="Verdana"/>
          <w:spacing w:val="-2"/>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2"/>
          <w:sz w:val="24"/>
          <w:szCs w:val="24"/>
          <w:lang w:val="es-ES" w:eastAsia="es-ES"/>
        </w:rPr>
        <w:t xml:space="preserve">artículo 7.18 de la Sesión Ordinaria 23-2017 de 7 de junio de 2017, </w:t>
      </w:r>
      <w:r>
        <w:rPr>
          <w:rFonts w:ascii="Verdana" w:hAnsi="Verdana" w:cs="Verdana"/>
          <w:spacing w:val="-2"/>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pacing w:val="-2"/>
          <w:sz w:val="24"/>
          <w:szCs w:val="24"/>
          <w:lang w:val="es-ES" w:eastAsia="es-ES"/>
        </w:rPr>
        <w:t>ordenatorio</w:t>
      </w:r>
      <w:proofErr w:type="spellEnd"/>
      <w:r>
        <w:rPr>
          <w:rFonts w:ascii="Verdana" w:hAnsi="Verdana" w:cs="Verdana"/>
          <w:spacing w:val="-2"/>
          <w:sz w:val="24"/>
          <w:szCs w:val="24"/>
          <w:lang w:val="es-ES" w:eastAsia="es-ES"/>
        </w:rPr>
        <w:t>, por haberlo decidido así la misma Junta</w:t>
      </w:r>
    </w:p>
    <w:p w:rsidR="00B97307" w:rsidRDefault="00B97307">
      <w:pPr>
        <w:widowControl/>
        <w:rPr>
          <w:sz w:val="24"/>
          <w:szCs w:val="24"/>
        </w:rPr>
        <w:sectPr w:rsidR="00B97307">
          <w:pgSz w:w="12274" w:h="15763"/>
          <w:pgMar w:top="860" w:right="1453" w:bottom="181" w:left="1781" w:header="720" w:footer="720" w:gutter="0"/>
          <w:cols w:space="720"/>
          <w:noEndnote/>
        </w:sectPr>
      </w:pPr>
    </w:p>
    <w:p w:rsidR="00B97307" w:rsidRDefault="00186D89">
      <w:pPr>
        <w:kinsoku w:val="0"/>
        <w:overflowPunct w:val="0"/>
        <w:autoSpaceDE/>
        <w:autoSpaceDN/>
        <w:adjustRightInd/>
        <w:spacing w:before="44" w:line="28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Directiva del Consejo de Transporte Público, mediante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por tal razón solicita sea revocado el acto impugnado. (Léanse folios 10 vuelto y 11 del expediente administrativo)</w:t>
      </w:r>
    </w:p>
    <w:p w:rsidR="00B97307" w:rsidRDefault="00186D89">
      <w:pPr>
        <w:kinsoku w:val="0"/>
        <w:overflowPunct w:val="0"/>
        <w:autoSpaceDE/>
        <w:autoSpaceDN/>
        <w:adjustRightInd/>
        <w:spacing w:before="315" w:line="293"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TERCERO: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7.6.1 de la Sesión Ordinaria 17-2018 de 3 de mayo de 2018, </w:t>
      </w:r>
      <w:r>
        <w:rPr>
          <w:rFonts w:ascii="Verdana" w:hAnsi="Verdana" w:cs="Verdana"/>
          <w:spacing w:val="-2"/>
          <w:sz w:val="24"/>
          <w:szCs w:val="24"/>
          <w:lang w:val="es-ES" w:eastAsia="es-ES"/>
        </w:rPr>
        <w:t xml:space="preserve">conoce y avala el Informe de la Dirección de Asuntos Jurídicos el </w:t>
      </w:r>
      <w:r>
        <w:rPr>
          <w:rFonts w:ascii="Verdana" w:hAnsi="Verdana" w:cs="Verdana"/>
          <w:b/>
          <w:bCs/>
          <w:spacing w:val="-2"/>
          <w:sz w:val="24"/>
          <w:szCs w:val="24"/>
          <w:lang w:val="es-ES" w:eastAsia="es-ES"/>
        </w:rPr>
        <w:t>D</w:t>
      </w:r>
      <w:r w:rsidR="00F142D7">
        <w:rPr>
          <w:rFonts w:ascii="Verdana" w:hAnsi="Verdana" w:cs="Verdana"/>
          <w:b/>
          <w:bCs/>
          <w:spacing w:val="-2"/>
          <w:sz w:val="24"/>
          <w:szCs w:val="24"/>
          <w:lang w:val="es-ES" w:eastAsia="es-ES"/>
        </w:rPr>
        <w:t>AJ</w:t>
      </w:r>
      <w:r>
        <w:rPr>
          <w:rFonts w:ascii="Verdana" w:hAnsi="Verdana" w:cs="Verdana"/>
          <w:b/>
          <w:bCs/>
          <w:spacing w:val="-2"/>
          <w:sz w:val="24"/>
          <w:szCs w:val="24"/>
          <w:lang w:val="es-ES" w:eastAsia="es-ES"/>
        </w:rPr>
        <w:t xml:space="preserve">- 2018-000708 de 23 de abril de 2018, </w:t>
      </w:r>
      <w:r w:rsidRPr="00F142D7">
        <w:rPr>
          <w:rFonts w:ascii="Verdana" w:hAnsi="Verdana" w:cs="Verdana"/>
          <w:bCs/>
          <w:spacing w:val="-2"/>
          <w:sz w:val="24"/>
          <w:szCs w:val="24"/>
          <w:lang w:val="es-ES" w:eastAsia="es-ES"/>
        </w:rPr>
        <w:t xml:space="preserve">y </w:t>
      </w:r>
      <w:r>
        <w:rPr>
          <w:rFonts w:ascii="Verdana" w:hAnsi="Verdana" w:cs="Verdana"/>
          <w:spacing w:val="-2"/>
          <w:sz w:val="24"/>
          <w:szCs w:val="24"/>
          <w:lang w:val="es-ES" w:eastAsia="es-ES"/>
        </w:rPr>
        <w:t>dispone rechazar por improcedente el Recurso de Revocatoria y la Nulidad concomitante presentada por la Recurrente, por considerar que la actuación del Consejo de Transporte Público se dio dentro del marco de la Legalidad. (Léanse folios del 2 al 9 del expediente administrativo.)</w:t>
      </w:r>
    </w:p>
    <w:p w:rsidR="00B97307" w:rsidRDefault="00186D89">
      <w:pPr>
        <w:kinsoku w:val="0"/>
        <w:overflowPunct w:val="0"/>
        <w:autoSpaceDE/>
        <w:autoSpaceDN/>
        <w:adjustRightInd/>
        <w:spacing w:before="300" w:line="292"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CUARTO: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7.18 de la Sesión Ordinaria 23-2017 de 7 de junio de 2017, </w:t>
      </w:r>
      <w:r>
        <w:rPr>
          <w:rFonts w:ascii="Verdana" w:hAnsi="Verdana" w:cs="Verdana"/>
          <w:spacing w:val="-2"/>
          <w:sz w:val="24"/>
          <w:szCs w:val="24"/>
          <w:lang w:val="es-ES" w:eastAsia="es-ES"/>
        </w:rPr>
        <w:t>dispuso: (Léanse folios 56 y 57 del expediente administrativo)</w:t>
      </w:r>
    </w:p>
    <w:p w:rsidR="00B97307" w:rsidRDefault="00186D89">
      <w:pPr>
        <w:kinsoku w:val="0"/>
        <w:overflowPunct w:val="0"/>
        <w:autoSpaceDE/>
        <w:autoSpaceDN/>
        <w:adjustRightInd/>
        <w:spacing w:before="232" w:line="191"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"ARTICULO 7.18.-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r>
        <w:rPr>
          <w:rFonts w:ascii="Verdana" w:hAnsi="Verdana" w:cs="Verdana"/>
          <w:i/>
          <w:iCs/>
          <w:sz w:val="16"/>
          <w:szCs w:val="16"/>
          <w:lang w:val="es-ES" w:eastAsia="es-ES"/>
        </w:rPr>
        <w:t>tal y como lo establece el artículo 30 del Decreto Ejecutivo No. 28833-MOPT y sus reformas.</w:t>
      </w:r>
    </w:p>
    <w:p w:rsidR="00B97307" w:rsidRDefault="00186D89">
      <w:pPr>
        <w:kinsoku w:val="0"/>
        <w:overflowPunct w:val="0"/>
        <w:autoSpaceDE/>
        <w:autoSpaceDN/>
        <w:adjustRightInd/>
        <w:spacing w:before="194" w:line="192" w:lineRule="exact"/>
        <w:ind w:left="504"/>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CONSIDERANDO:</w:t>
      </w:r>
    </w:p>
    <w:p w:rsidR="00B97307" w:rsidRDefault="00186D89">
      <w:pPr>
        <w:kinsoku w:val="0"/>
        <w:overflowPunct w:val="0"/>
        <w:autoSpaceDE/>
        <w:autoSpaceDN/>
        <w:adjustRightInd/>
        <w:spacing w:before="205" w:line="195"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PRIMERO: </w:t>
      </w:r>
      <w:r>
        <w:rPr>
          <w:rFonts w:ascii="Verdana" w:hAnsi="Verdana" w:cs="Verdana"/>
          <w:i/>
          <w:iCs/>
          <w:sz w:val="16"/>
          <w:szCs w:val="16"/>
          <w:lang w:val="es-ES" w:eastAsia="es-ES"/>
        </w:rPr>
        <w:t>Mediante el artículo 8.1 de la sesión ordinaria 20-2017, la Junta Directiva integró formalmente la Comisión encargada de la revisión del Modelo y Manual de Calidad, de conformidad con lo establecido en el Decreto Ejecutivo No. 28833-MOPT, mismo que establece los criterios de evaluación en cuanto a la calidad del servicio del transporte público.</w:t>
      </w:r>
    </w:p>
    <w:p w:rsidR="00B97307" w:rsidRDefault="00186D89">
      <w:pPr>
        <w:kinsoku w:val="0"/>
        <w:overflowPunct w:val="0"/>
        <w:autoSpaceDE/>
        <w:autoSpaceDN/>
        <w:adjustRightInd/>
        <w:spacing w:before="196" w:line="195"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Este Órgano Colegiado procede analizar 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proofErr w:type="spellStart"/>
      <w:r>
        <w:rPr>
          <w:rFonts w:ascii="Verdana" w:hAnsi="Verdana" w:cs="Verdana"/>
          <w:i/>
          <w:iCs/>
          <w:sz w:val="16"/>
          <w:szCs w:val="16"/>
          <w:lang w:val="es-ES" w:eastAsia="es-ES"/>
        </w:rPr>
        <w:t>mocionándose</w:t>
      </w:r>
      <w:proofErr w:type="spellEnd"/>
      <w:r>
        <w:rPr>
          <w:rFonts w:ascii="Verdana" w:hAnsi="Verdana" w:cs="Verdana"/>
          <w:i/>
          <w:iCs/>
          <w:sz w:val="16"/>
          <w:szCs w:val="16"/>
          <w:lang w:val="es-ES" w:eastAsia="es-ES"/>
        </w:rPr>
        <w:t xml:space="preserve"> para acoger las recomendaciones contenidas en el oficio dicho, en lo atinente a la revisión del Manual para la aplicación del Modelo de Calidad del Servicio para el período 2017, basados en los fundamentos, motivos y contenidos, desarrollados en dicha herramienta técnica.</w:t>
      </w:r>
    </w:p>
    <w:p w:rsidR="00B97307" w:rsidRDefault="00186D89">
      <w:pPr>
        <w:kinsoku w:val="0"/>
        <w:overflowPunct w:val="0"/>
        <w:autoSpaceDE/>
        <w:autoSpaceDN/>
        <w:adjustRightInd/>
        <w:spacing w:before="186" w:line="191"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TERCERO: </w:t>
      </w:r>
      <w:r>
        <w:rPr>
          <w:rFonts w:ascii="Verdana" w:hAnsi="Verdana" w:cs="Verdana"/>
          <w:i/>
          <w:iCs/>
          <w:sz w:val="16"/>
          <w:szCs w:val="16"/>
          <w:lang w:val="es-ES" w:eastAsia="es-ES"/>
        </w:rPr>
        <w:t>Luego de las reuniones sostenidas con los integrantes de dicha Comisión, se logró un instrumento transitorio de consenso, con aplicación para el año 2017, el cual contiene las disposiciones generales que deben de ser aprobadas por la Junta Directiva, las cuales están basadas en aspectos técnicos vinculados a la materia, una vez que el Manual sea aprobado conforme a la recomendación de la Comisión.</w:t>
      </w:r>
    </w:p>
    <w:p w:rsidR="00B97307" w:rsidRDefault="00186D89">
      <w:pPr>
        <w:kinsoku w:val="0"/>
        <w:overflowPunct w:val="0"/>
        <w:autoSpaceDE/>
        <w:autoSpaceDN/>
        <w:adjustRightInd/>
        <w:spacing w:before="199" w:line="195" w:lineRule="exact"/>
        <w:ind w:left="504" w:right="432"/>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t xml:space="preserve">CUARTO: </w:t>
      </w:r>
      <w:r>
        <w:rPr>
          <w:rFonts w:ascii="Verdana" w:hAnsi="Verdana" w:cs="Verdana"/>
          <w:i/>
          <w:iCs/>
          <w:spacing w:val="-2"/>
          <w:sz w:val="16"/>
          <w:szCs w:val="16"/>
          <w:lang w:val="es-ES" w:eastAsia="es-ES"/>
        </w:rPr>
        <w:t xml:space="preserve">Los cambios medulares del Manual, se resumen en la variación de los porcentajes de la evaluación final de las notas por criterios ("criterio o", que es el </w:t>
      </w:r>
      <w:r>
        <w:rPr>
          <w:rFonts w:ascii="Verdana" w:hAnsi="Verdana" w:cs="Verdana"/>
          <w:b/>
          <w:bCs/>
          <w:i/>
          <w:iCs/>
          <w:spacing w:val="-2"/>
          <w:sz w:val="16"/>
          <w:szCs w:val="16"/>
          <w:lang w:val="es-ES" w:eastAsia="es-ES"/>
        </w:rPr>
        <w:t xml:space="preserve">operativo; </w:t>
      </w:r>
      <w:r>
        <w:rPr>
          <w:rFonts w:ascii="Verdana" w:hAnsi="Verdana" w:cs="Verdana"/>
          <w:i/>
          <w:iCs/>
          <w:spacing w:val="-2"/>
          <w:sz w:val="16"/>
          <w:szCs w:val="16"/>
          <w:lang w:val="es-ES" w:eastAsia="es-ES"/>
        </w:rPr>
        <w:t xml:space="preserve">el "criterio a" que es el de la </w:t>
      </w:r>
      <w:r>
        <w:rPr>
          <w:rFonts w:ascii="Verdana" w:hAnsi="Verdana" w:cs="Verdana"/>
          <w:b/>
          <w:bCs/>
          <w:i/>
          <w:iCs/>
          <w:spacing w:val="-2"/>
          <w:sz w:val="16"/>
          <w:szCs w:val="16"/>
          <w:lang w:val="es-ES" w:eastAsia="es-ES"/>
        </w:rPr>
        <w:t xml:space="preserve">Administración; </w:t>
      </w:r>
      <w:r>
        <w:rPr>
          <w:rFonts w:ascii="Verdana" w:hAnsi="Verdana" w:cs="Verdana"/>
          <w:i/>
          <w:iCs/>
          <w:spacing w:val="-2"/>
          <w:sz w:val="16"/>
          <w:szCs w:val="16"/>
          <w:lang w:val="es-ES" w:eastAsia="es-ES"/>
        </w:rPr>
        <w:t xml:space="preserve">y el "criterio u" que es el del </w:t>
      </w:r>
      <w:r>
        <w:rPr>
          <w:rFonts w:ascii="Verdana" w:hAnsi="Verdana" w:cs="Verdana"/>
          <w:b/>
          <w:bCs/>
          <w:i/>
          <w:iCs/>
          <w:spacing w:val="-2"/>
          <w:sz w:val="16"/>
          <w:szCs w:val="16"/>
          <w:lang w:val="es-ES" w:eastAsia="es-ES"/>
        </w:rPr>
        <w:t xml:space="preserve">usuario) </w:t>
      </w:r>
      <w:r>
        <w:rPr>
          <w:rFonts w:ascii="Verdana" w:hAnsi="Verdana" w:cs="Verdana"/>
          <w:i/>
          <w:iCs/>
          <w:spacing w:val="-2"/>
          <w:sz w:val="16"/>
          <w:szCs w:val="16"/>
          <w:lang w:val="es-ES" w:eastAsia="es-ES"/>
        </w:rPr>
        <w:t>en el peso relativo, siendo que al operador se le está asignando un 45%; en cuanto a la encuesta del Usuario, otro 45%; y finalmente un 10% al peso relativo de la Administración. Estos pesos relativos pueden variar año con año.</w:t>
      </w:r>
    </w:p>
    <w:p w:rsidR="00B97307" w:rsidRDefault="00186D89">
      <w:pPr>
        <w:kinsoku w:val="0"/>
        <w:overflowPunct w:val="0"/>
        <w:autoSpaceDE/>
        <w:autoSpaceDN/>
        <w:adjustRightInd/>
        <w:spacing w:before="225" w:line="195" w:lineRule="exact"/>
        <w:ind w:left="504" w:right="432"/>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 xml:space="preserve">QUINTO: </w:t>
      </w:r>
      <w:r>
        <w:rPr>
          <w:rFonts w:ascii="Verdana" w:hAnsi="Verdana" w:cs="Verdana"/>
          <w:i/>
          <w:iCs/>
          <w:spacing w:val="-1"/>
          <w:sz w:val="16"/>
          <w:szCs w:val="16"/>
          <w:lang w:val="es-ES" w:eastAsia="es-ES"/>
        </w:rPr>
        <w:t>En razón de todo lo anterior, lo que se recomienda y se somete a conocimiento de la Junta Directiva es la aprobación de las consideraciones generales para la contratación de Organismos de Inspección y del Manual para la Evaluación de la Calidad para el año 2017. También se somete a conocimiento de esta Junta Directiva la recomendación del valor del peso relativo dado a los diferentes criterios anteriormente mencionados. Adicionalmente, de conformidad con el artículo 21 del Decreto Ejecutivo No. 28833-MOPT, y a lo expresado por la ARESEP en el oficio No. 1369-IT-201</w:t>
      </w:r>
      <w:r>
        <w:rPr>
          <w:rFonts w:ascii="Verdana" w:hAnsi="Verdana" w:cs="Verdana"/>
          <w:i/>
          <w:iCs/>
          <w:spacing w:val="-1"/>
          <w:sz w:val="16"/>
          <w:szCs w:val="16"/>
          <w:vertAlign w:val="superscript"/>
          <w:lang w:val="es-ES" w:eastAsia="es-ES"/>
        </w:rPr>
        <w:t>6</w:t>
      </w:r>
      <w:r>
        <w:rPr>
          <w:rFonts w:ascii="Verdana" w:hAnsi="Verdana" w:cs="Verdana"/>
          <w:i/>
          <w:iCs/>
          <w:spacing w:val="-1"/>
          <w:sz w:val="16"/>
          <w:szCs w:val="16"/>
          <w:lang w:val="es-ES" w:eastAsia="es-ES"/>
        </w:rPr>
        <w:t>/</w:t>
      </w:r>
      <w:r>
        <w:rPr>
          <w:rFonts w:ascii="Verdana" w:hAnsi="Verdana" w:cs="Verdana"/>
          <w:i/>
          <w:iCs/>
          <w:spacing w:val="-1"/>
          <w:sz w:val="16"/>
          <w:szCs w:val="16"/>
          <w:vertAlign w:val="subscript"/>
          <w:lang w:val="es-ES" w:eastAsia="es-ES"/>
        </w:rPr>
        <w:t>1</w:t>
      </w:r>
      <w:r>
        <w:rPr>
          <w:rFonts w:ascii="Verdana" w:hAnsi="Verdana" w:cs="Verdana"/>
          <w:i/>
          <w:iCs/>
          <w:spacing w:val="-1"/>
          <w:sz w:val="16"/>
          <w:szCs w:val="16"/>
          <w:lang w:val="es-ES" w:eastAsia="es-ES"/>
        </w:rPr>
        <w:t>35423-2016 del 31 de agosto del 2016, referido a que el costo del estudio será reconocido tarifariamente, se debe disponer su reconocimiento por parte de la Junta Directiva, en relación con la contratación que realicen los concesionarios y permisionarios con los Organismos de Inspección acreditados ante el ECA. Asimismo, procede destacar la aprobación del punto particular de las Disposiciones Generales para el año 2017, en relación a las excepciones y dispensas del requisito de contratación de Organismos de Inspección acreditados ante el EC, así como deberá ponderarse y definirse el mecanismo por el cual, se procederá a reconocer dichos estudios.</w:t>
      </w:r>
    </w:p>
    <w:p w:rsidR="00B97307" w:rsidRDefault="00B97307">
      <w:pPr>
        <w:widowControl/>
        <w:rPr>
          <w:sz w:val="24"/>
          <w:szCs w:val="24"/>
        </w:rPr>
        <w:sectPr w:rsidR="00B97307">
          <w:pgSz w:w="12274" w:h="15763"/>
          <w:pgMar w:top="740" w:right="1612" w:bottom="307" w:left="1622" w:header="720" w:footer="720" w:gutter="0"/>
          <w:cols w:space="720"/>
          <w:noEndnote/>
        </w:sectPr>
      </w:pPr>
    </w:p>
    <w:p w:rsidR="00B97307" w:rsidRDefault="00186D89">
      <w:pPr>
        <w:kinsoku w:val="0"/>
        <w:overflowPunct w:val="0"/>
        <w:autoSpaceDE/>
        <w:autoSpaceDN/>
        <w:adjustRightInd/>
        <w:spacing w:before="4" w:line="187" w:lineRule="exact"/>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lastRenderedPageBreak/>
        <w:t>POR TANTO, SE ACUERDA:</w:t>
      </w:r>
    </w:p>
    <w:p w:rsidR="00B97307" w:rsidRDefault="00186D89">
      <w:pPr>
        <w:numPr>
          <w:ilvl w:val="0"/>
          <w:numId w:val="1"/>
        </w:numPr>
        <w:kinsoku w:val="0"/>
        <w:overflowPunct w:val="0"/>
        <w:autoSpaceDE/>
        <w:autoSpaceDN/>
        <w:adjustRightInd/>
        <w:spacing w:before="196"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B97307" w:rsidRDefault="00186D89">
      <w:pPr>
        <w:numPr>
          <w:ilvl w:val="0"/>
          <w:numId w:val="1"/>
        </w:numPr>
        <w:kinsoku w:val="0"/>
        <w:overflowPunct w:val="0"/>
        <w:autoSpaceDE/>
        <w:autoSpaceDN/>
        <w:adjustRightInd/>
        <w:spacing w:before="194"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B97307" w:rsidRDefault="00186D89">
      <w:pPr>
        <w:numPr>
          <w:ilvl w:val="0"/>
          <w:numId w:val="1"/>
        </w:numPr>
        <w:kinsoku w:val="0"/>
        <w:overflowPunct w:val="0"/>
        <w:autoSpaceDE/>
        <w:autoSpaceDN/>
        <w:adjustRightInd/>
        <w:spacing w:before="192"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B97307" w:rsidRDefault="00186D89">
      <w:pPr>
        <w:numPr>
          <w:ilvl w:val="0"/>
          <w:numId w:val="1"/>
        </w:numPr>
        <w:kinsoku w:val="0"/>
        <w:overflowPunct w:val="0"/>
        <w:autoSpaceDE/>
        <w:autoSpaceDN/>
        <w:adjustRightInd/>
        <w:spacing w:before="211" w:line="192"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B97307" w:rsidRDefault="00186D89">
      <w:pPr>
        <w:numPr>
          <w:ilvl w:val="0"/>
          <w:numId w:val="1"/>
        </w:numPr>
        <w:kinsoku w:val="0"/>
        <w:overflowPunct w:val="0"/>
        <w:autoSpaceDE/>
        <w:autoSpaceDN/>
        <w:adjustRightInd/>
        <w:spacing w:before="200"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De conformidad con los artículos números 13 y 16 del Decreto Ejecutivo 28833-MOPT y sus </w:t>
      </w:r>
      <w:proofErr w:type="gramStart"/>
      <w:r>
        <w:rPr>
          <w:rFonts w:ascii="Verdana" w:hAnsi="Verdana" w:cs="Verdana"/>
          <w:i/>
          <w:iCs/>
          <w:sz w:val="16"/>
          <w:szCs w:val="16"/>
          <w:lang w:val="es-ES" w:eastAsia="es-ES"/>
        </w:rPr>
        <w:t>reformas,.</w:t>
      </w:r>
      <w:proofErr w:type="gramEnd"/>
      <w:r>
        <w:rPr>
          <w:rFonts w:ascii="Verdana" w:hAnsi="Verdana" w:cs="Verdana"/>
          <w:i/>
          <w:iCs/>
          <w:sz w:val="16"/>
          <w:szCs w:val="16"/>
          <w:lang w:val="es-ES" w:eastAsia="es-ES"/>
        </w:rPr>
        <w:t xml:space="preserve">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B97307" w:rsidRDefault="00186D89">
      <w:pPr>
        <w:numPr>
          <w:ilvl w:val="0"/>
          <w:numId w:val="1"/>
        </w:numPr>
        <w:kinsoku w:val="0"/>
        <w:overflowPunct w:val="0"/>
        <w:autoSpaceDE/>
        <w:autoSpaceDN/>
        <w:adjustRightInd/>
        <w:spacing w:before="194" w:line="194" w:lineRule="exact"/>
        <w:jc w:val="both"/>
        <w:textAlignment w:val="baseline"/>
        <w:rPr>
          <w:rFonts w:ascii="Verdana" w:hAnsi="Verdana" w:cs="Verdana"/>
          <w:b/>
          <w:bCs/>
          <w:i/>
          <w:iCs/>
          <w:sz w:val="16"/>
          <w:szCs w:val="16"/>
          <w:u w:val="single"/>
          <w:lang w:val="es-ES" w:eastAsia="es-ES"/>
        </w:rPr>
      </w:pPr>
      <w:r>
        <w:rPr>
          <w:rFonts w:ascii="Verdana" w:hAnsi="Verdana" w:cs="Verdana"/>
          <w:i/>
          <w:iCs/>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16"/>
          <w:szCs w:val="16"/>
          <w:lang w:val="es-ES" w:eastAsia="es-ES"/>
        </w:rPr>
        <w:t xml:space="preserve">debe realizarse en un plazo de 3 meses calendario, </w:t>
      </w:r>
      <w:r>
        <w:rPr>
          <w:rFonts w:ascii="Verdana" w:hAnsi="Verdana" w:cs="Verdana"/>
          <w:i/>
          <w:iCs/>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16"/>
          <w:szCs w:val="16"/>
          <w:u w:val="single"/>
          <w:lang w:val="es-ES" w:eastAsia="es-ES"/>
        </w:rPr>
        <w:t>comunicar por escrito</w:t>
      </w:r>
      <w:r>
        <w:rPr>
          <w:rFonts w:ascii="Verdana" w:hAnsi="Verdana" w:cs="Verdana"/>
          <w:i/>
          <w:iCs/>
          <w:sz w:val="16"/>
          <w:szCs w:val="16"/>
          <w:lang w:val="es-ES" w:eastAsia="es-ES"/>
        </w:rPr>
        <w:t xml:space="preserve"> al CTP, el inicio del proceso de evaluación de la conformidad, con una antelación de </w:t>
      </w:r>
      <w:r>
        <w:rPr>
          <w:rFonts w:ascii="Verdana" w:hAnsi="Verdana" w:cs="Verdana"/>
          <w:b/>
          <w:bCs/>
          <w:i/>
          <w:iCs/>
          <w:sz w:val="16"/>
          <w:szCs w:val="16"/>
          <w:u w:val="single"/>
          <w:lang w:val="es-ES" w:eastAsia="es-ES"/>
        </w:rPr>
        <w:t>diez días hábiles</w:t>
      </w:r>
      <w:r>
        <w:rPr>
          <w:rFonts w:ascii="Verdana" w:hAnsi="Verdana" w:cs="Verdana"/>
          <w:i/>
          <w:iCs/>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6"/>
          <w:szCs w:val="16"/>
          <w:u w:val="single"/>
          <w:lang w:val="es-ES" w:eastAsia="es-ES"/>
        </w:rPr>
        <w:t xml:space="preserve">se debe muestrear antes del 31 de </w:t>
      </w:r>
      <w:proofErr w:type="gramStart"/>
      <w:r>
        <w:rPr>
          <w:rFonts w:ascii="Verdana" w:hAnsi="Verdana" w:cs="Verdana"/>
          <w:b/>
          <w:bCs/>
          <w:i/>
          <w:iCs/>
          <w:sz w:val="16"/>
          <w:szCs w:val="16"/>
          <w:u w:val="single"/>
          <w:lang w:val="es-ES" w:eastAsia="es-ES"/>
        </w:rPr>
        <w:t>Diciembre</w:t>
      </w:r>
      <w:proofErr w:type="gramEnd"/>
      <w:r>
        <w:rPr>
          <w:rFonts w:ascii="Verdana" w:hAnsi="Verdana" w:cs="Verdana"/>
          <w:b/>
          <w:bCs/>
          <w:i/>
          <w:iCs/>
          <w:sz w:val="16"/>
          <w:szCs w:val="16"/>
          <w:u w:val="single"/>
          <w:lang w:val="es-ES" w:eastAsia="es-ES"/>
        </w:rPr>
        <w:t xml:space="preserve"> del 2017.</w:t>
      </w:r>
    </w:p>
    <w:p w:rsidR="00B97307" w:rsidRDefault="00186D89">
      <w:pPr>
        <w:numPr>
          <w:ilvl w:val="0"/>
          <w:numId w:val="2"/>
        </w:numPr>
        <w:kinsoku w:val="0"/>
        <w:overflowPunct w:val="0"/>
        <w:autoSpaceDE/>
        <w:autoSpaceDN/>
        <w:adjustRightInd/>
        <w:spacing w:before="202" w:line="192" w:lineRule="exact"/>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u w:val="single"/>
          <w:lang w:val="es-ES" w:eastAsia="es-ES"/>
        </w:rPr>
        <w:t>Se establecen las Excepciones v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 xml:space="preserve">improrrogable </w:t>
      </w:r>
      <w:r>
        <w:rPr>
          <w:rFonts w:ascii="Verdana" w:hAnsi="Verdana" w:cs="Verdana"/>
          <w:i/>
          <w:iCs/>
          <w:spacing w:val="-1"/>
          <w:sz w:val="16"/>
          <w:szCs w:val="16"/>
          <w:lang w:val="es-ES" w:eastAsia="es-ES"/>
        </w:rPr>
        <w:t xml:space="preserve"> hasta el </w:t>
      </w:r>
      <w:r>
        <w:rPr>
          <w:rFonts w:ascii="Verdana" w:hAnsi="Verdana" w:cs="Verdana"/>
          <w:b/>
          <w:bCs/>
          <w:i/>
          <w:iCs/>
          <w:spacing w:val="-1"/>
          <w:sz w:val="16"/>
          <w:szCs w:val="16"/>
          <w:u w:val="single"/>
          <w:lang w:val="es-ES" w:eastAsia="es-ES"/>
        </w:rPr>
        <w:t xml:space="preserve">1 de agosto del 2017, </w:t>
      </w:r>
      <w:r>
        <w:rPr>
          <w:rFonts w:ascii="Verdana" w:hAnsi="Verdana" w:cs="Verdana"/>
          <w:i/>
          <w:iCs/>
          <w:spacing w:val="-1"/>
          <w:sz w:val="16"/>
          <w:szCs w:val="16"/>
          <w:u w:val="single"/>
          <w:lang w:val="es-ES" w:eastAsia="es-ES"/>
        </w:rPr>
        <w:t>para  demostrar ante el Conse</w:t>
      </w:r>
      <w:r w:rsidR="00F142D7">
        <w:rPr>
          <w:rFonts w:ascii="Verdana" w:hAnsi="Verdana" w:cs="Verdana"/>
          <w:i/>
          <w:iCs/>
          <w:spacing w:val="-1"/>
          <w:sz w:val="16"/>
          <w:szCs w:val="16"/>
          <w:u w:val="single"/>
          <w:lang w:val="es-ES" w:eastAsia="es-ES"/>
        </w:rPr>
        <w:t>j</w:t>
      </w:r>
      <w:r>
        <w:rPr>
          <w:rFonts w:ascii="Verdana" w:hAnsi="Verdana" w:cs="Verdana"/>
          <w:i/>
          <w:iCs/>
          <w:spacing w:val="-1"/>
          <w:sz w:val="16"/>
          <w:szCs w:val="16"/>
          <w:u w:val="single"/>
          <w:lang w:val="es-ES" w:eastAsia="es-ES"/>
        </w:rPr>
        <w:t xml:space="preserve">o de Transporte Público, </w:t>
      </w:r>
      <w:r>
        <w:rPr>
          <w:rFonts w:ascii="Verdana" w:hAnsi="Verdana" w:cs="Verdana"/>
          <w:b/>
          <w:bCs/>
          <w:i/>
          <w:iCs/>
          <w:spacing w:val="-1"/>
          <w:sz w:val="16"/>
          <w:szCs w:val="16"/>
          <w:u w:val="single"/>
          <w:lang w:val="es-ES" w:eastAsia="es-ES"/>
        </w:rPr>
        <w:t>la imposibilidad de aplicar la evaluación de  inconformidad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ante todos los organismos de inspección acreditados por 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que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 xml:space="preserve">se </w:t>
      </w:r>
      <w:proofErr w:type="gramStart"/>
      <w:r>
        <w:rPr>
          <w:rFonts w:ascii="Verdana" w:hAnsi="Verdana" w:cs="Verdana"/>
          <w:b/>
          <w:bCs/>
          <w:i/>
          <w:iCs/>
          <w:spacing w:val="-1"/>
          <w:sz w:val="16"/>
          <w:szCs w:val="16"/>
          <w:u w:val="single"/>
          <w:lang w:val="es-ES" w:eastAsia="es-ES"/>
        </w:rPr>
        <w:t>tienen  como</w:t>
      </w:r>
      <w:proofErr w:type="gramEnd"/>
      <w:r>
        <w:rPr>
          <w:rFonts w:ascii="Verdana" w:hAnsi="Verdana" w:cs="Verdana"/>
          <w:b/>
          <w:bCs/>
          <w:i/>
          <w:iCs/>
          <w:spacing w:val="-1"/>
          <w:sz w:val="16"/>
          <w:szCs w:val="16"/>
          <w:u w:val="single"/>
          <w:lang w:val="es-ES" w:eastAsia="es-ES"/>
        </w:rPr>
        <w:t xml:space="preserve">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B97307" w:rsidRDefault="00186D89">
      <w:pPr>
        <w:kinsoku w:val="0"/>
        <w:overflowPunct w:val="0"/>
        <w:autoSpaceDE/>
        <w:autoSpaceDN/>
        <w:adjustRightInd/>
        <w:spacing w:before="212" w:line="190" w:lineRule="exact"/>
        <w:ind w:left="216" w:firstLine="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B97307" w:rsidRDefault="00186D89">
      <w:pPr>
        <w:kinsoku w:val="0"/>
        <w:overflowPunct w:val="0"/>
        <w:autoSpaceDE/>
        <w:autoSpaceDN/>
        <w:adjustRightInd/>
        <w:spacing w:before="13" w:line="194" w:lineRule="exact"/>
        <w:ind w:left="21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B97307" w:rsidRDefault="00186D89">
      <w:pPr>
        <w:kinsoku w:val="0"/>
        <w:overflowPunct w:val="0"/>
        <w:autoSpaceDE/>
        <w:autoSpaceDN/>
        <w:adjustRightInd/>
        <w:spacing w:before="11" w:line="194" w:lineRule="exact"/>
        <w:ind w:left="21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B97307" w:rsidRDefault="00186D89">
      <w:pPr>
        <w:kinsoku w:val="0"/>
        <w:overflowPunct w:val="0"/>
        <w:autoSpaceDE/>
        <w:autoSpaceDN/>
        <w:adjustRightInd/>
        <w:spacing w:before="207"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B97307" w:rsidRDefault="00186D89">
      <w:pPr>
        <w:kinsoku w:val="0"/>
        <w:overflowPunct w:val="0"/>
        <w:autoSpaceDE/>
        <w:autoSpaceDN/>
        <w:adjustRightInd/>
        <w:spacing w:before="42" w:after="384" w:line="194" w:lineRule="exact"/>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Una vez recibida la gestión en la que se alegue la imposibilidad de contratar un ente acreditado ante el CTP, éste contará con un plazo </w:t>
      </w:r>
      <w:r>
        <w:rPr>
          <w:rFonts w:ascii="Verdana" w:hAnsi="Verdana" w:cs="Verdana"/>
          <w:b/>
          <w:bCs/>
          <w:i/>
          <w:iCs/>
          <w:spacing w:val="-2"/>
          <w:sz w:val="16"/>
          <w:szCs w:val="16"/>
          <w:u w:val="single"/>
          <w:lang w:val="es-ES" w:eastAsia="es-ES"/>
        </w:rPr>
        <w:t>máximo de 15 días naturales</w:t>
      </w:r>
      <w:r>
        <w:rPr>
          <w:rFonts w:ascii="Verdana" w:hAnsi="Verdana" w:cs="Verdana"/>
          <w:i/>
          <w:iCs/>
          <w:spacing w:val="-2"/>
          <w:sz w:val="16"/>
          <w:szCs w:val="16"/>
          <w:lang w:val="es-ES" w:eastAsia="es-ES"/>
        </w:rPr>
        <w:t xml:space="preserve"> a partir del día que se presente la petición, para autorizar, mediante acuerdo motivado de la Junta Directiva a los concesionarios y</w:t>
      </w:r>
    </w:p>
    <w:p w:rsidR="00B97307" w:rsidRDefault="00B97307">
      <w:pPr>
        <w:widowControl/>
        <w:rPr>
          <w:sz w:val="24"/>
          <w:szCs w:val="24"/>
        </w:rPr>
        <w:sectPr w:rsidR="00B97307">
          <w:pgSz w:w="12278" w:h="15725"/>
          <w:pgMar w:top="980" w:right="1969" w:bottom="202" w:left="2189" w:header="720" w:footer="720" w:gutter="0"/>
          <w:cols w:space="720"/>
          <w:noEndnote/>
        </w:sectPr>
      </w:pPr>
    </w:p>
    <w:p w:rsidR="00B97307" w:rsidRDefault="00B97307">
      <w:pPr>
        <w:widowControl/>
        <w:rPr>
          <w:sz w:val="24"/>
          <w:szCs w:val="24"/>
        </w:rPr>
        <w:sectPr w:rsidR="00B97307">
          <w:type w:val="continuous"/>
          <w:pgSz w:w="12278" w:h="15725"/>
          <w:pgMar w:top="980" w:right="1607" w:bottom="202" w:left="8851" w:header="720" w:footer="720" w:gutter="0"/>
          <w:cols w:space="720"/>
          <w:noEndnote/>
        </w:sectPr>
      </w:pPr>
    </w:p>
    <w:p w:rsidR="00B97307" w:rsidRDefault="00186D89">
      <w:pPr>
        <w:kinsoku w:val="0"/>
        <w:overflowPunct w:val="0"/>
        <w:autoSpaceDE/>
        <w:autoSpaceDN/>
        <w:adjustRightInd/>
        <w:spacing w:before="24" w:line="196" w:lineRule="exact"/>
        <w:ind w:left="432" w:right="504"/>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lastRenderedPageBreak/>
        <w:t>permisionarios, la contratación de profesionales independientes o entes de inspección no acreditados, para la aplicación de los procesos de la evaluación de la conformidad para el año 2017.</w:t>
      </w:r>
    </w:p>
    <w:p w:rsidR="00B97307" w:rsidRDefault="00186D89">
      <w:pPr>
        <w:numPr>
          <w:ilvl w:val="0"/>
          <w:numId w:val="3"/>
        </w:numPr>
        <w:kinsoku w:val="0"/>
        <w:overflowPunct w:val="0"/>
        <w:autoSpaceDE/>
        <w:autoSpaceDN/>
        <w:adjustRightInd/>
        <w:spacing w:before="155" w:line="196" w:lineRule="exact"/>
        <w:ind w:right="504"/>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tarifarlo, ni de ponderación o evaluación alguna, y la Junta Directiva someterá estos casos, </w:t>
      </w:r>
      <w:r>
        <w:rPr>
          <w:rFonts w:ascii="Verdana" w:hAnsi="Verdana" w:cs="Verdana"/>
          <w:i/>
          <w:iCs/>
          <w:spacing w:val="-2"/>
          <w:sz w:val="16"/>
          <w:szCs w:val="16"/>
          <w:u w:val="single"/>
          <w:lang w:val="es-ES" w:eastAsia="es-ES"/>
        </w:rPr>
        <w:t>sin excepción alguna,</w:t>
      </w:r>
      <w:r>
        <w:rPr>
          <w:rFonts w:ascii="Verdana" w:hAnsi="Verdana" w:cs="Verdana"/>
          <w:i/>
          <w:iCs/>
          <w:spacing w:val="-2"/>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B97307" w:rsidRDefault="00186D89">
      <w:pPr>
        <w:numPr>
          <w:ilvl w:val="0"/>
          <w:numId w:val="3"/>
        </w:numPr>
        <w:kinsoku w:val="0"/>
        <w:overflowPunct w:val="0"/>
        <w:autoSpaceDE/>
        <w:autoSpaceDN/>
        <w:adjustRightInd/>
        <w:spacing w:before="202" w:line="196" w:lineRule="exact"/>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Notifíquese: (...)</w:t>
      </w:r>
    </w:p>
    <w:p w:rsidR="00B97307" w:rsidRDefault="00186D89">
      <w:pPr>
        <w:numPr>
          <w:ilvl w:val="0"/>
          <w:numId w:val="4"/>
        </w:numPr>
        <w:kinsoku w:val="0"/>
        <w:overflowPunct w:val="0"/>
        <w:autoSpaceDE/>
        <w:autoSpaceDN/>
        <w:adjustRightInd/>
        <w:spacing w:before="189" w:line="196" w:lineRule="exact"/>
        <w:jc w:val="both"/>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Se declara firme.</w:t>
      </w:r>
    </w:p>
    <w:p w:rsidR="00B97307" w:rsidRDefault="00186D89">
      <w:pPr>
        <w:kinsoku w:val="0"/>
        <w:overflowPunct w:val="0"/>
        <w:autoSpaceDE/>
        <w:autoSpaceDN/>
        <w:adjustRightInd/>
        <w:spacing w:before="306" w:line="296" w:lineRule="exact"/>
        <w:ind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QUINTO: </w:t>
      </w: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5.1 de la Sesión Ordinaria 30-2017 de 26 de julio de 2017, </w:t>
      </w:r>
      <w:r>
        <w:rPr>
          <w:rFonts w:ascii="Verdana" w:hAnsi="Verdana" w:cs="Verdana"/>
          <w:spacing w:val="-3"/>
          <w:sz w:val="24"/>
          <w:szCs w:val="24"/>
          <w:lang w:val="es-ES" w:eastAsia="es-ES"/>
        </w:rPr>
        <w:t>dispuso: (Léanse folios del 130 al 134 del expediente administrativo)</w:t>
      </w:r>
    </w:p>
    <w:p w:rsidR="00B97307" w:rsidRDefault="00186D89">
      <w:pPr>
        <w:kinsoku w:val="0"/>
        <w:overflowPunct w:val="0"/>
        <w:autoSpaceDE/>
        <w:autoSpaceDN/>
        <w:adjustRightInd/>
        <w:spacing w:before="578" w:line="186" w:lineRule="exact"/>
        <w:ind w:left="432" w:right="504"/>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 por seis votos a favor y uno en contra (del director Badilla Castro):</w:t>
      </w:r>
    </w:p>
    <w:p w:rsidR="00B97307" w:rsidRDefault="00186D89">
      <w:pPr>
        <w:numPr>
          <w:ilvl w:val="0"/>
          <w:numId w:val="5"/>
        </w:numPr>
        <w:kinsoku w:val="0"/>
        <w:overflowPunct w:val="0"/>
        <w:autoSpaceDE/>
        <w:autoSpaceDN/>
        <w:adjustRightInd/>
        <w:spacing w:before="2" w:line="196"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Brindar respuesta a la petición de prórroga planteada por la Comisión Nacional de Pequeños y Medianos Empresarios Autobuseros, dentro de la cual se debe de indicar lo siguiente:</w:t>
      </w:r>
    </w:p>
    <w:p w:rsidR="00B97307" w:rsidRDefault="00186D89">
      <w:pPr>
        <w:numPr>
          <w:ilvl w:val="0"/>
          <w:numId w:val="5"/>
        </w:numPr>
        <w:kinsoku w:val="0"/>
        <w:overflowPunct w:val="0"/>
        <w:autoSpaceDE/>
        <w:autoSpaceDN/>
        <w:adjustRightInd/>
        <w:spacing w:before="14" w:line="196" w:lineRule="exact"/>
        <w:ind w:right="504"/>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ordena torio.</w:t>
      </w:r>
    </w:p>
    <w:p w:rsidR="00B97307" w:rsidRDefault="00186D89">
      <w:pPr>
        <w:numPr>
          <w:ilvl w:val="0"/>
          <w:numId w:val="5"/>
        </w:numPr>
        <w:kinsoku w:val="0"/>
        <w:overflowPunct w:val="0"/>
        <w:autoSpaceDE/>
        <w:autoSpaceDN/>
        <w:adjustRightInd/>
        <w:spacing w:line="196"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w:t>
      </w:r>
      <w:proofErr w:type="gramStart"/>
      <w:r>
        <w:rPr>
          <w:rFonts w:ascii="Verdana" w:hAnsi="Verdana" w:cs="Verdana"/>
          <w:i/>
          <w:iCs/>
          <w:sz w:val="16"/>
          <w:szCs w:val="16"/>
          <w:lang w:val="es-ES" w:eastAsia="es-ES"/>
        </w:rPr>
        <w:t>realidad</w:t>
      </w:r>
      <w:proofErr w:type="gramEnd"/>
      <w:r>
        <w:rPr>
          <w:rFonts w:ascii="Verdana" w:hAnsi="Verdana" w:cs="Verdana"/>
          <w:i/>
          <w:iCs/>
          <w:sz w:val="16"/>
          <w:szCs w:val="16"/>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B97307" w:rsidRDefault="00186D89">
      <w:pPr>
        <w:numPr>
          <w:ilvl w:val="0"/>
          <w:numId w:val="5"/>
        </w:numPr>
        <w:kinsoku w:val="0"/>
        <w:overflowPunct w:val="0"/>
        <w:autoSpaceDE/>
        <w:autoSpaceDN/>
        <w:adjustRightInd/>
        <w:spacing w:before="13" w:line="196" w:lineRule="exact"/>
        <w:ind w:right="504"/>
        <w:jc w:val="both"/>
        <w:textAlignment w:val="baseline"/>
        <w:rPr>
          <w:rFonts w:ascii="Verdana" w:hAnsi="Verdana" w:cs="Verdana"/>
          <w:i/>
          <w:iCs/>
          <w:spacing w:val="-2"/>
          <w:sz w:val="16"/>
          <w:szCs w:val="16"/>
          <w:lang w:val="es-ES" w:eastAsia="es-ES"/>
        </w:rPr>
      </w:pPr>
      <w:proofErr w:type="gramStart"/>
      <w:r>
        <w:rPr>
          <w:rFonts w:ascii="Verdana" w:hAnsi="Verdana" w:cs="Verdana"/>
          <w:i/>
          <w:iCs/>
          <w:spacing w:val="-2"/>
          <w:sz w:val="16"/>
          <w:szCs w:val="16"/>
          <w:lang w:val="es-ES" w:eastAsia="es-ES"/>
        </w:rPr>
        <w:t>Asimismo</w:t>
      </w:r>
      <w:proofErr w:type="gramEnd"/>
      <w:r>
        <w:rPr>
          <w:rFonts w:ascii="Verdana" w:hAnsi="Verdana" w:cs="Verdana"/>
          <w:i/>
          <w:iCs/>
          <w:spacing w:val="-2"/>
          <w:sz w:val="16"/>
          <w:szCs w:val="16"/>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B97307" w:rsidRDefault="00186D89">
      <w:pPr>
        <w:numPr>
          <w:ilvl w:val="0"/>
          <w:numId w:val="5"/>
        </w:numPr>
        <w:kinsoku w:val="0"/>
        <w:overflowPunct w:val="0"/>
        <w:autoSpaceDE/>
        <w:autoSpaceDN/>
        <w:adjustRightInd/>
        <w:spacing w:before="27" w:line="190"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B97307" w:rsidRDefault="00186D89">
      <w:pPr>
        <w:numPr>
          <w:ilvl w:val="0"/>
          <w:numId w:val="5"/>
        </w:numPr>
        <w:kinsoku w:val="0"/>
        <w:overflowPunct w:val="0"/>
        <w:autoSpaceDE/>
        <w:autoSpaceDN/>
        <w:adjustRightInd/>
        <w:spacing w:line="192"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Se aclara igualmente, </w:t>
      </w:r>
      <w:proofErr w:type="gramStart"/>
      <w:r>
        <w:rPr>
          <w:rFonts w:ascii="Verdana" w:hAnsi="Verdana" w:cs="Verdana"/>
          <w:i/>
          <w:iCs/>
          <w:sz w:val="16"/>
          <w:szCs w:val="16"/>
          <w:lang w:val="es-ES" w:eastAsia="es-ES"/>
        </w:rPr>
        <w:t>que</w:t>
      </w:r>
      <w:proofErr w:type="gramEnd"/>
      <w:r>
        <w:rPr>
          <w:rFonts w:ascii="Verdana" w:hAnsi="Verdana" w:cs="Verdana"/>
          <w:i/>
          <w:iCs/>
          <w:sz w:val="16"/>
          <w:szCs w:val="16"/>
          <w:lang w:val="es-ES" w:eastAsia="es-ES"/>
        </w:rPr>
        <w:t xml:space="preserve"> si el Organismo de Inspección seleccionado está acreditado ante el ECA, debe de serio bajo la Norma INTE - ISO/IEC 17020, siendo ésta la norma que debe de cumplir el consultor que vaya a realizar ese estudio y es una norma general, no específica de transporte público o que los acredite en transporte público para realizar el estudio.</w:t>
      </w:r>
    </w:p>
    <w:p w:rsidR="00B97307" w:rsidRDefault="00186D89">
      <w:pPr>
        <w:numPr>
          <w:ilvl w:val="0"/>
          <w:numId w:val="5"/>
        </w:numPr>
        <w:kinsoku w:val="0"/>
        <w:overflowPunct w:val="0"/>
        <w:autoSpaceDE/>
        <w:autoSpaceDN/>
        <w:adjustRightInd/>
        <w:spacing w:before="4" w:line="196"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B97307" w:rsidRDefault="00186D89">
      <w:pPr>
        <w:numPr>
          <w:ilvl w:val="0"/>
          <w:numId w:val="5"/>
        </w:numPr>
        <w:kinsoku w:val="0"/>
        <w:overflowPunct w:val="0"/>
        <w:autoSpaceDE/>
        <w:autoSpaceDN/>
        <w:adjustRightInd/>
        <w:spacing w:before="17" w:line="200"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todo lo anteriormente indicado, la referida fecha del primero de agosto del 2017, no se estaría prorrogando.</w:t>
      </w:r>
    </w:p>
    <w:p w:rsidR="00B97307" w:rsidRDefault="00186D89">
      <w:pPr>
        <w:numPr>
          <w:ilvl w:val="0"/>
          <w:numId w:val="5"/>
        </w:numPr>
        <w:kinsoku w:val="0"/>
        <w:overflowPunct w:val="0"/>
        <w:autoSpaceDE/>
        <w:autoSpaceDN/>
        <w:adjustRightInd/>
        <w:spacing w:before="23" w:line="196"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Notifíquese: Despacho de la Viceministra de Transportes y Seguridad Vial / Despacho del Ministro de Obras Públicas y Transportes / Dirección Ejecutiva a los correos </w:t>
      </w:r>
      <w:hyperlink r:id="rId5" w:history="1">
        <w:r>
          <w:rPr>
            <w:rFonts w:ascii="Verdana" w:hAnsi="Verdana" w:cs="Verdana"/>
            <w:i/>
            <w:iCs/>
            <w:color w:val="0000FF"/>
            <w:sz w:val="16"/>
            <w:szCs w:val="16"/>
            <w:u w:val="single"/>
            <w:lang w:val="es-ES" w:eastAsia="es-ES"/>
          </w:rPr>
          <w:t>mfallas@ctp.go.cr</w:t>
        </w:r>
      </w:hyperlink>
      <w:r>
        <w:rPr>
          <w:rFonts w:ascii="Verdana" w:hAnsi="Verdana" w:cs="Verdana"/>
          <w:i/>
          <w:iCs/>
          <w:sz w:val="16"/>
          <w:szCs w:val="16"/>
          <w:lang w:val="es-ES" w:eastAsia="es-ES"/>
        </w:rPr>
        <w:t xml:space="preserve"> y </w:t>
      </w:r>
      <w:hyperlink r:id="rId6" w:history="1">
        <w:r>
          <w:rPr>
            <w:rFonts w:ascii="Verdana" w:hAnsi="Verdana" w:cs="Verdana"/>
            <w:i/>
            <w:iCs/>
            <w:color w:val="0000FF"/>
            <w:sz w:val="16"/>
            <w:szCs w:val="16"/>
            <w:u w:val="single"/>
            <w:lang w:val="es-ES" w:eastAsia="es-ES"/>
          </w:rPr>
          <w:t>sfonseca@ctp.go.cr</w:t>
        </w:r>
      </w:hyperlink>
      <w:r>
        <w:rPr>
          <w:rFonts w:ascii="Verdana" w:hAnsi="Verdana" w:cs="Verdana"/>
          <w:i/>
          <w:iCs/>
          <w:sz w:val="16"/>
          <w:szCs w:val="16"/>
          <w:lang w:val="es-ES" w:eastAsia="es-ES"/>
        </w:rPr>
        <w:t xml:space="preserve"> / Dirección de Asuntos Jurídicos a los correos </w:t>
      </w:r>
      <w:hyperlink r:id="rId7" w:history="1">
        <w:r>
          <w:rPr>
            <w:rFonts w:ascii="Verdana" w:hAnsi="Verdana" w:cs="Verdana"/>
            <w:i/>
            <w:iCs/>
            <w:color w:val="0000FF"/>
            <w:sz w:val="16"/>
            <w:szCs w:val="16"/>
            <w:u w:val="single"/>
            <w:lang w:val="es-ES" w:eastAsia="es-ES"/>
          </w:rPr>
          <w:t>scredas@ctp.go.cr</w:t>
        </w:r>
      </w:hyperlink>
      <w:r>
        <w:rPr>
          <w:rFonts w:ascii="Verdana" w:hAnsi="Verdana" w:cs="Verdana"/>
          <w:i/>
          <w:iCs/>
          <w:sz w:val="16"/>
          <w:szCs w:val="16"/>
          <w:lang w:val="es-ES" w:eastAsia="es-ES"/>
        </w:rPr>
        <w:t xml:space="preserve"> y </w:t>
      </w:r>
      <w:hyperlink r:id="rId8" w:history="1">
        <w:r>
          <w:rPr>
            <w:rFonts w:ascii="Verdana" w:hAnsi="Verdana" w:cs="Verdana"/>
            <w:i/>
            <w:iCs/>
            <w:color w:val="0000FF"/>
            <w:sz w:val="16"/>
            <w:szCs w:val="16"/>
            <w:u w:val="single"/>
            <w:lang w:val="es-ES" w:eastAsia="es-ES"/>
          </w:rPr>
          <w:t>slopez@ctp.go.cr</w:t>
        </w:r>
      </w:hyperlink>
      <w:r>
        <w:rPr>
          <w:rFonts w:ascii="Verdana" w:hAnsi="Verdana" w:cs="Verdana"/>
          <w:i/>
          <w:iCs/>
          <w:sz w:val="16"/>
          <w:szCs w:val="16"/>
          <w:lang w:val="es-ES" w:eastAsia="es-ES"/>
        </w:rPr>
        <w:t xml:space="preserve"> / </w:t>
      </w:r>
      <w:proofErr w:type="spellStart"/>
      <w:r>
        <w:rPr>
          <w:rFonts w:ascii="Verdana" w:hAnsi="Verdana" w:cs="Verdana"/>
          <w:i/>
          <w:iCs/>
          <w:sz w:val="16"/>
          <w:szCs w:val="16"/>
          <w:lang w:val="es-ES" w:eastAsia="es-ES"/>
        </w:rPr>
        <w:t>Area</w:t>
      </w:r>
      <w:proofErr w:type="spellEnd"/>
      <w:r>
        <w:rPr>
          <w:rFonts w:ascii="Verdana" w:hAnsi="Verdana" w:cs="Verdana"/>
          <w:i/>
          <w:iCs/>
          <w:sz w:val="16"/>
          <w:szCs w:val="16"/>
          <w:lang w:val="es-ES" w:eastAsia="es-ES"/>
        </w:rPr>
        <w:t xml:space="preserve"> Técnica al correo </w:t>
      </w:r>
      <w:hyperlink r:id="rId9" w:history="1">
        <w:r>
          <w:rPr>
            <w:rFonts w:ascii="Verdana" w:hAnsi="Verdana" w:cs="Verdana"/>
            <w:i/>
            <w:iCs/>
            <w:color w:val="0000FF"/>
            <w:sz w:val="16"/>
            <w:szCs w:val="16"/>
            <w:u w:val="single"/>
            <w:lang w:val="es-ES" w:eastAsia="es-ES"/>
          </w:rPr>
          <w:t>aorozco@ctp.go.cr</w:t>
        </w:r>
      </w:hyperlink>
    </w:p>
    <w:p w:rsidR="00B97307" w:rsidRDefault="00186D89">
      <w:pPr>
        <w:numPr>
          <w:ilvl w:val="0"/>
          <w:numId w:val="6"/>
        </w:numPr>
        <w:kinsoku w:val="0"/>
        <w:overflowPunct w:val="0"/>
        <w:autoSpaceDE/>
        <w:autoSpaceDN/>
        <w:adjustRightInd/>
        <w:spacing w:before="19" w:line="196" w:lineRule="exact"/>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 xml:space="preserve">Se declara </w:t>
      </w:r>
      <w:proofErr w:type="gramStart"/>
      <w:r>
        <w:rPr>
          <w:rFonts w:ascii="Verdana" w:hAnsi="Verdana" w:cs="Verdana"/>
          <w:b/>
          <w:bCs/>
          <w:i/>
          <w:iCs/>
          <w:sz w:val="16"/>
          <w:szCs w:val="16"/>
          <w:lang w:val="es-ES" w:eastAsia="es-ES"/>
        </w:rPr>
        <w:t>firme.-</w:t>
      </w:r>
      <w:proofErr w:type="gramEnd"/>
      <w:r>
        <w:rPr>
          <w:rFonts w:ascii="Verdana" w:hAnsi="Verdana" w:cs="Verdana"/>
          <w:b/>
          <w:bCs/>
          <w:i/>
          <w:iCs/>
          <w:sz w:val="16"/>
          <w:szCs w:val="16"/>
          <w:lang w:val="es-ES" w:eastAsia="es-ES"/>
        </w:rPr>
        <w:t>"</w:t>
      </w:r>
    </w:p>
    <w:p w:rsidR="00B97307" w:rsidRDefault="00186D89">
      <w:pPr>
        <w:kinsoku w:val="0"/>
        <w:overflowPunct w:val="0"/>
        <w:autoSpaceDE/>
        <w:autoSpaceDN/>
        <w:adjustRightInd/>
        <w:spacing w:before="268" w:line="296" w:lineRule="exact"/>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SEXTO: </w:t>
      </w:r>
      <w:r>
        <w:rPr>
          <w:rFonts w:ascii="Verdana" w:hAnsi="Verdana" w:cs="Verdana"/>
          <w:spacing w:val="-2"/>
          <w:sz w:val="24"/>
          <w:szCs w:val="24"/>
          <w:lang w:val="es-ES" w:eastAsia="es-ES"/>
        </w:rPr>
        <w:t>En respuesta a prevención que hiciera el Tribunal Administrativo de Transporte, la empresa recurrente se apersona y aporta copia del oficio que ella junto a otras empresas de Transporte remunerado de personas en vehículos modalidad autobús, presentaran ante el CTP el 1 de agosto. de 2017 mediante expediente de ventanilla única 342974, solicitando una</w:t>
      </w:r>
    </w:p>
    <w:p w:rsidR="00B97307" w:rsidRDefault="00B97307">
      <w:pPr>
        <w:widowControl/>
        <w:rPr>
          <w:sz w:val="24"/>
          <w:szCs w:val="24"/>
        </w:rPr>
        <w:sectPr w:rsidR="00B97307">
          <w:pgSz w:w="12278" w:h="15725"/>
          <w:pgMar w:top="760" w:right="1605" w:bottom="289" w:left="1673" w:header="720" w:footer="720" w:gutter="0"/>
          <w:cols w:space="720"/>
          <w:noEndnote/>
        </w:sectPr>
      </w:pPr>
    </w:p>
    <w:p w:rsidR="00B97307" w:rsidRDefault="00186D89">
      <w:pPr>
        <w:kinsoku w:val="0"/>
        <w:overflowPunct w:val="0"/>
        <w:autoSpaceDE/>
        <w:autoSpaceDN/>
        <w:adjustRightInd/>
        <w:spacing w:before="10" w:line="292" w:lineRule="exact"/>
        <w:ind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prórroga de quince días para la presentación de la indicación de cual organismo realizaría el estudio de calidad. (ver folios 124, 125,126, 127 y128 del expediente administrativo)</w:t>
      </w:r>
    </w:p>
    <w:p w:rsidR="00B97307" w:rsidRDefault="00186D89">
      <w:pPr>
        <w:kinsoku w:val="0"/>
        <w:overflowPunct w:val="0"/>
        <w:autoSpaceDE/>
        <w:autoSpaceDN/>
        <w:adjustRightInd/>
        <w:spacing w:before="294" w:line="292" w:lineRule="exact"/>
        <w:ind w:right="144"/>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SETIMO: </w:t>
      </w:r>
      <w:r>
        <w:rPr>
          <w:rFonts w:ascii="Verdana" w:hAnsi="Verdana" w:cs="Verdana"/>
          <w:spacing w:val="-1"/>
          <w:sz w:val="24"/>
          <w:szCs w:val="24"/>
          <w:lang w:val="es-ES" w:eastAsia="es-ES"/>
        </w:rPr>
        <w:t>En respuesta a prevención que realizara el Tribunal Administrativo de Transporte, la ingeniera Aura Álvarez Orozco jefe de la Dirección Técnica del CTP, indica que aporta copia del correo electrónico remitido a M</w:t>
      </w:r>
      <w:r w:rsidR="00F142D7">
        <w:rPr>
          <w:rFonts w:ascii="Verdana" w:hAnsi="Verdana" w:cs="Verdana"/>
          <w:spacing w:val="-1"/>
          <w:sz w:val="24"/>
          <w:szCs w:val="24"/>
          <w:lang w:val="es-ES" w:eastAsia="es-ES"/>
        </w:rPr>
        <w:t>.D.P.O.</w:t>
      </w:r>
      <w:r>
        <w:rPr>
          <w:rFonts w:ascii="Verdana" w:hAnsi="Verdana" w:cs="Verdana"/>
          <w:spacing w:val="-1"/>
          <w:sz w:val="24"/>
          <w:szCs w:val="24"/>
          <w:lang w:val="es-ES" w:eastAsia="es-ES"/>
        </w:rPr>
        <w:t>, (representante de las empr</w:t>
      </w:r>
      <w:r w:rsidR="00F142D7">
        <w:rPr>
          <w:rFonts w:ascii="Verdana" w:hAnsi="Verdana" w:cs="Verdana"/>
          <w:spacing w:val="-1"/>
          <w:sz w:val="24"/>
          <w:szCs w:val="24"/>
          <w:lang w:val="es-ES" w:eastAsia="es-ES"/>
        </w:rPr>
        <w:t>e</w:t>
      </w:r>
      <w:r>
        <w:rPr>
          <w:rFonts w:ascii="Verdana" w:hAnsi="Verdana" w:cs="Verdana"/>
          <w:spacing w:val="-1"/>
          <w:sz w:val="24"/>
          <w:szCs w:val="24"/>
          <w:lang w:val="es-ES" w:eastAsia="es-ES"/>
        </w:rPr>
        <w:t>sas y quien suscribió en nombre de estas la solicitud de prorroga), en el que indica que hacen acuse de recibo del expediente de ventanilla única 342974. (ver folios 141 y142 del expediente administrativo).</w:t>
      </w:r>
    </w:p>
    <w:p w:rsidR="00B97307" w:rsidRDefault="00186D89">
      <w:pPr>
        <w:kinsoku w:val="0"/>
        <w:overflowPunct w:val="0"/>
        <w:autoSpaceDE/>
        <w:autoSpaceDN/>
        <w:adjustRightInd/>
        <w:spacing w:before="296" w:line="292" w:lineRule="exact"/>
        <w:ind w:right="144"/>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OCTAVO: </w:t>
      </w:r>
      <w:r>
        <w:rPr>
          <w:rFonts w:ascii="Verdana" w:hAnsi="Verdana" w:cs="Verdana"/>
          <w:spacing w:val="-2"/>
          <w:sz w:val="24"/>
          <w:szCs w:val="24"/>
          <w:lang w:val="es-ES" w:eastAsia="es-ES"/>
        </w:rPr>
        <w:t xml:space="preserve">Debido a prevención que realizara un Juez de este Tribunal mediante </w:t>
      </w:r>
      <w:r>
        <w:rPr>
          <w:rFonts w:ascii="Verdana" w:hAnsi="Verdana" w:cs="Verdana"/>
          <w:b/>
          <w:bCs/>
          <w:spacing w:val="-2"/>
          <w:sz w:val="24"/>
          <w:szCs w:val="24"/>
          <w:lang w:val="es-ES" w:eastAsia="es-ES"/>
        </w:rPr>
        <w:t xml:space="preserve">Oficio DTE-2018-0321 del 18 de junio del 2018, la Dirección Técnica del Consejo de Transporte Público, </w:t>
      </w:r>
      <w:r>
        <w:rPr>
          <w:rFonts w:ascii="Verdana" w:hAnsi="Verdana" w:cs="Verdana"/>
          <w:spacing w:val="-2"/>
          <w:sz w:val="24"/>
          <w:szCs w:val="24"/>
          <w:lang w:val="es-ES" w:eastAsia="es-ES"/>
        </w:rPr>
        <w:t xml:space="preserve">informa que efectivamente casi la generalidad de las empresas que han recurrido el </w:t>
      </w:r>
      <w:r>
        <w:rPr>
          <w:rFonts w:ascii="Verdana" w:hAnsi="Verdana" w:cs="Verdana"/>
          <w:b/>
          <w:bCs/>
          <w:spacing w:val="-2"/>
          <w:sz w:val="24"/>
          <w:szCs w:val="24"/>
          <w:lang w:val="es-ES" w:eastAsia="es-ES"/>
        </w:rPr>
        <w:t xml:space="preserve">acuerdo No. 7.12 de la Sesión Ordinaria No. 34-2017 del 30 de Agosto del año 2017, </w:t>
      </w:r>
      <w:r>
        <w:rPr>
          <w:rFonts w:ascii="Verdana" w:hAnsi="Verdana" w:cs="Verdana"/>
          <w:spacing w:val="-2"/>
          <w:sz w:val="24"/>
          <w:szCs w:val="24"/>
          <w:lang w:val="es-ES" w:eastAsia="es-ES"/>
        </w:rPr>
        <w:t>y que estaban representadas por la L</w:t>
      </w:r>
      <w:r w:rsidR="00F142D7">
        <w:rPr>
          <w:rFonts w:ascii="Verdana" w:hAnsi="Verdana" w:cs="Verdana"/>
          <w:spacing w:val="-2"/>
          <w:sz w:val="24"/>
          <w:szCs w:val="24"/>
          <w:lang w:val="es-ES" w:eastAsia="es-ES"/>
        </w:rPr>
        <w:t>.M.D.P.O.H.</w:t>
      </w:r>
      <w:r>
        <w:rPr>
          <w:rFonts w:ascii="Verdana" w:hAnsi="Verdana" w:cs="Verdana"/>
          <w:spacing w:val="-2"/>
          <w:sz w:val="24"/>
          <w:szCs w:val="24"/>
          <w:lang w:val="es-ES" w:eastAsia="es-ES"/>
        </w:rPr>
        <w:t xml:space="preserve">, </w:t>
      </w:r>
      <w:r>
        <w:rPr>
          <w:rFonts w:ascii="Verdana" w:hAnsi="Verdana" w:cs="Verdana"/>
          <w:b/>
          <w:bCs/>
          <w:spacing w:val="-2"/>
          <w:sz w:val="24"/>
          <w:szCs w:val="24"/>
          <w:lang w:val="es-ES" w:eastAsia="es-ES"/>
        </w:rPr>
        <w:t xml:space="preserve">CUMPLIERON CON LA PRESENTACIÓN DE LOS ESTUDIOS DE CONTROL DE CALIDAD CON UN ORGANISMO ACREDITADO ANTE EL ECA. </w:t>
      </w:r>
      <w:r>
        <w:rPr>
          <w:rFonts w:ascii="Verdana" w:hAnsi="Verdana" w:cs="Verdana"/>
          <w:spacing w:val="-2"/>
          <w:sz w:val="24"/>
          <w:szCs w:val="24"/>
          <w:lang w:val="es-ES" w:eastAsia="es-ES"/>
        </w:rPr>
        <w:t>(ver folios del 143 al 145 del expediente administrativo)</w:t>
      </w:r>
    </w:p>
    <w:p w:rsidR="00B97307" w:rsidRDefault="00186D89">
      <w:pPr>
        <w:kinsoku w:val="0"/>
        <w:overflowPunct w:val="0"/>
        <w:autoSpaceDE/>
        <w:autoSpaceDN/>
        <w:adjustRightInd/>
        <w:spacing w:before="285" w:line="292"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NOVENO: </w:t>
      </w:r>
      <w:r>
        <w:rPr>
          <w:rFonts w:ascii="Verdana" w:hAnsi="Verdana" w:cs="Verdana"/>
          <w:sz w:val="24"/>
          <w:szCs w:val="24"/>
          <w:lang w:val="es-ES" w:eastAsia="es-ES"/>
        </w:rPr>
        <w:t>En los procedimientos seguidos se han observado las prescripciones legales.</w:t>
      </w:r>
    </w:p>
    <w:p w:rsidR="00B97307" w:rsidRDefault="00186D89">
      <w:pPr>
        <w:kinsoku w:val="0"/>
        <w:overflowPunct w:val="0"/>
        <w:autoSpaceDE/>
        <w:autoSpaceDN/>
        <w:adjustRightInd/>
        <w:spacing w:before="291" w:line="294"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el Juez Muñoz Corea; y,</w:t>
      </w:r>
    </w:p>
    <w:p w:rsidR="00B97307" w:rsidRDefault="00186D89">
      <w:pPr>
        <w:kinsoku w:val="0"/>
        <w:overflowPunct w:val="0"/>
        <w:autoSpaceDE/>
        <w:autoSpaceDN/>
        <w:adjustRightInd/>
        <w:spacing w:before="294" w:line="288"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w:t>
      </w:r>
    </w:p>
    <w:p w:rsidR="00B97307" w:rsidRDefault="00186D89">
      <w:pPr>
        <w:numPr>
          <w:ilvl w:val="0"/>
          <w:numId w:val="7"/>
        </w:numPr>
        <w:kinsoku w:val="0"/>
        <w:overflowPunct w:val="0"/>
        <w:autoSpaceDE/>
        <w:autoSpaceDN/>
        <w:adjustRightInd/>
        <w:spacing w:before="558" w:line="292"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COMPETENCIA: </w:t>
      </w:r>
      <w:r>
        <w:rPr>
          <w:rFonts w:ascii="Verdana" w:hAnsi="Verdana" w:cs="Verdana"/>
          <w:sz w:val="24"/>
          <w:szCs w:val="24"/>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w:t>
      </w:r>
    </w:p>
    <w:p w:rsidR="00B97307" w:rsidRDefault="00186D89">
      <w:pPr>
        <w:numPr>
          <w:ilvl w:val="0"/>
          <w:numId w:val="8"/>
        </w:numPr>
        <w:kinsoku w:val="0"/>
        <w:overflowPunct w:val="0"/>
        <w:autoSpaceDE/>
        <w:autoSpaceDN/>
        <w:adjustRightInd/>
        <w:spacing w:before="353" w:after="601" w:line="292" w:lineRule="exact"/>
        <w:ind w:right="144"/>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SOBRE LA ADMISIBILIDAD DEL RECURSO: </w:t>
      </w:r>
      <w:r>
        <w:rPr>
          <w:rFonts w:ascii="Verdana" w:hAnsi="Verdana" w:cs="Verdana"/>
          <w:b/>
          <w:bCs/>
          <w:spacing w:val="-3"/>
          <w:sz w:val="24"/>
          <w:szCs w:val="24"/>
          <w:u w:val="single"/>
          <w:lang w:val="es-ES" w:eastAsia="es-ES"/>
        </w:rPr>
        <w:t xml:space="preserve">En cuanto a </w:t>
      </w:r>
      <w:proofErr w:type="gramStart"/>
      <w:r>
        <w:rPr>
          <w:rFonts w:ascii="Verdana" w:hAnsi="Verdana" w:cs="Verdana"/>
          <w:b/>
          <w:bCs/>
          <w:spacing w:val="-3"/>
          <w:sz w:val="24"/>
          <w:szCs w:val="24"/>
          <w:u w:val="single"/>
          <w:lang w:val="es-ES" w:eastAsia="es-ES"/>
        </w:rPr>
        <w:t>la  Legitimación</w:t>
      </w:r>
      <w:proofErr w:type="gramEnd"/>
      <w:r>
        <w:rPr>
          <w:rFonts w:ascii="Verdana" w:hAnsi="Verdana" w:cs="Verdana"/>
          <w:b/>
          <w:bCs/>
          <w:spacing w:val="-3"/>
          <w:sz w:val="24"/>
          <w:szCs w:val="24"/>
          <w:u w:val="single"/>
          <w:lang w:val="es-ES" w:eastAsia="es-ES"/>
        </w:rPr>
        <w:t>:</w:t>
      </w:r>
      <w:r>
        <w:rPr>
          <w:rFonts w:ascii="Verdana" w:hAnsi="Verdana" w:cs="Verdana"/>
          <w:spacing w:val="-3"/>
          <w:sz w:val="24"/>
          <w:szCs w:val="24"/>
          <w:lang w:val="es-ES" w:eastAsia="es-ES"/>
        </w:rPr>
        <w:t xml:space="preserve"> A la empresa </w:t>
      </w:r>
      <w:r>
        <w:rPr>
          <w:rFonts w:ascii="Verdana" w:hAnsi="Verdana" w:cs="Verdana"/>
          <w:b/>
          <w:bCs/>
          <w:spacing w:val="-3"/>
          <w:sz w:val="24"/>
          <w:szCs w:val="24"/>
          <w:lang w:val="es-ES" w:eastAsia="es-ES"/>
        </w:rPr>
        <w:t>V</w:t>
      </w:r>
      <w:r w:rsidR="00F142D7">
        <w:rPr>
          <w:rFonts w:ascii="Verdana" w:hAnsi="Verdana" w:cs="Verdana"/>
          <w:b/>
          <w:bCs/>
          <w:spacing w:val="-3"/>
          <w:sz w:val="24"/>
          <w:szCs w:val="24"/>
          <w:lang w:val="es-ES" w:eastAsia="es-ES"/>
        </w:rPr>
        <w:t>.E.Y.M.S.A.</w:t>
      </w:r>
      <w:r>
        <w:rPr>
          <w:rFonts w:ascii="Verdana" w:hAnsi="Verdana" w:cs="Verdana"/>
          <w:b/>
          <w:bCs/>
          <w:spacing w:val="-3"/>
          <w:sz w:val="24"/>
          <w:szCs w:val="24"/>
          <w:lang w:val="es-ES" w:eastAsia="es-ES"/>
        </w:rPr>
        <w:t xml:space="preserve">, cédula jurídica número </w:t>
      </w:r>
      <w:r w:rsidR="00F142D7">
        <w:rPr>
          <w:rFonts w:ascii="Verdana" w:hAnsi="Verdana" w:cs="Verdana"/>
          <w:b/>
          <w:bCs/>
          <w:spacing w:val="-3"/>
          <w:sz w:val="24"/>
          <w:szCs w:val="24"/>
          <w:lang w:val="es-ES" w:eastAsia="es-ES"/>
        </w:rPr>
        <w:t>…</w:t>
      </w:r>
      <w:r>
        <w:rPr>
          <w:rFonts w:ascii="Verdana" w:hAnsi="Verdana" w:cs="Verdana"/>
          <w:b/>
          <w:bCs/>
          <w:spacing w:val="-3"/>
          <w:sz w:val="24"/>
          <w:szCs w:val="24"/>
          <w:lang w:val="es-ES" w:eastAsia="es-ES"/>
        </w:rPr>
        <w:t xml:space="preserve">, </w:t>
      </w:r>
      <w:r>
        <w:rPr>
          <w:rFonts w:ascii="Verdana" w:hAnsi="Verdana" w:cs="Verdana"/>
          <w:spacing w:val="-3"/>
          <w:sz w:val="24"/>
          <w:szCs w:val="24"/>
          <w:lang w:val="es-ES" w:eastAsia="es-ES"/>
        </w:rPr>
        <w:t xml:space="preserve">mediante el acuerdo impugnado se le rechazo solicitud de aplicación de excepción contemplada en acuerdo 7.18 de la Sesión ordinaria 23-2017, la cual fue presentada el 18 de agosto de 2017, por lo tanto cuentan con la Legitimación suficiente para actuar en el presente asunto. </w:t>
      </w:r>
      <w:r>
        <w:rPr>
          <w:rFonts w:ascii="Verdana" w:hAnsi="Verdana" w:cs="Verdana"/>
          <w:b/>
          <w:bCs/>
          <w:spacing w:val="-3"/>
          <w:sz w:val="24"/>
          <w:szCs w:val="24"/>
          <w:u w:val="single"/>
          <w:lang w:val="es-ES" w:eastAsia="es-ES"/>
        </w:rPr>
        <w:t>En cuanto al plazo:</w:t>
      </w:r>
      <w:r>
        <w:rPr>
          <w:rFonts w:ascii="Verdana" w:hAnsi="Verdana" w:cs="Verdana"/>
          <w:spacing w:val="-3"/>
          <w:sz w:val="24"/>
          <w:szCs w:val="24"/>
          <w:lang w:val="es-ES" w:eastAsia="es-ES"/>
        </w:rPr>
        <w:t xml:space="preserve"> Conforme al estudio efectuado</w:t>
      </w:r>
    </w:p>
    <w:p w:rsidR="00B97307" w:rsidRDefault="00B97307">
      <w:pPr>
        <w:widowControl/>
        <w:rPr>
          <w:sz w:val="24"/>
          <w:szCs w:val="24"/>
        </w:rPr>
        <w:sectPr w:rsidR="00B97307">
          <w:pgSz w:w="12278" w:h="15773"/>
          <w:pgMar w:top="1000" w:right="1478" w:bottom="186" w:left="1800" w:header="720" w:footer="720" w:gutter="0"/>
          <w:cols w:space="720"/>
          <w:noEndnote/>
        </w:sectPr>
      </w:pPr>
    </w:p>
    <w:p w:rsidR="00B97307" w:rsidRDefault="00B97307">
      <w:pPr>
        <w:widowControl/>
        <w:rPr>
          <w:sz w:val="24"/>
          <w:szCs w:val="24"/>
        </w:rPr>
        <w:sectPr w:rsidR="00B97307">
          <w:type w:val="continuous"/>
          <w:pgSz w:w="12278" w:h="15773"/>
          <w:pgMar w:top="1000" w:right="1903" w:bottom="186" w:left="8875" w:header="720" w:footer="720" w:gutter="0"/>
          <w:cols w:space="720"/>
          <w:noEndnote/>
        </w:sectPr>
      </w:pPr>
    </w:p>
    <w:p w:rsidR="00B97307" w:rsidRDefault="00186D89">
      <w:pPr>
        <w:kinsoku w:val="0"/>
        <w:overflowPunct w:val="0"/>
        <w:autoSpaceDE/>
        <w:autoSpaceDN/>
        <w:adjustRightInd/>
        <w:spacing w:before="22" w:line="28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el Recurso de Apelación fue presentado dentro del plazo legal establecido para tal fin, en los términos del artículo 11 de la Ley 7969.</w:t>
      </w:r>
    </w:p>
    <w:p w:rsidR="00B97307" w:rsidRDefault="00186D89">
      <w:pPr>
        <w:kinsoku w:val="0"/>
        <w:overflowPunct w:val="0"/>
        <w:autoSpaceDE/>
        <w:autoSpaceDN/>
        <w:adjustRightInd/>
        <w:spacing w:before="316" w:line="291" w:lineRule="exact"/>
        <w:ind w:left="72"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3.- SOBRE LOS HECHOS PROBADOS: </w:t>
      </w:r>
      <w:r>
        <w:rPr>
          <w:rFonts w:ascii="Verdana" w:hAnsi="Verdana" w:cs="Verdana"/>
          <w:spacing w:val="-3"/>
          <w:sz w:val="24"/>
          <w:szCs w:val="24"/>
          <w:lang w:val="es-ES" w:eastAsia="es-ES"/>
        </w:rPr>
        <w:t xml:space="preserve">De importancia para la decisión de este asunto, se estiman como debidamente demostrados los siguientes hechos por cuanto así han sido acreditados: </w:t>
      </w:r>
      <w:r>
        <w:rPr>
          <w:rFonts w:ascii="Verdana" w:hAnsi="Verdana" w:cs="Verdana"/>
          <w:b/>
          <w:bCs/>
          <w:spacing w:val="-3"/>
          <w:sz w:val="24"/>
          <w:szCs w:val="24"/>
          <w:lang w:val="es-ES" w:eastAsia="es-ES"/>
        </w:rPr>
        <w:t xml:space="preserve">A).- </w:t>
      </w: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7.12.25 de la Sesión Ordinaria 34-2017 de 30 de agosto de 2017, celebrado por la Junta Directiva del Consejo de Transporte Público, </w:t>
      </w:r>
      <w:r>
        <w:rPr>
          <w:rFonts w:ascii="Verdana" w:hAnsi="Verdana" w:cs="Verdana"/>
          <w:spacing w:val="-3"/>
          <w:sz w:val="24"/>
          <w:szCs w:val="24"/>
          <w:lang w:val="es-ES" w:eastAsia="es-ES"/>
        </w:rPr>
        <w:t xml:space="preserve">dispuso </w:t>
      </w:r>
      <w:r>
        <w:rPr>
          <w:rFonts w:ascii="Verdana" w:hAnsi="Verdana" w:cs="Verdana"/>
          <w:i/>
          <w:iCs/>
          <w:spacing w:val="-3"/>
          <w:sz w:val="24"/>
          <w:szCs w:val="24"/>
          <w:lang w:val="es-ES" w:eastAsia="es-ES"/>
        </w:rPr>
        <w:t xml:space="preserve">"2; Declarar extemporánea la solicitud de excepcionalidad y/o dispensa, planteada por el señor </w:t>
      </w:r>
      <w:r>
        <w:rPr>
          <w:rFonts w:ascii="Verdana" w:hAnsi="Verdana" w:cs="Verdana"/>
          <w:b/>
          <w:bCs/>
          <w:i/>
          <w:iCs/>
          <w:spacing w:val="-3"/>
          <w:sz w:val="24"/>
          <w:szCs w:val="24"/>
          <w:lang w:val="es-ES" w:eastAsia="es-ES"/>
        </w:rPr>
        <w:t>M</w:t>
      </w:r>
      <w:r w:rsidR="00F142D7">
        <w:rPr>
          <w:rFonts w:ascii="Verdana" w:hAnsi="Verdana" w:cs="Verdana"/>
          <w:b/>
          <w:bCs/>
          <w:i/>
          <w:iCs/>
          <w:spacing w:val="-3"/>
          <w:sz w:val="24"/>
          <w:szCs w:val="24"/>
          <w:lang w:val="es-ES" w:eastAsia="es-ES"/>
        </w:rPr>
        <w:t>.G.A.</w:t>
      </w:r>
      <w:r>
        <w:rPr>
          <w:rFonts w:ascii="Verdana" w:hAnsi="Verdana" w:cs="Verdana"/>
          <w:b/>
          <w:bCs/>
          <w:i/>
          <w:iCs/>
          <w:spacing w:val="-3"/>
          <w:sz w:val="24"/>
          <w:szCs w:val="24"/>
          <w:lang w:val="es-ES" w:eastAsia="es-ES"/>
        </w:rPr>
        <w:t xml:space="preserve"> APODERADO GENERALISIMO SIN LIMITE DE SUMA DE LA FIRMA V</w:t>
      </w:r>
      <w:r w:rsidR="00F142D7">
        <w:rPr>
          <w:rFonts w:ascii="Verdana" w:hAnsi="Verdana" w:cs="Verdana"/>
          <w:b/>
          <w:bCs/>
          <w:i/>
          <w:iCs/>
          <w:spacing w:val="-3"/>
          <w:sz w:val="24"/>
          <w:szCs w:val="24"/>
          <w:lang w:val="es-ES" w:eastAsia="es-ES"/>
        </w:rPr>
        <w:t>.E.Y.M.S.A.</w:t>
      </w:r>
      <w:r>
        <w:rPr>
          <w:rFonts w:ascii="Verdana" w:hAnsi="Verdana" w:cs="Verdana"/>
          <w:b/>
          <w:bCs/>
          <w:i/>
          <w:iCs/>
          <w:spacing w:val="-3"/>
          <w:sz w:val="24"/>
          <w:szCs w:val="24"/>
          <w:lang w:val="es-ES" w:eastAsia="es-ES"/>
        </w:rPr>
        <w:t xml:space="preserve"> RUTA </w:t>
      </w:r>
      <w:proofErr w:type="spellStart"/>
      <w:r>
        <w:rPr>
          <w:rFonts w:ascii="Verdana" w:hAnsi="Verdana" w:cs="Verdana"/>
          <w:b/>
          <w:bCs/>
          <w:i/>
          <w:iCs/>
          <w:spacing w:val="-3"/>
          <w:sz w:val="24"/>
          <w:szCs w:val="24"/>
          <w:lang w:val="es-ES" w:eastAsia="es-ES"/>
        </w:rPr>
        <w:t>N°</w:t>
      </w:r>
      <w:proofErr w:type="spellEnd"/>
      <w:r>
        <w:rPr>
          <w:rFonts w:ascii="Verdana" w:hAnsi="Verdana" w:cs="Verdana"/>
          <w:b/>
          <w:bCs/>
          <w:i/>
          <w:iCs/>
          <w:spacing w:val="-3"/>
          <w:sz w:val="24"/>
          <w:szCs w:val="24"/>
          <w:lang w:val="es-ES" w:eastAsia="es-ES"/>
        </w:rPr>
        <w:t xml:space="preserve"> 366, </w:t>
      </w:r>
      <w:r>
        <w:rPr>
          <w:rFonts w:ascii="Verdana" w:hAnsi="Verdana" w:cs="Verdana"/>
          <w:i/>
          <w:iCs/>
          <w:spacing w:val="-3"/>
          <w:sz w:val="24"/>
          <w:szCs w:val="24"/>
          <w:lang w:val="es-ES" w:eastAsia="es-ES"/>
        </w:rPr>
        <w:t xml:space="preserve">en virtud de lo establecido en el punto </w:t>
      </w:r>
      <w:proofErr w:type="spellStart"/>
      <w:r>
        <w:rPr>
          <w:rFonts w:ascii="Verdana" w:hAnsi="Verdana" w:cs="Verdana"/>
          <w:i/>
          <w:iCs/>
          <w:spacing w:val="-3"/>
          <w:sz w:val="24"/>
          <w:szCs w:val="24"/>
          <w:lang w:val="es-ES" w:eastAsia="es-ES"/>
        </w:rPr>
        <w:t>N°</w:t>
      </w:r>
      <w:proofErr w:type="spellEnd"/>
      <w:r>
        <w:rPr>
          <w:rFonts w:ascii="Verdana" w:hAnsi="Verdana" w:cs="Verdana"/>
          <w:i/>
          <w:iCs/>
          <w:spacing w:val="-3"/>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fundamentos y exposiciones emitidas anteriormente. (...)". </w:t>
      </w:r>
      <w:r>
        <w:rPr>
          <w:rFonts w:ascii="Verdana" w:hAnsi="Verdana" w:cs="Verdana"/>
          <w:spacing w:val="-3"/>
          <w:sz w:val="24"/>
          <w:szCs w:val="24"/>
          <w:lang w:val="es-ES" w:eastAsia="es-ES"/>
        </w:rPr>
        <w:t>(Léase folio 13 cara y vuelto del expediente administrativo)</w:t>
      </w:r>
    </w:p>
    <w:p w:rsidR="00B97307" w:rsidRDefault="00186D89">
      <w:pPr>
        <w:numPr>
          <w:ilvl w:val="0"/>
          <w:numId w:val="9"/>
        </w:numPr>
        <w:kinsoku w:val="0"/>
        <w:overflowPunct w:val="0"/>
        <w:autoSpaceDE/>
        <w:autoSpaceDN/>
        <w:adjustRightInd/>
        <w:spacing w:before="534"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empresa recurrente, impugna el </w:t>
      </w:r>
      <w:r>
        <w:rPr>
          <w:rFonts w:ascii="Verdana" w:hAnsi="Verdana" w:cs="Verdana"/>
          <w:b/>
          <w:bCs/>
          <w:sz w:val="24"/>
          <w:szCs w:val="24"/>
          <w:lang w:val="es-ES" w:eastAsia="es-ES"/>
        </w:rPr>
        <w:t xml:space="preserve">Artículo 7.12.25 de la Sesión Ordinaria 34-2017 de 30 de agosto de 2017, </w:t>
      </w:r>
      <w:r>
        <w:rPr>
          <w:rFonts w:ascii="Verdana" w:hAnsi="Verdana" w:cs="Verdana"/>
          <w:sz w:val="24"/>
          <w:szCs w:val="24"/>
          <w:lang w:val="es-ES" w:eastAsia="es-ES"/>
        </w:rPr>
        <w:t xml:space="preserve">basándose en que la Junta Directiva del CTP acordó en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 xml:space="preserve">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(Léanse folios del 10 vuelto y 11 del expediente administrativo)</w:t>
      </w:r>
    </w:p>
    <w:p w:rsidR="00B97307" w:rsidRDefault="00186D89">
      <w:pPr>
        <w:numPr>
          <w:ilvl w:val="0"/>
          <w:numId w:val="9"/>
        </w:numPr>
        <w:kinsoku w:val="0"/>
        <w:overflowPunct w:val="0"/>
        <w:autoSpaceDE/>
        <w:autoSpaceDN/>
        <w:adjustRightInd/>
        <w:spacing w:before="274" w:line="291"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7.6.1 de la Sesión Ordinaria 17-2018 de 3 de mayo de 2018, </w:t>
      </w:r>
      <w:r>
        <w:rPr>
          <w:rFonts w:ascii="Verdana" w:hAnsi="Verdana" w:cs="Verdana"/>
          <w:sz w:val="24"/>
          <w:szCs w:val="24"/>
          <w:lang w:val="es-ES" w:eastAsia="es-ES"/>
        </w:rPr>
        <w:t xml:space="preserve">conoce y avala el Informe de la Dirección de Asuntos Jurídicos el </w:t>
      </w:r>
      <w:r>
        <w:rPr>
          <w:rFonts w:ascii="Verdana" w:hAnsi="Verdana" w:cs="Verdana"/>
          <w:b/>
          <w:bCs/>
          <w:sz w:val="24"/>
          <w:szCs w:val="24"/>
          <w:lang w:val="es-ES" w:eastAsia="es-ES"/>
        </w:rPr>
        <w:t>DA</w:t>
      </w:r>
      <w:r w:rsidR="00F142D7">
        <w:rPr>
          <w:rFonts w:ascii="Verdana" w:hAnsi="Verdana" w:cs="Verdana"/>
          <w:b/>
          <w:bCs/>
          <w:sz w:val="24"/>
          <w:szCs w:val="24"/>
          <w:lang w:val="es-ES" w:eastAsia="es-ES"/>
        </w:rPr>
        <w:t>J</w:t>
      </w:r>
      <w:r>
        <w:rPr>
          <w:rFonts w:ascii="Verdana" w:hAnsi="Verdana" w:cs="Verdana"/>
          <w:b/>
          <w:bCs/>
          <w:sz w:val="24"/>
          <w:szCs w:val="24"/>
          <w:lang w:val="es-ES" w:eastAsia="es-ES"/>
        </w:rPr>
        <w:t xml:space="preserve">- 2018-000708 de 23 de abril de 2018, </w:t>
      </w:r>
      <w:r>
        <w:rPr>
          <w:rFonts w:ascii="Verdana" w:hAnsi="Verdana" w:cs="Verdana"/>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9 del expediente administrativo.)</w:t>
      </w:r>
    </w:p>
    <w:p w:rsidR="00B97307" w:rsidRDefault="00186D89">
      <w:pPr>
        <w:numPr>
          <w:ilvl w:val="0"/>
          <w:numId w:val="9"/>
        </w:numPr>
        <w:kinsoku w:val="0"/>
        <w:overflowPunct w:val="0"/>
        <w:autoSpaceDE/>
        <w:autoSpaceDN/>
        <w:adjustRightInd/>
        <w:spacing w:before="296" w:line="297"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 xml:space="preserve">causa una confusión en los administrados pues dispuso 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(ver folios 130 al 134 del expediente administrativo)</w:t>
      </w:r>
    </w:p>
    <w:p w:rsidR="00B97307" w:rsidRDefault="00186D89">
      <w:pPr>
        <w:kinsoku w:val="0"/>
        <w:overflowPunct w:val="0"/>
        <w:autoSpaceDE/>
        <w:autoSpaceDN/>
        <w:adjustRightInd/>
        <w:spacing w:before="297" w:line="292"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E</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Queda demostrado fehacientemente que la empresa recurrente junto a otras empresas de Transporte remunerado de personas en vehículos modalidad autobús, presentaron ante el CTP el 1 de agosto de</w:t>
      </w:r>
    </w:p>
    <w:p w:rsidR="00B97307" w:rsidRDefault="00B97307">
      <w:pPr>
        <w:widowControl/>
        <w:rPr>
          <w:sz w:val="24"/>
          <w:szCs w:val="24"/>
        </w:rPr>
        <w:sectPr w:rsidR="00B97307">
          <w:pgSz w:w="12278" w:h="15773"/>
          <w:pgMar w:top="760" w:right="1634" w:bottom="317" w:left="1644" w:header="720" w:footer="720" w:gutter="0"/>
          <w:cols w:space="720"/>
          <w:noEndnote/>
        </w:sectPr>
      </w:pPr>
    </w:p>
    <w:p w:rsidR="00B97307" w:rsidRDefault="00186D89">
      <w:pPr>
        <w:kinsoku w:val="0"/>
        <w:overflowPunct w:val="0"/>
        <w:autoSpaceDE/>
        <w:autoSpaceDN/>
        <w:adjustRightInd/>
        <w:spacing w:before="12"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2017 mediante expediente de ventanilla única 342974, solicitud de prórroga de quince días para la presentación de la indicación de cual organismo realizaría el estudio de calidad, petición que nunca obtuvo respuesta de parte del CTP. (ver folios 124, 126,127, 128, 141 y 142 del expediente administrativo)</w:t>
      </w:r>
    </w:p>
    <w:p w:rsidR="00B97307" w:rsidRDefault="00186D89">
      <w:pPr>
        <w:kinsoku w:val="0"/>
        <w:overflowPunct w:val="0"/>
        <w:autoSpaceDE/>
        <w:autoSpaceDN/>
        <w:adjustRightInd/>
        <w:spacing w:before="274" w:line="295"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F</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Se tiene por demostrado que la recurrente </w:t>
      </w:r>
      <w:r>
        <w:rPr>
          <w:rFonts w:ascii="Verdana" w:hAnsi="Verdana" w:cs="Verdana"/>
          <w:b/>
          <w:bCs/>
          <w:sz w:val="24"/>
          <w:szCs w:val="24"/>
          <w:lang w:val="es-ES" w:eastAsia="es-ES"/>
        </w:rPr>
        <w:t xml:space="preserve">cumplió con la presentación de los estudios de control de calidad del 2017 con un organismo acreditado ante el ECA. </w:t>
      </w:r>
      <w:r>
        <w:rPr>
          <w:rFonts w:ascii="Verdana" w:hAnsi="Verdana" w:cs="Verdana"/>
          <w:sz w:val="24"/>
          <w:szCs w:val="24"/>
          <w:lang w:val="es-ES" w:eastAsia="es-ES"/>
        </w:rPr>
        <w:t>(ver folios del 143 al 145 del expediente administrativo)</w:t>
      </w:r>
    </w:p>
    <w:p w:rsidR="00B97307" w:rsidRDefault="00186D89">
      <w:pPr>
        <w:numPr>
          <w:ilvl w:val="0"/>
          <w:numId w:val="10"/>
        </w:numPr>
        <w:kinsoku w:val="0"/>
        <w:overflowPunct w:val="0"/>
        <w:autoSpaceDE/>
        <w:autoSpaceDN/>
        <w:adjustRightInd/>
        <w:spacing w:before="293" w:line="295"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B97307" w:rsidRDefault="00186D89">
      <w:pPr>
        <w:numPr>
          <w:ilvl w:val="0"/>
          <w:numId w:val="10"/>
        </w:numPr>
        <w:kinsoku w:val="0"/>
        <w:overflowPunct w:val="0"/>
        <w:autoSpaceDE/>
        <w:autoSpaceDN/>
        <w:adjustRightInd/>
        <w:spacing w:line="582"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OBJETO DEL RECURSO.</w:t>
      </w:r>
    </w:p>
    <w:p w:rsidR="00B97307" w:rsidRDefault="00186D89">
      <w:pPr>
        <w:kinsoku w:val="0"/>
        <w:overflowPunct w:val="0"/>
        <w:autoSpaceDE/>
        <w:autoSpaceDN/>
        <w:adjustRightInd/>
        <w:spacing w:before="280" w:line="294"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El presente Recurso de Apelación, tiene como objeto la revocación del </w:t>
      </w:r>
      <w:r>
        <w:rPr>
          <w:rFonts w:ascii="Verdana" w:hAnsi="Verdana" w:cs="Verdana"/>
          <w:b/>
          <w:bCs/>
          <w:spacing w:val="-1"/>
          <w:sz w:val="24"/>
          <w:szCs w:val="24"/>
          <w:lang w:val="es-ES" w:eastAsia="es-ES"/>
        </w:rPr>
        <w:t xml:space="preserve">artículo 7.12.25 de la Sesión Ordinaria 34-2017 de 30 de agosto de 2017, celebrado por la Junta Directiva del Consejo de Transporte Público, </w:t>
      </w:r>
      <w:r>
        <w:rPr>
          <w:rFonts w:ascii="Verdana" w:hAnsi="Verdana" w:cs="Verdana"/>
          <w:spacing w:val="-1"/>
          <w:sz w:val="24"/>
          <w:szCs w:val="24"/>
          <w:lang w:val="es-ES" w:eastAsia="es-ES"/>
        </w:rPr>
        <w:t>de modo que se autorice a la recurrente la solicitud de extensión de plazo, y pueda presentar con posterioridad al 1 de agosto de 2017 la indicación de la empresa que les realizará el estudio de calidad del servicio.</w:t>
      </w:r>
    </w:p>
    <w:p w:rsidR="00B97307" w:rsidRDefault="00186D89">
      <w:pPr>
        <w:kinsoku w:val="0"/>
        <w:overflowPunct w:val="0"/>
        <w:autoSpaceDE/>
        <w:autoSpaceDN/>
        <w:adjustRightInd/>
        <w:spacing w:before="285" w:line="280" w:lineRule="exact"/>
        <w:ind w:left="72" w:right="72"/>
        <w:textAlignment w:val="baseline"/>
        <w:rPr>
          <w:rFonts w:ascii="Verdana" w:hAnsi="Verdana" w:cs="Verdana"/>
          <w:b/>
          <w:bCs/>
          <w:spacing w:val="-13"/>
          <w:sz w:val="24"/>
          <w:szCs w:val="24"/>
          <w:lang w:val="es-ES" w:eastAsia="es-ES"/>
        </w:rPr>
      </w:pPr>
      <w:r>
        <w:rPr>
          <w:rFonts w:ascii="Verdana" w:hAnsi="Verdana" w:cs="Verdana"/>
          <w:b/>
          <w:bCs/>
          <w:spacing w:val="-13"/>
          <w:sz w:val="24"/>
          <w:szCs w:val="24"/>
          <w:lang w:val="es-ES" w:eastAsia="es-ES"/>
        </w:rPr>
        <w:t>DE LO ACTUADO POR EL CONSEJO DE TRANSPORTE PÚBLICO</w:t>
      </w:r>
    </w:p>
    <w:p w:rsidR="00B97307" w:rsidRDefault="00186D89">
      <w:pPr>
        <w:kinsoku w:val="0"/>
        <w:overflowPunct w:val="0"/>
        <w:autoSpaceDE/>
        <w:autoSpaceDN/>
        <w:adjustRightInd/>
        <w:spacing w:before="239"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el </w:t>
      </w:r>
      <w:r>
        <w:rPr>
          <w:rFonts w:ascii="Verdana" w:hAnsi="Verdana" w:cs="Verdana"/>
          <w:b/>
          <w:bCs/>
          <w:sz w:val="24"/>
          <w:szCs w:val="24"/>
          <w:lang w:val="es-ES" w:eastAsia="es-ES"/>
        </w:rPr>
        <w:t xml:space="preserve">artículo 8.1 de la Sesión Ordinaria 42-2016 de 01 de setiembre de 2016, </w:t>
      </w:r>
      <w:r>
        <w:rPr>
          <w:rFonts w:ascii="Verdana" w:hAnsi="Verdana" w:cs="Verdana"/>
          <w:sz w:val="24"/>
          <w:szCs w:val="24"/>
          <w:lang w:val="es-ES" w:eastAsia="es-ES"/>
        </w:rPr>
        <w:t>aprueba las consideraciones generales para l</w:t>
      </w:r>
      <w:r w:rsidR="00F142D7">
        <w:rPr>
          <w:rFonts w:ascii="Verdana" w:hAnsi="Verdana" w:cs="Verdana"/>
          <w:sz w:val="24"/>
          <w:szCs w:val="24"/>
          <w:lang w:val="es-ES" w:eastAsia="es-ES"/>
        </w:rPr>
        <w:t>a</w:t>
      </w:r>
      <w:r>
        <w:rPr>
          <w:rFonts w:ascii="Verdana" w:hAnsi="Verdana" w:cs="Verdana"/>
          <w:sz w:val="24"/>
          <w:szCs w:val="24"/>
          <w:lang w:val="es-ES" w:eastAsia="es-ES"/>
        </w:rPr>
        <w:t xml:space="preserve"> contratación de organismos de inspección para la evaluación del período 2016, así como el correspondiente Manual para la Evaluación de la Calidad para dicho período.</w:t>
      </w:r>
    </w:p>
    <w:p w:rsidR="00B97307" w:rsidRDefault="00186D89">
      <w:pPr>
        <w:kinsoku w:val="0"/>
        <w:overflowPunct w:val="0"/>
        <w:autoSpaceDE/>
        <w:autoSpaceDN/>
        <w:adjustRightInd/>
        <w:spacing w:before="290" w:line="288"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7.18 de la Sesión Ordinaria 23-2017 de 7 de junio de 2017, </w:t>
      </w:r>
      <w:r>
        <w:rPr>
          <w:rFonts w:ascii="Verdana" w:hAnsi="Verdana" w:cs="Verdana"/>
          <w:sz w:val="24"/>
          <w:szCs w:val="24"/>
          <w:lang w:val="es-ES" w:eastAsia="es-ES"/>
        </w:rPr>
        <w:t>en lo que interesa dispuso:</w:t>
      </w:r>
    </w:p>
    <w:p w:rsidR="00B97307" w:rsidRDefault="00186D89">
      <w:pPr>
        <w:kinsoku w:val="0"/>
        <w:overflowPunct w:val="0"/>
        <w:autoSpaceDE/>
        <w:autoSpaceDN/>
        <w:adjustRightInd/>
        <w:spacing w:before="317" w:line="198" w:lineRule="exact"/>
        <w:ind w:left="504"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"7. </w:t>
      </w:r>
      <w:r>
        <w:rPr>
          <w:rFonts w:ascii="Verdana" w:hAnsi="Verdana" w:cs="Verdana"/>
          <w:b/>
          <w:bCs/>
          <w:i/>
          <w:iCs/>
          <w:spacing w:val="-3"/>
          <w:sz w:val="16"/>
          <w:szCs w:val="16"/>
          <w:u w:val="single"/>
          <w:lang w:val="es-ES" w:eastAsia="es-ES"/>
        </w:rPr>
        <w:t>Se establecen las Excepciones v dispensas del requisito de contratación de Organismos de Inspección Acreditados ante el ECA para el año 2017,</w:t>
      </w:r>
      <w:r>
        <w:rPr>
          <w:rFonts w:ascii="Verdana" w:hAnsi="Verdana" w:cs="Verdana"/>
          <w:i/>
          <w:iCs/>
          <w:spacing w:val="-3"/>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3"/>
          <w:sz w:val="16"/>
          <w:szCs w:val="16"/>
          <w:u w:val="single"/>
          <w:lang w:val="es-ES" w:eastAsia="es-ES"/>
        </w:rPr>
        <w:t xml:space="preserve">improrrogable </w:t>
      </w:r>
      <w:r>
        <w:rPr>
          <w:rFonts w:ascii="Verdana" w:hAnsi="Verdana" w:cs="Verdana"/>
          <w:i/>
          <w:iCs/>
          <w:spacing w:val="-3"/>
          <w:sz w:val="16"/>
          <w:szCs w:val="16"/>
          <w:lang w:val="es-ES" w:eastAsia="es-ES"/>
        </w:rPr>
        <w:t xml:space="preserve"> hasta el </w:t>
      </w:r>
      <w:r>
        <w:rPr>
          <w:rFonts w:ascii="Verdana" w:hAnsi="Verdana" w:cs="Verdana"/>
          <w:b/>
          <w:bCs/>
          <w:i/>
          <w:iCs/>
          <w:spacing w:val="-3"/>
          <w:sz w:val="16"/>
          <w:szCs w:val="16"/>
          <w:u w:val="single"/>
          <w:lang w:val="es-ES" w:eastAsia="es-ES"/>
        </w:rPr>
        <w:t xml:space="preserve">1 de agosto del 2017, </w:t>
      </w:r>
      <w:r>
        <w:rPr>
          <w:rFonts w:ascii="Verdana" w:hAnsi="Verdana" w:cs="Verdana"/>
          <w:i/>
          <w:iCs/>
          <w:spacing w:val="-3"/>
          <w:sz w:val="16"/>
          <w:szCs w:val="16"/>
          <w:u w:val="single"/>
          <w:lang w:val="es-ES" w:eastAsia="es-ES"/>
        </w:rPr>
        <w:t xml:space="preserve">para  demostrar ante el Consejo de Transporte Público, </w:t>
      </w:r>
      <w:r>
        <w:rPr>
          <w:rFonts w:ascii="Verdana" w:hAnsi="Verdana" w:cs="Verdana"/>
          <w:b/>
          <w:bCs/>
          <w:i/>
          <w:iCs/>
          <w:spacing w:val="-3"/>
          <w:sz w:val="16"/>
          <w:szCs w:val="16"/>
          <w:u w:val="single"/>
          <w:lang w:val="es-ES" w:eastAsia="es-ES"/>
        </w:rPr>
        <w:t>la imposibilidad de aplicar la evaluación de  inconformidad contratando Organismos de Evaluación acreditados ante el ECA;</w:t>
      </w:r>
      <w:r>
        <w:rPr>
          <w:rFonts w:ascii="Verdana" w:hAnsi="Verdana" w:cs="Verdana"/>
          <w:i/>
          <w:iCs/>
          <w:spacing w:val="-3"/>
          <w:sz w:val="16"/>
          <w:szCs w:val="16"/>
          <w:lang w:val="es-ES" w:eastAsia="es-ES"/>
        </w:rPr>
        <w:t xml:space="preserve"> para lo cual deberán demostrar con </w:t>
      </w:r>
      <w:r>
        <w:rPr>
          <w:rFonts w:ascii="Verdana" w:hAnsi="Verdana" w:cs="Verdana"/>
          <w:b/>
          <w:bCs/>
          <w:i/>
          <w:iCs/>
          <w:spacing w:val="-3"/>
          <w:sz w:val="16"/>
          <w:szCs w:val="16"/>
          <w:u w:val="single"/>
          <w:lang w:val="es-ES" w:eastAsia="es-ES"/>
        </w:rPr>
        <w:t>documentos idóneos,</w:t>
      </w:r>
      <w:r>
        <w:rPr>
          <w:rFonts w:ascii="Verdana" w:hAnsi="Verdana" w:cs="Verdana"/>
          <w:i/>
          <w:iCs/>
          <w:spacing w:val="-3"/>
          <w:sz w:val="16"/>
          <w:szCs w:val="16"/>
          <w:lang w:val="es-ES" w:eastAsia="es-ES"/>
        </w:rPr>
        <w:t xml:space="preserve"> que gestionaron </w:t>
      </w:r>
      <w:r>
        <w:rPr>
          <w:rFonts w:ascii="Verdana" w:hAnsi="Verdana" w:cs="Verdana"/>
          <w:b/>
          <w:bCs/>
          <w:i/>
          <w:iCs/>
          <w:spacing w:val="-3"/>
          <w:sz w:val="16"/>
          <w:szCs w:val="16"/>
          <w:u w:val="single"/>
          <w:lang w:val="es-ES" w:eastAsia="es-ES"/>
        </w:rPr>
        <w:t>ante todos los organismos de  inspección acreditados por el ECA,</w:t>
      </w:r>
      <w:r>
        <w:rPr>
          <w:rFonts w:ascii="Verdana" w:hAnsi="Verdana" w:cs="Verdana"/>
          <w:i/>
          <w:iCs/>
          <w:spacing w:val="-3"/>
          <w:sz w:val="16"/>
          <w:szCs w:val="16"/>
          <w:lang w:val="es-ES" w:eastAsia="es-ES"/>
        </w:rPr>
        <w:t xml:space="preserve"> la cotización para la realización y levantamiento del estudio de calidad del año 2017, </w:t>
      </w:r>
      <w:r>
        <w:rPr>
          <w:rFonts w:ascii="Verdana" w:hAnsi="Verdana" w:cs="Verdana"/>
          <w:i/>
          <w:iCs/>
          <w:spacing w:val="-3"/>
          <w:sz w:val="16"/>
          <w:szCs w:val="16"/>
          <w:u w:val="single"/>
          <w:lang w:val="es-ES" w:eastAsia="es-ES"/>
        </w:rPr>
        <w:t>y que estas diligencias fueron infructuosas, por hechos no imputables al prestatario.</w:t>
      </w:r>
      <w:r>
        <w:rPr>
          <w:rFonts w:ascii="Verdana" w:hAnsi="Verdana" w:cs="Verdana"/>
          <w:i/>
          <w:iCs/>
          <w:spacing w:val="-3"/>
          <w:sz w:val="16"/>
          <w:szCs w:val="16"/>
          <w:lang w:val="es-ES" w:eastAsia="es-ES"/>
        </w:rPr>
        <w:t xml:space="preserve"> Para la eventual aplicación de esta condición de excepcionalidad y dispensa, </w:t>
      </w:r>
      <w:r>
        <w:rPr>
          <w:rFonts w:ascii="Verdana" w:hAnsi="Verdana" w:cs="Verdana"/>
          <w:b/>
          <w:bCs/>
          <w:i/>
          <w:iCs/>
          <w:spacing w:val="-3"/>
          <w:sz w:val="16"/>
          <w:szCs w:val="16"/>
          <w:u w:val="single"/>
          <w:lang w:val="es-ES" w:eastAsia="es-ES"/>
        </w:rPr>
        <w:t>se tienen como documentos probatorios idóneos,</w:t>
      </w:r>
      <w:r>
        <w:rPr>
          <w:rFonts w:ascii="Verdana" w:hAnsi="Verdana" w:cs="Verdana"/>
          <w:i/>
          <w:iCs/>
          <w:spacing w:val="-3"/>
          <w:sz w:val="16"/>
          <w:szCs w:val="16"/>
          <w:lang w:val="es-ES" w:eastAsia="es-ES"/>
        </w:rPr>
        <w:t xml:space="preserve"> los que seguidamente se señalan; mismos que deberá presentar el interesado </w:t>
      </w:r>
      <w:r>
        <w:rPr>
          <w:rFonts w:ascii="Verdana" w:hAnsi="Verdana" w:cs="Verdana"/>
          <w:b/>
          <w:bCs/>
          <w:i/>
          <w:iCs/>
          <w:spacing w:val="-3"/>
          <w:sz w:val="16"/>
          <w:szCs w:val="16"/>
          <w:u w:val="single"/>
          <w:lang w:val="es-ES" w:eastAsia="es-ES"/>
        </w:rPr>
        <w:t>en su totalidad,</w:t>
      </w:r>
      <w:r>
        <w:rPr>
          <w:rFonts w:ascii="Verdana" w:hAnsi="Verdana" w:cs="Verdana"/>
          <w:i/>
          <w:iCs/>
          <w:spacing w:val="-3"/>
          <w:sz w:val="16"/>
          <w:szCs w:val="16"/>
          <w:lang w:val="es-ES" w:eastAsia="es-ES"/>
        </w:rPr>
        <w:t xml:space="preserve"> conjuntamente con la petición justificada de aplicación de</w:t>
      </w:r>
    </w:p>
    <w:p w:rsidR="00B97307" w:rsidRDefault="00B97307">
      <w:pPr>
        <w:widowControl/>
        <w:rPr>
          <w:sz w:val="24"/>
          <w:szCs w:val="24"/>
        </w:rPr>
        <w:sectPr w:rsidR="00B97307">
          <w:pgSz w:w="12288" w:h="15763"/>
          <w:pgMar w:top="1000" w:right="1514" w:bottom="191" w:left="1774" w:header="720" w:footer="720" w:gutter="0"/>
          <w:cols w:space="720"/>
          <w:noEndnote/>
        </w:sectPr>
      </w:pPr>
    </w:p>
    <w:p w:rsidR="00B97307" w:rsidRDefault="00186D89">
      <w:pPr>
        <w:kinsoku w:val="0"/>
        <w:overflowPunct w:val="0"/>
        <w:autoSpaceDE/>
        <w:autoSpaceDN/>
        <w:adjustRightInd/>
        <w:spacing w:before="31" w:line="175" w:lineRule="exact"/>
        <w:ind w:left="432" w:right="504"/>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lastRenderedPageBreak/>
        <w:t xml:space="preserve">la dispensa ante esta Autoridad, para su valoración y resolución final, </w:t>
      </w:r>
      <w:r>
        <w:rPr>
          <w:rFonts w:ascii="Verdana" w:hAnsi="Verdana" w:cs="Verdana"/>
          <w:b/>
          <w:bCs/>
          <w:i/>
          <w:iCs/>
          <w:sz w:val="16"/>
          <w:szCs w:val="16"/>
          <w:lang w:val="es-ES" w:eastAsia="es-ES"/>
        </w:rPr>
        <w:t>a más tardar el 1 de agosto del 2017:</w:t>
      </w:r>
    </w:p>
    <w:p w:rsidR="00B97307" w:rsidRDefault="00186D89">
      <w:pPr>
        <w:kinsoku w:val="0"/>
        <w:overflowPunct w:val="0"/>
        <w:autoSpaceDE/>
        <w:autoSpaceDN/>
        <w:adjustRightInd/>
        <w:spacing w:before="216" w:line="191" w:lineRule="exact"/>
        <w:ind w:left="720"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w:t>
      </w:r>
      <w:r w:rsidR="00F142D7">
        <w:rPr>
          <w:rFonts w:ascii="Verdana" w:hAnsi="Verdana" w:cs="Verdana"/>
          <w:i/>
          <w:iCs/>
          <w:sz w:val="16"/>
          <w:szCs w:val="16"/>
          <w:lang w:val="es-ES" w:eastAsia="es-ES"/>
        </w:rPr>
        <w:t>a</w:t>
      </w:r>
      <w:r>
        <w:rPr>
          <w:rFonts w:ascii="Verdana" w:hAnsi="Verdana" w:cs="Verdana"/>
          <w:i/>
          <w:iCs/>
          <w:sz w:val="16"/>
          <w:szCs w:val="16"/>
          <w:lang w:val="es-ES" w:eastAsia="es-ES"/>
        </w:rPr>
        <w:t>ria, acompañada de la personería jurídica de la empresa concesionaria y/o permisionaria.</w:t>
      </w:r>
    </w:p>
    <w:p w:rsidR="00B97307" w:rsidRDefault="00186D89">
      <w:pPr>
        <w:kinsoku w:val="0"/>
        <w:overflowPunct w:val="0"/>
        <w:autoSpaceDE/>
        <w:autoSpaceDN/>
        <w:adjustRightInd/>
        <w:spacing w:before="20" w:line="190" w:lineRule="exact"/>
        <w:ind w:left="720"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B97307" w:rsidRDefault="00186D89">
      <w:pPr>
        <w:kinsoku w:val="0"/>
        <w:overflowPunct w:val="0"/>
        <w:autoSpaceDE/>
        <w:autoSpaceDN/>
        <w:adjustRightInd/>
        <w:spacing w:line="194" w:lineRule="exact"/>
        <w:ind w:left="720"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B97307" w:rsidRDefault="00186D89">
      <w:pPr>
        <w:kinsoku w:val="0"/>
        <w:overflowPunct w:val="0"/>
        <w:autoSpaceDE/>
        <w:autoSpaceDN/>
        <w:adjustRightInd/>
        <w:spacing w:before="197"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Con posterioridad, 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dispuso en su parte dispositiva:</w:t>
      </w:r>
    </w:p>
    <w:p w:rsidR="00B97307" w:rsidRDefault="00186D89">
      <w:pPr>
        <w:kinsoku w:val="0"/>
        <w:overflowPunct w:val="0"/>
        <w:autoSpaceDE/>
        <w:autoSpaceDN/>
        <w:adjustRightInd/>
        <w:spacing w:before="275" w:line="195" w:lineRule="exact"/>
        <w:ind w:left="432" w:right="504"/>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"2. 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rFonts w:ascii="Verdana" w:hAnsi="Verdana" w:cs="Verdana"/>
          <w:i/>
          <w:iCs/>
          <w:spacing w:val="-3"/>
          <w:sz w:val="16"/>
          <w:szCs w:val="16"/>
          <w:lang w:val="es-ES" w:eastAsia="es-ES"/>
        </w:rPr>
        <w:t>ordenatorio</w:t>
      </w:r>
      <w:proofErr w:type="spellEnd"/>
      <w:r>
        <w:rPr>
          <w:rFonts w:ascii="Verdana" w:hAnsi="Verdana" w:cs="Verdana"/>
          <w:i/>
          <w:iCs/>
          <w:spacing w:val="-3"/>
          <w:sz w:val="16"/>
          <w:szCs w:val="16"/>
          <w:lang w:val="es-ES" w:eastAsia="es-ES"/>
        </w:rPr>
        <w:t>."</w:t>
      </w:r>
    </w:p>
    <w:p w:rsidR="00B97307" w:rsidRDefault="00186D89">
      <w:pPr>
        <w:kinsoku w:val="0"/>
        <w:overflowPunct w:val="0"/>
        <w:autoSpaceDE/>
        <w:autoSpaceDN/>
        <w:adjustRightInd/>
        <w:spacing w:before="254" w:line="294" w:lineRule="exact"/>
        <w:ind w:left="72"/>
        <w:textAlignment w:val="baseline"/>
        <w:rPr>
          <w:rFonts w:ascii="Verdana" w:hAnsi="Verdana" w:cs="Verdana"/>
          <w:spacing w:val="-10"/>
          <w:sz w:val="24"/>
          <w:szCs w:val="24"/>
          <w:lang w:val="es-ES" w:eastAsia="es-ES"/>
        </w:rPr>
      </w:pPr>
      <w:r>
        <w:rPr>
          <w:rFonts w:ascii="Verdana" w:hAnsi="Verdana" w:cs="Verdana"/>
          <w:spacing w:val="-10"/>
          <w:sz w:val="24"/>
          <w:szCs w:val="24"/>
          <w:lang w:val="es-ES" w:eastAsia="es-ES"/>
        </w:rPr>
        <w:t xml:space="preserve">En el mismo acuerdo pero en el Por Tanto 8 </w:t>
      </w:r>
      <w:proofErr w:type="gramStart"/>
      <w:r>
        <w:rPr>
          <w:rFonts w:ascii="Verdana" w:hAnsi="Verdana" w:cs="Verdana"/>
          <w:spacing w:val="-10"/>
          <w:sz w:val="24"/>
          <w:szCs w:val="24"/>
          <w:lang w:val="es-ES" w:eastAsia="es-ES"/>
        </w:rPr>
        <w:t>indica :</w:t>
      </w:r>
      <w:proofErr w:type="gramEnd"/>
    </w:p>
    <w:p w:rsidR="00B97307" w:rsidRDefault="00186D89">
      <w:pPr>
        <w:kinsoku w:val="0"/>
        <w:overflowPunct w:val="0"/>
        <w:autoSpaceDE/>
        <w:autoSpaceDN/>
        <w:adjustRightInd/>
        <w:spacing w:before="266" w:line="195"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"8. Por todo lo anteriormente indicado, la referida fecha del primero de agosto del 2017, no se estaría prorrogando."</w:t>
      </w:r>
    </w:p>
    <w:p w:rsidR="00B97307" w:rsidRDefault="00186D89">
      <w:pPr>
        <w:kinsoku w:val="0"/>
        <w:overflowPunct w:val="0"/>
        <w:autoSpaceDE/>
        <w:autoSpaceDN/>
        <w:adjustRightInd/>
        <w:spacing w:before="285" w:line="292"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7.12.25 de la Sesión Ordinaria 34-2017 de 30 de agosto de 2017, celebrado por la Junta Directiva del Consejo de Transporte Público, </w:t>
      </w:r>
      <w:r>
        <w:rPr>
          <w:rFonts w:ascii="Verdana" w:hAnsi="Verdana" w:cs="Verdana"/>
          <w:spacing w:val="-3"/>
          <w:sz w:val="24"/>
          <w:szCs w:val="24"/>
          <w:lang w:val="es-ES" w:eastAsia="es-ES"/>
        </w:rPr>
        <w:t xml:space="preserve">declara extemporánea la solicitud de excepcionalidad y/o dispensa, planteada por la recurrente, en virtud de lo establecido en el punto </w:t>
      </w:r>
      <w:proofErr w:type="spellStart"/>
      <w:r>
        <w:rPr>
          <w:rFonts w:ascii="Verdana" w:hAnsi="Verdana" w:cs="Verdana"/>
          <w:spacing w:val="-3"/>
          <w:sz w:val="24"/>
          <w:szCs w:val="24"/>
          <w:lang w:val="es-ES" w:eastAsia="es-ES"/>
        </w:rPr>
        <w:t>N°</w:t>
      </w:r>
      <w:proofErr w:type="spellEnd"/>
      <w:r>
        <w:rPr>
          <w:rFonts w:ascii="Verdana" w:hAnsi="Verdana" w:cs="Verdana"/>
          <w:spacing w:val="-3"/>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w:t>
      </w:r>
    </w:p>
    <w:p w:rsidR="00B97307" w:rsidRDefault="00186D89">
      <w:pPr>
        <w:kinsoku w:val="0"/>
        <w:overflowPunct w:val="0"/>
        <w:autoSpaceDE/>
        <w:autoSpaceDN/>
        <w:adjustRightInd/>
        <w:spacing w:before="515" w:line="288"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B97307" w:rsidRDefault="00186D89">
      <w:pPr>
        <w:kinsoku w:val="0"/>
        <w:overflowPunct w:val="0"/>
        <w:autoSpaceDE/>
        <w:autoSpaceDN/>
        <w:adjustRightInd/>
        <w:spacing w:before="293"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B97307" w:rsidRDefault="00186D89">
      <w:pPr>
        <w:kinsoku w:val="0"/>
        <w:overflowPunct w:val="0"/>
        <w:autoSpaceDE/>
        <w:autoSpaceDN/>
        <w:adjustRightInd/>
        <w:spacing w:before="306"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Sala Constitucional de la Corte Suprema de Justicia, en su sentencia No. 2001-02493, de las dieciséis horas, con veinticinco minutos, del veintisiete de marzo del dos mil uno, respecto del Principio de Legalidad, manifestó:</w:t>
      </w:r>
    </w:p>
    <w:p w:rsidR="00B97307" w:rsidRDefault="00186D89">
      <w:pPr>
        <w:kinsoku w:val="0"/>
        <w:overflowPunct w:val="0"/>
        <w:autoSpaceDE/>
        <w:autoSpaceDN/>
        <w:adjustRightInd/>
        <w:spacing w:before="265" w:line="221" w:lineRule="exact"/>
        <w:ind w:left="432" w:right="72"/>
        <w:textAlignment w:val="baseline"/>
        <w:rPr>
          <w:rFonts w:ascii="Verdana" w:hAnsi="Verdana" w:cs="Verdana"/>
          <w:b/>
          <w:bCs/>
          <w:i/>
          <w:iCs/>
          <w:spacing w:val="11"/>
          <w:sz w:val="16"/>
          <w:szCs w:val="16"/>
          <w:u w:val="single"/>
          <w:lang w:val="es-ES" w:eastAsia="es-ES"/>
        </w:rPr>
      </w:pPr>
      <w:r>
        <w:rPr>
          <w:rFonts w:ascii="Verdana" w:hAnsi="Verdana" w:cs="Verdana"/>
          <w:i/>
          <w:iCs/>
          <w:spacing w:val="11"/>
          <w:sz w:val="16"/>
          <w:szCs w:val="16"/>
          <w:lang w:val="es-ES" w:eastAsia="es-ES"/>
        </w:rPr>
        <w:t xml:space="preserve">"II.- Sobre el principio de legalidad: El principio de legalidad que se consagra en el artículo 11 de nuestra Constitución Política, significa que </w:t>
      </w:r>
      <w:r>
        <w:rPr>
          <w:rFonts w:ascii="Verdana" w:hAnsi="Verdana" w:cs="Verdana"/>
          <w:b/>
          <w:bCs/>
          <w:i/>
          <w:iCs/>
          <w:spacing w:val="11"/>
          <w:sz w:val="16"/>
          <w:szCs w:val="16"/>
          <w:u w:val="single"/>
          <w:lang w:val="es-ES" w:eastAsia="es-ES"/>
        </w:rPr>
        <w:t xml:space="preserve">los actos </w:t>
      </w:r>
      <w:r w:rsidR="00F142D7">
        <w:rPr>
          <w:rFonts w:ascii="Verdana" w:hAnsi="Verdana" w:cs="Verdana"/>
          <w:b/>
          <w:bCs/>
          <w:i/>
          <w:iCs/>
          <w:spacing w:val="11"/>
          <w:sz w:val="16"/>
          <w:szCs w:val="16"/>
          <w:u w:val="single"/>
          <w:lang w:val="es-ES" w:eastAsia="es-ES"/>
        </w:rPr>
        <w:t>y</w:t>
      </w:r>
      <w:r>
        <w:rPr>
          <w:rFonts w:ascii="Verdana" w:hAnsi="Verdana" w:cs="Verdana"/>
          <w:b/>
          <w:bCs/>
          <w:i/>
          <w:iCs/>
          <w:spacing w:val="11"/>
          <w:sz w:val="16"/>
          <w:szCs w:val="16"/>
          <w:u w:val="single"/>
          <w:lang w:val="es-ES" w:eastAsia="es-ES"/>
        </w:rPr>
        <w:t xml:space="preserve"> comportamientos de la</w:t>
      </w:r>
    </w:p>
    <w:p w:rsidR="00B97307" w:rsidRDefault="00B97307">
      <w:pPr>
        <w:kinsoku w:val="0"/>
        <w:overflowPunct w:val="0"/>
        <w:autoSpaceDE/>
        <w:autoSpaceDN/>
        <w:adjustRightInd/>
        <w:spacing w:before="16" w:line="220" w:lineRule="exact"/>
        <w:ind w:left="72"/>
        <w:jc w:val="right"/>
        <w:textAlignment w:val="baseline"/>
        <w:rPr>
          <w:spacing w:val="-2"/>
          <w:sz w:val="21"/>
          <w:szCs w:val="21"/>
          <w:lang w:val="es-ES" w:eastAsia="es-ES"/>
        </w:rPr>
      </w:pPr>
    </w:p>
    <w:p w:rsidR="00B97307" w:rsidRDefault="00B97307">
      <w:pPr>
        <w:widowControl/>
        <w:rPr>
          <w:sz w:val="24"/>
          <w:szCs w:val="24"/>
        </w:rPr>
        <w:sectPr w:rsidR="00B97307">
          <w:pgSz w:w="12288" w:h="15763"/>
          <w:pgMar w:top="760" w:right="1646" w:bottom="327" w:left="1642" w:header="720" w:footer="720" w:gutter="0"/>
          <w:cols w:space="720"/>
          <w:noEndnote/>
        </w:sectPr>
      </w:pPr>
    </w:p>
    <w:p w:rsidR="00B97307" w:rsidRDefault="00186D89">
      <w:pPr>
        <w:kinsoku w:val="0"/>
        <w:overflowPunct w:val="0"/>
        <w:autoSpaceDE/>
        <w:autoSpaceDN/>
        <w:adjustRightInd/>
        <w:spacing w:before="39" w:line="217" w:lineRule="exact"/>
        <w:ind w:left="432"/>
        <w:jc w:val="both"/>
        <w:textAlignment w:val="baseline"/>
        <w:rPr>
          <w:rFonts w:ascii="Verdana" w:hAnsi="Verdana" w:cs="Verdana"/>
          <w:b/>
          <w:bCs/>
          <w:i/>
          <w:iCs/>
          <w:sz w:val="18"/>
          <w:szCs w:val="18"/>
          <w:lang w:val="es-ES" w:eastAsia="es-ES"/>
        </w:rPr>
      </w:pPr>
      <w:r>
        <w:rPr>
          <w:rFonts w:ascii="Verdana" w:hAnsi="Verdana" w:cs="Verdana"/>
          <w:b/>
          <w:bCs/>
          <w:i/>
          <w:iCs/>
          <w:sz w:val="18"/>
          <w:szCs w:val="18"/>
          <w:u w:val="single"/>
          <w:lang w:val="es-ES" w:eastAsia="es-ES"/>
        </w:rPr>
        <w:lastRenderedPageBreak/>
        <w:t>Administración deben de estar regulados por norma escrita,</w:t>
      </w:r>
      <w:r>
        <w:rPr>
          <w:rFonts w:ascii="Verdana" w:hAnsi="Verdana" w:cs="Verdana"/>
          <w:i/>
          <w:iCs/>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i/>
          <w:iCs/>
          <w:sz w:val="18"/>
          <w:szCs w:val="18"/>
          <w:u w:val="single"/>
          <w:lang w:val="es-ES" w:eastAsia="es-ES"/>
        </w:rPr>
        <w:t>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 "</w:t>
      </w:r>
      <w:r>
        <w:rPr>
          <w:rFonts w:ascii="Verdana" w:hAnsi="Verdana" w:cs="Verdana"/>
          <w:b/>
          <w:bCs/>
          <w:i/>
          <w:iCs/>
          <w:sz w:val="18"/>
          <w:szCs w:val="18"/>
          <w:lang w:val="es-ES" w:eastAsia="es-ES"/>
        </w:rPr>
        <w:t xml:space="preserve"> (Lo resaltado no es del original)</w:t>
      </w:r>
    </w:p>
    <w:p w:rsidR="00B97307" w:rsidRDefault="00186D89">
      <w:pPr>
        <w:kinsoku w:val="0"/>
        <w:overflowPunct w:val="0"/>
        <w:autoSpaceDE/>
        <w:autoSpaceDN/>
        <w:adjustRightInd/>
        <w:spacing w:before="257"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Tribunal Contencioso Administrativo Sección II, en su sentencia 00002 de las nueve horas del 30 de enero de 2013 indica respecto del Principio de Legalidad lo siguiente:</w:t>
      </w:r>
    </w:p>
    <w:p w:rsidR="00B97307" w:rsidRDefault="00186D89" w:rsidP="00F142D7">
      <w:pPr>
        <w:kinsoku w:val="0"/>
        <w:overflowPunct w:val="0"/>
        <w:autoSpaceDE/>
        <w:autoSpaceDN/>
        <w:adjustRightInd/>
        <w:spacing w:before="288" w:line="218" w:lineRule="exact"/>
        <w:ind w:lef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"todo acto o comportamiento de la Administración que incida sobre los derechos del particular debe estar autorizado por el ordenamiento jurídico" (</w:t>
      </w:r>
      <w:proofErr w:type="spellStart"/>
      <w:r>
        <w:rPr>
          <w:rFonts w:ascii="Verdana" w:hAnsi="Verdana" w:cs="Verdana"/>
          <w:i/>
          <w:iCs/>
          <w:sz w:val="18"/>
          <w:szCs w:val="18"/>
          <w:lang w:val="es-ES" w:eastAsia="es-ES"/>
        </w:rPr>
        <w:t>Ortíz</w:t>
      </w:r>
      <w:proofErr w:type="spellEnd"/>
      <w:r>
        <w:rPr>
          <w:rFonts w:ascii="Verdana" w:hAnsi="Verdana" w:cs="Verdana"/>
          <w:i/>
          <w:iCs/>
          <w:sz w:val="18"/>
          <w:szCs w:val="18"/>
          <w:lang w:val="es-ES" w:eastAsia="es-ES"/>
        </w:rPr>
        <w:t xml:space="preserve"> </w:t>
      </w:r>
      <w:proofErr w:type="spellStart"/>
      <w:r>
        <w:rPr>
          <w:rFonts w:ascii="Verdana" w:hAnsi="Verdana" w:cs="Verdana"/>
          <w:i/>
          <w:iCs/>
          <w:sz w:val="18"/>
          <w:szCs w:val="18"/>
          <w:lang w:val="es-ES" w:eastAsia="es-ES"/>
        </w:rPr>
        <w:t>Ortíz</w:t>
      </w:r>
      <w:proofErr w:type="spellEnd"/>
      <w:r>
        <w:rPr>
          <w:rFonts w:ascii="Verdana" w:hAnsi="Verdana" w:cs="Verdana"/>
          <w:i/>
          <w:iCs/>
          <w:sz w:val="18"/>
          <w:szCs w:val="18"/>
          <w:lang w:val="es-ES" w:eastAsia="es-ES"/>
        </w:rPr>
        <w:t xml:space="preserve">). Agrega el </w:t>
      </w:r>
      <w:proofErr w:type="gramStart"/>
      <w:r>
        <w:rPr>
          <w:rFonts w:ascii="Verdana" w:hAnsi="Verdana" w:cs="Verdana"/>
          <w:i/>
          <w:iCs/>
          <w:sz w:val="18"/>
          <w:szCs w:val="18"/>
          <w:lang w:val="es-ES" w:eastAsia="es-ES"/>
        </w:rPr>
        <w:t>jurista</w:t>
      </w:r>
      <w:proofErr w:type="gramEnd"/>
      <w:r>
        <w:rPr>
          <w:rFonts w:ascii="Verdana" w:hAnsi="Verdana" w:cs="Verdana"/>
          <w:i/>
          <w:iCs/>
          <w:sz w:val="18"/>
          <w:szCs w:val="18"/>
          <w:lang w:val="es-ES" w:eastAsia="es-ES"/>
        </w:rPr>
        <w:t xml:space="preserve"> además: "también constituye una garantía de la eficiencia administrativa, pues crea un orden de conducta indispensable para que la acción pública realice los fines que persigue, que permite asegurar un mínimo de oportunidad y conveniencia a su gestión". La sujeción de la actuación</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administrativa al Ordenamiento Jurídico significa que la norma se erige en el fundamento previo y necesario de su actividad, y en su fenómeno reflejo, la seguridad</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 xml:space="preserve">jurídica </w:t>
      </w:r>
      <w:proofErr w:type="gramStart"/>
      <w:r>
        <w:rPr>
          <w:rFonts w:ascii="Verdana" w:hAnsi="Verdana" w:cs="Verdana"/>
          <w:i/>
          <w:iCs/>
          <w:sz w:val="18"/>
          <w:szCs w:val="18"/>
          <w:lang w:val="es-ES" w:eastAsia="es-ES"/>
        </w:rPr>
        <w:t xml:space="preserve">del </w:t>
      </w:r>
      <w:r w:rsidR="00F142D7">
        <w:rPr>
          <w:rFonts w:ascii="Verdana" w:hAnsi="Verdana" w:cs="Verdana"/>
          <w:i/>
          <w:iCs/>
          <w:sz w:val="18"/>
          <w:szCs w:val="18"/>
          <w:lang w:val="es-ES" w:eastAsia="es-ES"/>
        </w:rPr>
        <w:t xml:space="preserve"> a</w:t>
      </w:r>
      <w:r>
        <w:rPr>
          <w:rFonts w:ascii="Verdana" w:hAnsi="Verdana" w:cs="Verdana"/>
          <w:i/>
          <w:iCs/>
          <w:sz w:val="18"/>
          <w:szCs w:val="18"/>
          <w:lang w:val="es-ES" w:eastAsia="es-ES"/>
        </w:rPr>
        <w:t>dministrado</w:t>
      </w:r>
      <w:proofErr w:type="gramEnd"/>
      <w:r>
        <w:rPr>
          <w:rFonts w:ascii="Verdana" w:hAnsi="Verdana" w:cs="Verdana"/>
          <w:i/>
          <w:iCs/>
          <w:sz w:val="18"/>
          <w:szCs w:val="18"/>
          <w:lang w:val="es-ES" w:eastAsia="es-ES"/>
        </w:rPr>
        <w:t>.</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De</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consiguiente,</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cualquier</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actuación</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de la</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Administración discordante</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con</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el</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bloque</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de legalidad,</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constituye</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una</w:t>
      </w:r>
      <w:r w:rsidR="00F142D7">
        <w:rPr>
          <w:rFonts w:ascii="Verdana" w:hAnsi="Verdana" w:cs="Verdana"/>
          <w:i/>
          <w:iCs/>
          <w:sz w:val="18"/>
          <w:szCs w:val="18"/>
          <w:lang w:val="es-ES" w:eastAsia="es-ES"/>
        </w:rPr>
        <w:t xml:space="preserve"> </w:t>
      </w:r>
      <w:r>
        <w:rPr>
          <w:rFonts w:ascii="Verdana" w:hAnsi="Verdana" w:cs="Verdana"/>
          <w:i/>
          <w:iCs/>
          <w:sz w:val="18"/>
          <w:szCs w:val="18"/>
          <w:lang w:val="es-ES" w:eastAsia="es-ES"/>
        </w:rPr>
        <w:t>infracción del Ordenamiento Jurídico. Desde esta perspectiva, toda autoridad o institución pública lo es y solamente puede actuar en la medida en que se encuentre habilitada para hacerlo por el mismo ordenamiento, y normalmente a texto expreso."</w:t>
      </w:r>
    </w:p>
    <w:p w:rsidR="00B97307" w:rsidRDefault="00186D89">
      <w:pPr>
        <w:kinsoku w:val="0"/>
        <w:overflowPunct w:val="0"/>
        <w:autoSpaceDE/>
        <w:autoSpaceDN/>
        <w:adjustRightInd/>
        <w:spacing w:before="212" w:line="28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w:t>
      </w:r>
      <w:r w:rsidR="00F142D7">
        <w:rPr>
          <w:rFonts w:ascii="Verdana" w:hAnsi="Verdana" w:cs="Verdana"/>
          <w:sz w:val="24"/>
          <w:szCs w:val="24"/>
          <w:lang w:val="es-ES" w:eastAsia="es-ES"/>
        </w:rPr>
        <w:t>l</w:t>
      </w:r>
      <w:r>
        <w:rPr>
          <w:rFonts w:ascii="Verdana" w:hAnsi="Verdana" w:cs="Verdana"/>
          <w:sz w:val="24"/>
          <w:szCs w:val="24"/>
          <w:lang w:val="es-ES" w:eastAsia="es-ES"/>
        </w:rPr>
        <w:t xml:space="preserve"> Principio de Legalidad constituye pues el marco de acción o actuación al cual se encuentra sujeto todo funcionario público y de no ajustarse a éste sus actos son nulos.</w:t>
      </w:r>
    </w:p>
    <w:p w:rsidR="00B97307" w:rsidRDefault="00186D89">
      <w:pPr>
        <w:kinsoku w:val="0"/>
        <w:overflowPunct w:val="0"/>
        <w:autoSpaceDE/>
        <w:autoSpaceDN/>
        <w:adjustRightInd/>
        <w:spacing w:before="298" w:line="294"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t>LA MOTIVACIÓN DE LOS ACTOS ADMINISTRATIVOS</w:t>
      </w:r>
    </w:p>
    <w:p w:rsidR="00B97307" w:rsidRDefault="00186D89">
      <w:pPr>
        <w:kinsoku w:val="0"/>
        <w:overflowPunct w:val="0"/>
        <w:autoSpaceDE/>
        <w:autoSpaceDN/>
        <w:adjustRightInd/>
        <w:spacing w:before="309"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B97307" w:rsidRDefault="00186D89">
      <w:pPr>
        <w:kinsoku w:val="0"/>
        <w:overflowPunct w:val="0"/>
        <w:autoSpaceDE/>
        <w:autoSpaceDN/>
        <w:adjustRightInd/>
        <w:spacing w:before="333"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Motivación, además debe ser coherente, tanto con el Principio de Legalidad, como con los hechos a los que se circunscribe, esto es de</w:t>
      </w:r>
    </w:p>
    <w:p w:rsidR="00B97307" w:rsidRDefault="00B97307">
      <w:pPr>
        <w:widowControl/>
        <w:rPr>
          <w:sz w:val="24"/>
          <w:szCs w:val="24"/>
        </w:rPr>
        <w:sectPr w:rsidR="00B97307">
          <w:pgSz w:w="12283" w:h="15730"/>
          <w:pgMar w:top="980" w:right="1560" w:bottom="195" w:left="1723" w:header="720" w:footer="720" w:gutter="0"/>
          <w:cols w:space="720"/>
          <w:noEndnote/>
        </w:sectPr>
      </w:pPr>
    </w:p>
    <w:p w:rsidR="00B97307" w:rsidRDefault="00186D89">
      <w:pPr>
        <w:kinsoku w:val="0"/>
        <w:overflowPunct w:val="0"/>
        <w:autoSpaceDE/>
        <w:autoSpaceDN/>
        <w:adjustRightInd/>
        <w:spacing w:before="21" w:line="289" w:lineRule="exact"/>
        <w:ind w:right="72"/>
        <w:jc w:val="both"/>
        <w:textAlignment w:val="baseline"/>
        <w:rPr>
          <w:rFonts w:ascii="Verdana" w:hAnsi="Verdana" w:cs="Verdana"/>
          <w:b/>
          <w:bCs/>
          <w:i/>
          <w:iCs/>
          <w:sz w:val="24"/>
          <w:szCs w:val="24"/>
          <w:lang w:val="es-ES" w:eastAsia="es-ES"/>
        </w:rPr>
      </w:pPr>
      <w:r>
        <w:rPr>
          <w:rFonts w:ascii="Verdana" w:hAnsi="Verdana" w:cs="Verdana"/>
          <w:sz w:val="24"/>
          <w:szCs w:val="24"/>
          <w:lang w:val="es-ES" w:eastAsia="es-ES"/>
        </w:rPr>
        <w:lastRenderedPageBreak/>
        <w:t xml:space="preserve">suma importancia pues como se dijo la Ley exige la motivación cuando: </w:t>
      </w:r>
      <w:r>
        <w:rPr>
          <w:rFonts w:ascii="Verdana" w:hAnsi="Verdana" w:cs="Verdana"/>
          <w:b/>
          <w:bCs/>
          <w:i/>
          <w:iCs/>
          <w:sz w:val="24"/>
          <w:szCs w:val="24"/>
          <w:lang w:val="es-ES" w:eastAsia="es-ES"/>
        </w:rPr>
        <w:t>"a) Los actos que impongan obligaciones o que limiten, supriman</w:t>
      </w:r>
    </w:p>
    <w:p w:rsidR="00B97307" w:rsidRDefault="00F142D7" w:rsidP="00F142D7">
      <w:pPr>
        <w:kinsoku w:val="0"/>
        <w:overflowPunct w:val="0"/>
        <w:autoSpaceDE/>
        <w:autoSpaceDN/>
        <w:adjustRightInd/>
        <w:spacing w:before="8" w:line="289" w:lineRule="exact"/>
        <w:ind w:right="72"/>
        <w:jc w:val="both"/>
        <w:textAlignment w:val="baseline"/>
        <w:rPr>
          <w:rFonts w:ascii="Verdana" w:hAnsi="Verdana" w:cs="Verdana"/>
          <w:sz w:val="24"/>
          <w:szCs w:val="24"/>
          <w:lang w:val="es-ES" w:eastAsia="es-ES"/>
        </w:rPr>
      </w:pPr>
      <w:r>
        <w:rPr>
          <w:rFonts w:ascii="Verdana" w:hAnsi="Verdana" w:cs="Verdana"/>
          <w:b/>
          <w:bCs/>
          <w:i/>
          <w:iCs/>
          <w:sz w:val="24"/>
          <w:szCs w:val="24"/>
          <w:lang w:val="es-ES" w:eastAsia="es-ES"/>
        </w:rPr>
        <w:t xml:space="preserve">o </w:t>
      </w:r>
      <w:r w:rsidR="00186D89">
        <w:rPr>
          <w:rFonts w:ascii="Verdana" w:hAnsi="Verdana" w:cs="Verdana"/>
          <w:b/>
          <w:bCs/>
          <w:i/>
          <w:iCs/>
          <w:sz w:val="24"/>
          <w:szCs w:val="24"/>
          <w:lang w:val="es-ES" w:eastAsia="es-ES"/>
        </w:rPr>
        <w:t xml:space="preserve">denieguen derechos subjetivos;', </w:t>
      </w:r>
      <w:r w:rsidR="00186D89">
        <w:rPr>
          <w:rFonts w:ascii="Verdana" w:hAnsi="Verdana" w:cs="Verdana"/>
          <w:sz w:val="24"/>
          <w:szCs w:val="24"/>
          <w:lang w:val="es-ES" w:eastAsia="es-ES"/>
        </w:rPr>
        <w:t xml:space="preserve">esto es así ya que la tutela que nuestro ordenamiento jurídico hace de los derechos subjetivos de los administrados es de gran relevancia, de ahí que si el acto, por una u otra razón ha de denegar derecho alguno debe ser justificado </w:t>
      </w:r>
      <w:proofErr w:type="gramStart"/>
      <w:r w:rsidR="00186D89">
        <w:rPr>
          <w:rFonts w:ascii="Verdana" w:hAnsi="Verdana" w:cs="Verdana"/>
          <w:sz w:val="24"/>
          <w:szCs w:val="24"/>
          <w:lang w:val="es-ES" w:eastAsia="es-ES"/>
        </w:rPr>
        <w:t>hartamente</w:t>
      </w:r>
      <w:proofErr w:type="gramEnd"/>
      <w:r w:rsidR="00186D89">
        <w:rPr>
          <w:rFonts w:ascii="Verdana" w:hAnsi="Verdana" w:cs="Verdana"/>
          <w:sz w:val="24"/>
          <w:szCs w:val="24"/>
          <w:lang w:val="es-ES" w:eastAsia="es-ES"/>
        </w:rPr>
        <w:t xml:space="preserve"> pero esa justificación debe ser coherente con el cuadro fáctico que el operador del derecho tiene frente a sí y el marco legal que regula la materia. (El resaltado es nuestro)</w:t>
      </w:r>
    </w:p>
    <w:p w:rsidR="00B97307" w:rsidRDefault="00186D89">
      <w:pPr>
        <w:kinsoku w:val="0"/>
        <w:overflowPunct w:val="0"/>
        <w:autoSpaceDE/>
        <w:autoSpaceDN/>
        <w:adjustRightInd/>
        <w:spacing w:before="291" w:line="263" w:lineRule="exact"/>
        <w:ind w:left="648"/>
        <w:textAlignment w:val="baseline"/>
        <w:rPr>
          <w:rFonts w:ascii="Verdana" w:hAnsi="Verdana" w:cs="Verdana"/>
          <w:sz w:val="24"/>
          <w:szCs w:val="24"/>
          <w:lang w:eastAsia="en-US"/>
        </w:rPr>
      </w:pPr>
      <w:r>
        <w:rPr>
          <w:rFonts w:ascii="Verdana" w:hAnsi="Verdana" w:cs="Verdana"/>
          <w:i/>
          <w:iCs/>
          <w:sz w:val="21"/>
          <w:szCs w:val="21"/>
          <w:lang w:val="es-ES" w:eastAsia="es-ES"/>
        </w:rPr>
        <w:t xml:space="preserve">"Artículo </w:t>
      </w:r>
      <w:proofErr w:type="gramStart"/>
      <w:r>
        <w:rPr>
          <w:rFonts w:ascii="Verdana" w:hAnsi="Verdana" w:cs="Verdana"/>
          <w:i/>
          <w:iCs/>
          <w:sz w:val="21"/>
          <w:szCs w:val="21"/>
          <w:lang w:val="es-ES" w:eastAsia="es-ES"/>
        </w:rPr>
        <w:t>136.</w:t>
      </w:r>
      <w:r>
        <w:rPr>
          <w:rFonts w:ascii="Verdana" w:hAnsi="Verdana" w:cs="Verdana"/>
          <w:i/>
          <w:iCs/>
          <w:sz w:val="21"/>
          <w:szCs w:val="21"/>
          <w:lang w:val="es-ES" w:eastAsia="es-ES"/>
        </w:rPr>
        <w:noBreakHyphen/>
      </w:r>
      <w:proofErr w:type="gramEnd"/>
    </w:p>
    <w:p w:rsidR="00B97307" w:rsidRDefault="00186D89">
      <w:pPr>
        <w:kinsoku w:val="0"/>
        <w:overflowPunct w:val="0"/>
        <w:autoSpaceDE/>
        <w:autoSpaceDN/>
        <w:adjustRightInd/>
        <w:spacing w:before="280" w:line="260" w:lineRule="exact"/>
        <w:ind w:left="648" w:right="648"/>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1. Serán motivados con mención, sucinta al menos, de sus fundamentos:</w:t>
      </w:r>
    </w:p>
    <w:p w:rsidR="00B97307" w:rsidRDefault="00186D89">
      <w:pPr>
        <w:numPr>
          <w:ilvl w:val="0"/>
          <w:numId w:val="12"/>
        </w:numPr>
        <w:kinsoku w:val="0"/>
        <w:overflowPunct w:val="0"/>
        <w:autoSpaceDE/>
        <w:autoSpaceDN/>
        <w:adjustRightInd/>
        <w:spacing w:before="284" w:line="261" w:lineRule="exact"/>
        <w:ind w:right="648"/>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B97307" w:rsidRDefault="00186D89">
      <w:pPr>
        <w:numPr>
          <w:ilvl w:val="0"/>
          <w:numId w:val="13"/>
        </w:numPr>
        <w:kinsoku w:val="0"/>
        <w:overflowPunct w:val="0"/>
        <w:autoSpaceDE/>
        <w:autoSpaceDN/>
        <w:adjustRightInd/>
        <w:spacing w:line="263" w:lineRule="exact"/>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Los que resuelvan recursos;</w:t>
      </w:r>
    </w:p>
    <w:p w:rsidR="00B97307" w:rsidRDefault="00186D89">
      <w:pPr>
        <w:numPr>
          <w:ilvl w:val="0"/>
          <w:numId w:val="14"/>
        </w:numPr>
        <w:kinsoku w:val="0"/>
        <w:overflowPunct w:val="0"/>
        <w:autoSpaceDE/>
        <w:autoSpaceDN/>
        <w:adjustRightInd/>
        <w:spacing w:before="3" w:line="267" w:lineRule="exact"/>
        <w:ind w:right="648"/>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actuaciones precedentes o del dictamen de órganos consultivos; </w:t>
      </w:r>
    </w:p>
    <w:p w:rsidR="00B97307" w:rsidRDefault="00186D89">
      <w:pPr>
        <w:numPr>
          <w:ilvl w:val="0"/>
          <w:numId w:val="13"/>
        </w:numPr>
        <w:kinsoku w:val="0"/>
        <w:overflowPunct w:val="0"/>
        <w:autoSpaceDE/>
        <w:autoSpaceDN/>
        <w:adjustRightInd/>
        <w:spacing w:before="4" w:line="265"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de suspensión de actos que hayan sido objeto del recurso;</w:t>
      </w:r>
    </w:p>
    <w:p w:rsidR="00B97307" w:rsidRDefault="00186D89">
      <w:pPr>
        <w:numPr>
          <w:ilvl w:val="0"/>
          <w:numId w:val="13"/>
        </w:numPr>
        <w:kinsoku w:val="0"/>
        <w:overflowPunct w:val="0"/>
        <w:autoSpaceDE/>
        <w:autoSpaceDN/>
        <w:adjustRightInd/>
        <w:spacing w:before="5" w:line="267"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reglamentos y actos discrecionales de alcance general; y</w:t>
      </w:r>
    </w:p>
    <w:p w:rsidR="00B97307" w:rsidRDefault="00186D89">
      <w:pPr>
        <w:numPr>
          <w:ilvl w:val="0"/>
          <w:numId w:val="13"/>
        </w:numPr>
        <w:kinsoku w:val="0"/>
        <w:overflowPunct w:val="0"/>
        <w:autoSpaceDE/>
        <w:autoSpaceDN/>
        <w:adjustRightInd/>
        <w:spacing w:line="266" w:lineRule="exact"/>
        <w:textAlignment w:val="baseline"/>
        <w:rPr>
          <w:rFonts w:ascii="Verdana" w:hAnsi="Verdana" w:cs="Verdana"/>
          <w:i/>
          <w:iCs/>
          <w:spacing w:val="3"/>
          <w:sz w:val="21"/>
          <w:szCs w:val="21"/>
          <w:lang w:val="es-ES" w:eastAsia="es-ES"/>
        </w:rPr>
      </w:pPr>
      <w:r>
        <w:rPr>
          <w:rFonts w:ascii="Verdana" w:hAnsi="Verdana" w:cs="Verdana"/>
          <w:i/>
          <w:iCs/>
          <w:spacing w:val="3"/>
          <w:sz w:val="21"/>
          <w:szCs w:val="21"/>
          <w:lang w:val="es-ES" w:eastAsia="es-ES"/>
        </w:rPr>
        <w:t>Los que deban serlo en virtud de ley.</w:t>
      </w:r>
    </w:p>
    <w:p w:rsidR="00B97307" w:rsidRDefault="00186D89">
      <w:pPr>
        <w:kinsoku w:val="0"/>
        <w:overflowPunct w:val="0"/>
        <w:autoSpaceDE/>
        <w:autoSpaceDN/>
        <w:adjustRightInd/>
        <w:spacing w:before="273" w:line="265" w:lineRule="exact"/>
        <w:ind w:left="648" w:right="648"/>
        <w:jc w:val="both"/>
        <w:textAlignment w:val="baseline"/>
        <w:rPr>
          <w:rFonts w:ascii="Verdana" w:hAnsi="Verdana" w:cs="Verdana"/>
          <w:sz w:val="21"/>
          <w:szCs w:val="21"/>
          <w:lang w:val="es-ES" w:eastAsia="es-ES"/>
        </w:rPr>
      </w:pPr>
      <w:r>
        <w:rPr>
          <w:rFonts w:ascii="Verdana" w:hAnsi="Verdana" w:cs="Verdana"/>
          <w:i/>
          <w:iCs/>
          <w:sz w:val="21"/>
          <w:szCs w:val="21"/>
          <w:lang w:val="es-ES" w:eastAsia="es-ES"/>
        </w:rPr>
        <w:t xml:space="preserve">2. </w:t>
      </w:r>
      <w:r>
        <w:rPr>
          <w:rFonts w:ascii="Verdana" w:hAnsi="Verdana" w:cs="Verdana"/>
          <w:b/>
          <w:bCs/>
          <w:sz w:val="21"/>
          <w:szCs w:val="21"/>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z w:val="21"/>
          <w:szCs w:val="21"/>
          <w:lang w:val="es-ES" w:eastAsia="es-ES"/>
        </w:rPr>
        <w:t>(El resaltado no es del original)</w:t>
      </w:r>
    </w:p>
    <w:p w:rsidR="00B97307" w:rsidRDefault="00186D89">
      <w:pPr>
        <w:kinsoku w:val="0"/>
        <w:overflowPunct w:val="0"/>
        <w:autoSpaceDE/>
        <w:autoSpaceDN/>
        <w:adjustRightInd/>
        <w:spacing w:before="262" w:line="289"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Tribunal Contencioso Administrativo Sección III en su sentencia 00029 de las once horas del treinta de enero de dos mil quince indicó:</w:t>
      </w:r>
    </w:p>
    <w:p w:rsidR="00B97307" w:rsidRDefault="00186D89">
      <w:pPr>
        <w:kinsoku w:val="0"/>
        <w:overflowPunct w:val="0"/>
        <w:autoSpaceDE/>
        <w:autoSpaceDN/>
        <w:adjustRightInd/>
        <w:spacing w:before="237" w:line="221" w:lineRule="exact"/>
        <w:ind w:left="432"/>
        <w:textAlignment w:val="baseline"/>
        <w:rPr>
          <w:rFonts w:ascii="Verdana" w:hAnsi="Verdana" w:cs="Verdana"/>
          <w:i/>
          <w:iCs/>
          <w:spacing w:val="5"/>
          <w:sz w:val="18"/>
          <w:szCs w:val="18"/>
          <w:lang w:val="es-ES" w:eastAsia="es-ES"/>
        </w:rPr>
      </w:pPr>
      <w:r>
        <w:rPr>
          <w:rFonts w:ascii="Verdana" w:hAnsi="Verdana" w:cs="Verdana"/>
          <w:b/>
          <w:bCs/>
          <w:i/>
          <w:iCs/>
          <w:spacing w:val="5"/>
          <w:sz w:val="18"/>
          <w:szCs w:val="18"/>
          <w:lang w:val="es-ES" w:eastAsia="es-ES"/>
        </w:rPr>
        <w:t>"</w:t>
      </w:r>
      <w:r w:rsidR="00F142D7">
        <w:rPr>
          <w:rFonts w:ascii="Verdana" w:hAnsi="Verdana" w:cs="Verdana"/>
          <w:b/>
          <w:bCs/>
          <w:i/>
          <w:iCs/>
          <w:spacing w:val="5"/>
          <w:sz w:val="18"/>
          <w:szCs w:val="18"/>
          <w:lang w:val="es-ES" w:eastAsia="es-ES"/>
        </w:rPr>
        <w:t>III</w:t>
      </w:r>
      <w:r>
        <w:rPr>
          <w:rFonts w:ascii="Verdana" w:hAnsi="Verdana" w:cs="Verdana"/>
          <w:b/>
          <w:bCs/>
          <w:i/>
          <w:iCs/>
          <w:spacing w:val="5"/>
          <w:sz w:val="18"/>
          <w:szCs w:val="18"/>
          <w:lang w:val="es-ES" w:eastAsia="es-ES"/>
        </w:rPr>
        <w:t xml:space="preserve">.- </w:t>
      </w:r>
      <w:r>
        <w:rPr>
          <w:rFonts w:ascii="Verdana" w:hAnsi="Verdana" w:cs="Verdana"/>
          <w:i/>
          <w:iCs/>
          <w:spacing w:val="5"/>
          <w:sz w:val="18"/>
          <w:szCs w:val="18"/>
          <w:lang w:val="es-ES" w:eastAsia="es-ES"/>
        </w:rPr>
        <w:t>SOBRE EL DEBER DE MOTIVACIÓN DE LOS ACTOS ADMINISTRATIVOS. Ha de</w:t>
      </w:r>
    </w:p>
    <w:p w:rsidR="00B97307" w:rsidRDefault="00186D89">
      <w:pPr>
        <w:tabs>
          <w:tab w:val="left" w:pos="1584"/>
          <w:tab w:val="left" w:pos="4104"/>
          <w:tab w:val="left" w:pos="5400"/>
          <w:tab w:val="left" w:pos="5904"/>
          <w:tab w:val="left" w:pos="6480"/>
        </w:tabs>
        <w:kinsoku w:val="0"/>
        <w:overflowPunct w:val="0"/>
        <w:autoSpaceDE/>
        <w:autoSpaceDN/>
        <w:adjustRightInd/>
        <w:spacing w:before="4" w:line="220" w:lineRule="exact"/>
        <w:ind w:left="432"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indicarse,</w:t>
      </w:r>
      <w:r>
        <w:rPr>
          <w:rFonts w:ascii="Verdana" w:hAnsi="Verdana" w:cs="Verdana"/>
          <w:i/>
          <w:iCs/>
          <w:spacing w:val="-2"/>
          <w:sz w:val="18"/>
          <w:szCs w:val="18"/>
          <w:lang w:val="es-ES" w:eastAsia="es-ES"/>
        </w:rPr>
        <w:tab/>
        <w:t>que la motivación se</w:t>
      </w:r>
      <w:r>
        <w:rPr>
          <w:rFonts w:ascii="Verdana" w:hAnsi="Verdana" w:cs="Verdana"/>
          <w:i/>
          <w:iCs/>
          <w:spacing w:val="-2"/>
          <w:sz w:val="18"/>
          <w:szCs w:val="18"/>
          <w:lang w:val="es-ES" w:eastAsia="es-ES"/>
        </w:rPr>
        <w:tab/>
        <w:t>constituye</w:t>
      </w:r>
      <w:r>
        <w:rPr>
          <w:rFonts w:ascii="Verdana" w:hAnsi="Verdana" w:cs="Verdana"/>
          <w:i/>
          <w:iCs/>
          <w:spacing w:val="-2"/>
          <w:sz w:val="18"/>
          <w:szCs w:val="18"/>
          <w:lang w:val="es-ES" w:eastAsia="es-ES"/>
        </w:rPr>
        <w:tab/>
        <w:t>en</w:t>
      </w:r>
      <w:r>
        <w:rPr>
          <w:rFonts w:ascii="Verdana" w:hAnsi="Verdana" w:cs="Verdana"/>
          <w:i/>
          <w:iCs/>
          <w:spacing w:val="-2"/>
          <w:sz w:val="18"/>
          <w:szCs w:val="18"/>
          <w:lang w:val="es-ES" w:eastAsia="es-ES"/>
        </w:rPr>
        <w:tab/>
        <w:t>un</w:t>
      </w:r>
      <w:r>
        <w:rPr>
          <w:rFonts w:ascii="Verdana" w:hAnsi="Verdana" w:cs="Verdana"/>
          <w:i/>
          <w:iCs/>
          <w:spacing w:val="-2"/>
          <w:sz w:val="18"/>
          <w:szCs w:val="18"/>
          <w:lang w:val="es-ES" w:eastAsia="es-ES"/>
        </w:rPr>
        <w:tab/>
        <w:t>elemento sustancial</w:t>
      </w:r>
      <w:r>
        <w:rPr>
          <w:rFonts w:ascii="Verdana" w:hAnsi="Verdana" w:cs="Verdana"/>
          <w:i/>
          <w:iCs/>
          <w:spacing w:val="-2"/>
          <w:sz w:val="18"/>
          <w:szCs w:val="18"/>
          <w:lang w:val="es-ES" w:eastAsia="es-ES"/>
        </w:rPr>
        <w:br/>
        <w:t xml:space="preserve">del acto administrativo, que exige la consignación de las cuestiones fácticas y/o jurídicas que sustentan la voluntad pública en el caso concreto. </w:t>
      </w:r>
      <w:r>
        <w:rPr>
          <w:rFonts w:ascii="Verdana" w:hAnsi="Verdana" w:cs="Verdana"/>
          <w:i/>
          <w:iCs/>
          <w:spacing w:val="-2"/>
          <w:sz w:val="18"/>
          <w:szCs w:val="18"/>
          <w:u w:val="single"/>
          <w:lang w:val="es-ES" w:eastAsia="es-ES"/>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Pr>
          <w:rFonts w:ascii="Verdana" w:hAnsi="Verdana" w:cs="Verdana"/>
          <w:i/>
          <w:iCs/>
          <w:spacing w:val="-2"/>
          <w:sz w:val="18"/>
          <w:szCs w:val="18"/>
          <w:lang w:val="es-ES" w:eastAsia="es-ES"/>
        </w:rPr>
        <w:t xml:space="preserve"> </w:t>
      </w:r>
      <w:proofErr w:type="gramStart"/>
      <w:r>
        <w:rPr>
          <w:rFonts w:ascii="Verdana" w:hAnsi="Verdana" w:cs="Verdana"/>
          <w:i/>
          <w:iCs/>
          <w:spacing w:val="-2"/>
          <w:sz w:val="18"/>
          <w:szCs w:val="18"/>
          <w:lang w:val="es-ES" w:eastAsia="es-ES"/>
        </w:rPr>
        <w:t>Pero</w:t>
      </w:r>
      <w:proofErr w:type="gramEnd"/>
      <w:r>
        <w:rPr>
          <w:rFonts w:ascii="Verdana" w:hAnsi="Verdana" w:cs="Verdana"/>
          <w:i/>
          <w:iCs/>
          <w:spacing w:val="-2"/>
          <w:sz w:val="18"/>
          <w:szCs w:val="18"/>
          <w:lang w:val="es-ES" w:eastAsia="es-ES"/>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w:t>
      </w:r>
    </w:p>
    <w:p w:rsidR="00B97307" w:rsidRDefault="00186D89">
      <w:pPr>
        <w:numPr>
          <w:ilvl w:val="0"/>
          <w:numId w:val="15"/>
        </w:numPr>
        <w:kinsoku w:val="0"/>
        <w:overflowPunct w:val="0"/>
        <w:autoSpaceDE/>
        <w:autoSpaceDN/>
        <w:adjustRightInd/>
        <w:spacing w:before="8" w:line="221" w:lineRule="exact"/>
        <w:ind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w:t>
      </w:r>
    </w:p>
    <w:p w:rsidR="00B97307" w:rsidRDefault="00B97307">
      <w:pPr>
        <w:widowControl/>
        <w:rPr>
          <w:sz w:val="24"/>
          <w:szCs w:val="24"/>
        </w:rPr>
        <w:sectPr w:rsidR="00B97307">
          <w:pgSz w:w="12283" w:h="15730"/>
          <w:pgMar w:top="740" w:right="1629" w:bottom="334" w:left="1654" w:header="720" w:footer="720" w:gutter="0"/>
          <w:cols w:space="720"/>
          <w:noEndnote/>
        </w:sectPr>
      </w:pPr>
    </w:p>
    <w:p w:rsidR="00B97307" w:rsidRDefault="00186D89">
      <w:pPr>
        <w:kinsoku w:val="0"/>
        <w:overflowPunct w:val="0"/>
        <w:autoSpaceDE/>
        <w:autoSpaceDN/>
        <w:adjustRightInd/>
        <w:spacing w:before="38" w:line="217" w:lineRule="exact"/>
        <w:ind w:left="432"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 xml:space="preserve">jurídicas que se estiman pertinentes al caso, ni la simple transcripción de criterios sin acompañar detalle de las razones por las cuales se </w:t>
      </w:r>
      <w:proofErr w:type="spellStart"/>
      <w:r>
        <w:rPr>
          <w:rFonts w:ascii="Verdana" w:hAnsi="Verdana" w:cs="Verdana"/>
          <w:i/>
          <w:iCs/>
          <w:spacing w:val="-2"/>
          <w:sz w:val="18"/>
          <w:szCs w:val="18"/>
          <w:lang w:val="es-ES" w:eastAsia="es-ES"/>
        </w:rPr>
        <w:t>prohijan</w:t>
      </w:r>
      <w:proofErr w:type="spellEnd"/>
      <w:r>
        <w:rPr>
          <w:rFonts w:ascii="Verdana" w:hAnsi="Verdana" w:cs="Verdana"/>
          <w:i/>
          <w:iCs/>
          <w:spacing w:val="-2"/>
          <w:sz w:val="18"/>
          <w:szCs w:val="18"/>
          <w:lang w:val="es-ES" w:eastAsia="es-ES"/>
        </w:rPr>
        <w:t xml:space="preserve">. </w:t>
      </w:r>
      <w:r>
        <w:rPr>
          <w:rFonts w:ascii="Verdana" w:hAnsi="Verdana" w:cs="Verdana"/>
          <w:i/>
          <w:iCs/>
          <w:spacing w:val="-2"/>
          <w:sz w:val="18"/>
          <w:szCs w:val="18"/>
          <w:u w:val="single"/>
          <w:lang w:val="es-ES" w:eastAsia="es-ES"/>
        </w:rPr>
        <w:t xml:space="preserve">La relevancia de </w:t>
      </w:r>
      <w:proofErr w:type="gramStart"/>
      <w:r>
        <w:rPr>
          <w:rFonts w:ascii="Verdana" w:hAnsi="Verdana" w:cs="Verdana"/>
          <w:i/>
          <w:iCs/>
          <w:spacing w:val="-2"/>
          <w:sz w:val="18"/>
          <w:szCs w:val="18"/>
          <w:u w:val="single"/>
          <w:lang w:val="es-ES" w:eastAsia="es-ES"/>
        </w:rPr>
        <w:t>esta  exigencia</w:t>
      </w:r>
      <w:proofErr w:type="gramEnd"/>
      <w:r>
        <w:rPr>
          <w:rFonts w:ascii="Verdana" w:hAnsi="Verdana" w:cs="Verdana"/>
          <w:i/>
          <w:iCs/>
          <w:spacing w:val="-2"/>
          <w:sz w:val="18"/>
          <w:szCs w:val="18"/>
          <w:u w:val="single"/>
          <w:lang w:val="es-ES" w:eastAsia="es-ES"/>
        </w:rPr>
        <w:t xml:space="preserve">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Pr>
          <w:rFonts w:ascii="Verdana" w:hAnsi="Verdana" w:cs="Verdana"/>
          <w:i/>
          <w:iCs/>
          <w:spacing w:val="-2"/>
          <w:sz w:val="18"/>
          <w:szCs w:val="18"/>
          <w:u w:val="single"/>
          <w:lang w:val="es-ES" w:eastAsia="es-ES"/>
        </w:rPr>
        <w:t>ibídem</w:t>
      </w:r>
      <w:proofErr w:type="spellEnd"/>
      <w:r>
        <w:rPr>
          <w:rFonts w:ascii="Verdana" w:hAnsi="Verdana" w:cs="Verdana"/>
          <w:i/>
          <w:iCs/>
          <w:spacing w:val="-2"/>
          <w:sz w:val="18"/>
          <w:szCs w:val="18"/>
          <w:u w:val="single"/>
          <w:lang w:val="es-ES" w:eastAsia="es-ES"/>
        </w:rPr>
        <w:t xml:space="preserve">) y el examen de la procedencia o  improcedencia de un determinado efecto, a la luz de las normas jurídicas atinentes al caso. </w:t>
      </w:r>
      <w:r>
        <w:rPr>
          <w:rFonts w:ascii="Verdana" w:hAnsi="Verdana" w:cs="Verdana"/>
          <w:i/>
          <w:iCs/>
          <w:spacing w:val="-2"/>
          <w:sz w:val="18"/>
          <w:szCs w:val="18"/>
          <w:lang w:val="es-ES" w:eastAsia="es-ES"/>
        </w:rPr>
        <w:t xml:space="preserve">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Pr>
          <w:rFonts w:ascii="Verdana" w:hAnsi="Verdana" w:cs="Verdana"/>
          <w:i/>
          <w:iCs/>
          <w:spacing w:val="-2"/>
          <w:sz w:val="18"/>
          <w:szCs w:val="18"/>
          <w:lang w:val="es-ES" w:eastAsia="es-ES"/>
        </w:rPr>
        <w:t>recurribilidad</w:t>
      </w:r>
      <w:proofErr w:type="spellEnd"/>
      <w:r>
        <w:rPr>
          <w:rFonts w:ascii="Verdana" w:hAnsi="Verdana" w:cs="Verdana"/>
          <w:i/>
          <w:iCs/>
          <w:spacing w:val="-2"/>
          <w:sz w:val="18"/>
          <w:szCs w:val="18"/>
          <w:lang w:val="es-ES" w:eastAsia="es-ES"/>
        </w:rPr>
        <w:t>....</w:t>
      </w:r>
      <w:proofErr w:type="gramEnd"/>
      <w:r>
        <w:rPr>
          <w:rFonts w:ascii="Verdana" w:hAnsi="Verdana" w:cs="Verdana"/>
          <w:i/>
          <w:iCs/>
          <w:spacing w:val="-2"/>
          <w:sz w:val="18"/>
          <w:szCs w:val="18"/>
          <w:lang w:val="es-ES" w:eastAsia="es-ES"/>
        </w:rPr>
        <w:t>"</w:t>
      </w:r>
    </w:p>
    <w:p w:rsidR="00B97307" w:rsidRDefault="00186D89">
      <w:pPr>
        <w:kinsoku w:val="0"/>
        <w:overflowPunct w:val="0"/>
        <w:autoSpaceDE/>
        <w:autoSpaceDN/>
        <w:adjustRightInd/>
        <w:spacing w:before="215" w:line="290" w:lineRule="exact"/>
        <w:ind w:left="72" w:right="72"/>
        <w:textAlignment w:val="baseline"/>
        <w:rPr>
          <w:b/>
          <w:bCs/>
          <w:spacing w:val="2"/>
          <w:sz w:val="27"/>
          <w:szCs w:val="27"/>
          <w:lang w:val="es-ES" w:eastAsia="es-ES"/>
        </w:rPr>
      </w:pPr>
      <w:r>
        <w:rPr>
          <w:b/>
          <w:bCs/>
          <w:spacing w:val="2"/>
          <w:sz w:val="27"/>
          <w:szCs w:val="27"/>
          <w:lang w:val="es-ES" w:eastAsia="es-ES"/>
        </w:rPr>
        <w:t>PRINCIPIOS DE RAZONABILIDAD Y PROPORCIONALIDAD</w:t>
      </w:r>
    </w:p>
    <w:p w:rsidR="00B97307" w:rsidRDefault="00186D89" w:rsidP="00F142D7">
      <w:pPr>
        <w:kinsoku w:val="0"/>
        <w:overflowPunct w:val="0"/>
        <w:autoSpaceDE/>
        <w:autoSpaceDN/>
        <w:adjustRightInd/>
        <w:spacing w:before="287"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proporcional y razonabilidad, es de especial relevancia dentro de los institutos jurídicos en que debe basarse la Administración</w:t>
      </w:r>
      <w:r w:rsidR="00F142D7">
        <w:rPr>
          <w:rFonts w:ascii="Verdana" w:hAnsi="Verdana" w:cs="Verdana"/>
          <w:sz w:val="24"/>
          <w:szCs w:val="24"/>
          <w:lang w:val="es-ES" w:eastAsia="es-ES"/>
        </w:rPr>
        <w:t xml:space="preserve"> </w:t>
      </w:r>
      <w:r>
        <w:rPr>
          <w:rFonts w:ascii="Verdana" w:hAnsi="Verdana" w:cs="Verdana"/>
          <w:sz w:val="24"/>
          <w:szCs w:val="24"/>
          <w:lang w:val="es-ES" w:eastAsia="es-ES"/>
        </w:rPr>
        <w:t>Pública en la adopción de sus actos.</w:t>
      </w:r>
      <w:r>
        <w:rPr>
          <w:rFonts w:ascii="Verdana" w:hAnsi="Verdana" w:cs="Verdana"/>
          <w:sz w:val="24"/>
          <w:szCs w:val="24"/>
          <w:lang w:val="es-ES" w:eastAsia="es-ES"/>
        </w:rPr>
        <w:tab/>
        <w:t>Lo indicado por cuanto va</w:t>
      </w:r>
      <w:r>
        <w:rPr>
          <w:rFonts w:ascii="Verdana" w:hAnsi="Verdana" w:cs="Verdana"/>
          <w:sz w:val="24"/>
          <w:szCs w:val="24"/>
          <w:lang w:val="es-ES" w:eastAsia="es-ES"/>
        </w:rPr>
        <w:br/>
        <w:t>estrechamente relacionado con otros principios del servicio público como el de seguridad jurídica y buena fe que buscan equilibrar las relaciones entre los administrados y los poderes de Imperio del Estado.</w:t>
      </w:r>
    </w:p>
    <w:p w:rsidR="00B97307" w:rsidRDefault="00186D89">
      <w:pPr>
        <w:kinsoku w:val="0"/>
        <w:overflowPunct w:val="0"/>
        <w:autoSpaceDE/>
        <w:autoSpaceDN/>
        <w:adjustRightInd/>
        <w:spacing w:before="272"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Razonabilidad y Proporcionalidad, buscan que los actos administrativos adoptados, no solamente guarden proporción entre el fin legítimo que se pretende y los efectos en la esfera personal de los individuos, sino que sean informados por criterios de razonabilidad dentro del marco de la ciencia, la lógica y hasta el sentido común.</w:t>
      </w:r>
    </w:p>
    <w:p w:rsidR="00B97307" w:rsidRDefault="00186D89">
      <w:pPr>
        <w:kinsoku w:val="0"/>
        <w:overflowPunct w:val="0"/>
        <w:autoSpaceDE/>
        <w:autoSpaceDN/>
        <w:adjustRightInd/>
        <w:spacing w:before="297"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Tratadista costarricense </w:t>
      </w:r>
      <w:r>
        <w:rPr>
          <w:b/>
          <w:bCs/>
          <w:sz w:val="27"/>
          <w:szCs w:val="27"/>
          <w:lang w:val="es-ES" w:eastAsia="es-ES"/>
        </w:rPr>
        <w:t xml:space="preserve">Doctor Ernesto </w:t>
      </w:r>
      <w:proofErr w:type="spellStart"/>
      <w:r>
        <w:rPr>
          <w:b/>
          <w:bCs/>
          <w:sz w:val="27"/>
          <w:szCs w:val="27"/>
          <w:lang w:val="es-ES" w:eastAsia="es-ES"/>
        </w:rPr>
        <w:t>Jinesta</w:t>
      </w:r>
      <w:proofErr w:type="spellEnd"/>
      <w:r>
        <w:rPr>
          <w:b/>
          <w:bCs/>
          <w:sz w:val="27"/>
          <w:szCs w:val="27"/>
          <w:lang w:val="es-ES" w:eastAsia="es-ES"/>
        </w:rPr>
        <w:t xml:space="preserve"> Lobo, </w:t>
      </w:r>
      <w:r>
        <w:rPr>
          <w:rFonts w:ascii="Verdana" w:hAnsi="Verdana" w:cs="Verdana"/>
          <w:sz w:val="24"/>
          <w:szCs w:val="24"/>
          <w:lang w:val="es-ES" w:eastAsia="es-ES"/>
        </w:rPr>
        <w:t xml:space="preserve">en su obra </w:t>
      </w:r>
      <w:r>
        <w:rPr>
          <w:rFonts w:ascii="Verdana" w:hAnsi="Verdana" w:cs="Verdana"/>
          <w:b/>
          <w:bCs/>
          <w:i/>
          <w:iCs/>
          <w:sz w:val="24"/>
          <w:szCs w:val="24"/>
          <w:lang w:val="es-ES" w:eastAsia="es-ES"/>
        </w:rPr>
        <w:t xml:space="preserve">"Principios constitucionales que rigen a las Administraciones Públicas" </w:t>
      </w:r>
      <w:r>
        <w:rPr>
          <w:rFonts w:ascii="Verdana" w:hAnsi="Verdana" w:cs="Verdana"/>
          <w:sz w:val="24"/>
          <w:szCs w:val="24"/>
          <w:lang w:val="es-ES" w:eastAsia="es-ES"/>
        </w:rPr>
        <w:t>respecto al principio administrativo de trato indicó:</w:t>
      </w:r>
    </w:p>
    <w:p w:rsidR="00B97307" w:rsidRDefault="00186D89">
      <w:pPr>
        <w:kinsoku w:val="0"/>
        <w:overflowPunct w:val="0"/>
        <w:autoSpaceDE/>
        <w:autoSpaceDN/>
        <w:adjustRightInd/>
        <w:spacing w:before="245" w:line="226" w:lineRule="exact"/>
        <w:ind w:left="432" w:right="72"/>
        <w:textAlignment w:val="baseline"/>
        <w:rPr>
          <w:rFonts w:ascii="Verdana" w:hAnsi="Verdana" w:cs="Verdana"/>
          <w:i/>
          <w:iCs/>
          <w:spacing w:val="6"/>
          <w:sz w:val="18"/>
          <w:szCs w:val="18"/>
          <w:lang w:val="es-ES" w:eastAsia="es-ES"/>
        </w:rPr>
      </w:pPr>
      <w:r>
        <w:rPr>
          <w:rFonts w:ascii="Verdana" w:hAnsi="Verdana" w:cs="Verdana"/>
          <w:i/>
          <w:iCs/>
          <w:spacing w:val="6"/>
          <w:sz w:val="18"/>
          <w:szCs w:val="18"/>
          <w:lang w:val="es-ES" w:eastAsia="es-ES"/>
        </w:rPr>
        <w:t>"4. - Proporcionalidad y razonabilidad</w:t>
      </w:r>
      <w:r>
        <w:rPr>
          <w:rFonts w:ascii="Verdana" w:hAnsi="Verdana" w:cs="Verdana"/>
          <w:i/>
          <w:iCs/>
          <w:spacing w:val="6"/>
          <w:sz w:val="18"/>
          <w:szCs w:val="18"/>
          <w:vertAlign w:val="superscript"/>
          <w:lang w:val="es-ES" w:eastAsia="es-ES"/>
        </w:rPr>
        <w:t>1</w:t>
      </w:r>
    </w:p>
    <w:p w:rsidR="00B97307" w:rsidRDefault="00186D89">
      <w:pPr>
        <w:kinsoku w:val="0"/>
        <w:overflowPunct w:val="0"/>
        <w:autoSpaceDE/>
        <w:autoSpaceDN/>
        <w:adjustRightInd/>
        <w:spacing w:before="260" w:line="241" w:lineRule="exact"/>
        <w:ind w:left="432" w:right="432" w:firstLine="576"/>
        <w:jc w:val="both"/>
        <w:textAlignment w:val="baseline"/>
        <w:rPr>
          <w:rFonts w:ascii="Verdana" w:hAnsi="Verdana" w:cs="Verdana"/>
          <w:i/>
          <w:iCs/>
          <w:spacing w:val="9"/>
          <w:sz w:val="18"/>
          <w:szCs w:val="18"/>
          <w:lang w:val="es-ES" w:eastAsia="es-ES"/>
        </w:rPr>
      </w:pPr>
      <w:r>
        <w:rPr>
          <w:rFonts w:ascii="Verdana" w:hAnsi="Verdana" w:cs="Verdana"/>
          <w:i/>
          <w:iCs/>
          <w:spacing w:val="9"/>
          <w:sz w:val="18"/>
          <w:szCs w:val="18"/>
          <w:lang w:val="es-ES" w:eastAsia="es-ES"/>
        </w:rPr>
        <w:t>La Sala Constitucional en reiterados pronunciamientos ha indicado que este principio constituye, incluso, un parámetro de constitucionalidad de los actos sujetos al derecho público (leyes, reglamentos y actos administrativos en general), razón por la cual se ha preocupado de su análisis y desarrollo.</w:t>
      </w:r>
    </w:p>
    <w:p w:rsidR="00B97307" w:rsidRDefault="00186D89">
      <w:pPr>
        <w:kinsoku w:val="0"/>
        <w:overflowPunct w:val="0"/>
        <w:autoSpaceDE/>
        <w:autoSpaceDN/>
        <w:adjustRightInd/>
        <w:spacing w:before="257" w:line="237" w:lineRule="exact"/>
        <w:ind w:left="72" w:right="72"/>
        <w:jc w:val="center"/>
        <w:textAlignment w:val="baseline"/>
        <w:rPr>
          <w:rFonts w:ascii="Verdana" w:hAnsi="Verdana" w:cs="Verdana"/>
          <w:i/>
          <w:iCs/>
          <w:spacing w:val="9"/>
          <w:sz w:val="18"/>
          <w:szCs w:val="18"/>
          <w:lang w:val="es-ES" w:eastAsia="es-ES"/>
        </w:rPr>
      </w:pPr>
      <w:r>
        <w:rPr>
          <w:rFonts w:ascii="Verdana" w:hAnsi="Verdana" w:cs="Verdana"/>
          <w:i/>
          <w:iCs/>
          <w:spacing w:val="9"/>
          <w:sz w:val="18"/>
          <w:szCs w:val="18"/>
          <w:lang w:val="es-ES" w:eastAsia="es-ES"/>
        </w:rPr>
        <w:t>En el Voto No. 732-2001, la Sala Constitucional señaló lo siguiente:</w:t>
      </w:r>
    </w:p>
    <w:p w:rsidR="00B97307" w:rsidRDefault="00186D89">
      <w:pPr>
        <w:kinsoku w:val="0"/>
        <w:overflowPunct w:val="0"/>
        <w:autoSpaceDE/>
        <w:autoSpaceDN/>
        <w:adjustRightInd/>
        <w:spacing w:before="240" w:after="734" w:line="248" w:lineRule="exact"/>
        <w:ind w:left="432" w:right="432"/>
        <w:jc w:val="both"/>
        <w:textAlignment w:val="baseline"/>
        <w:rPr>
          <w:rFonts w:ascii="Verdana" w:hAnsi="Verdana" w:cs="Verdana"/>
          <w:i/>
          <w:iCs/>
          <w:spacing w:val="14"/>
          <w:sz w:val="18"/>
          <w:szCs w:val="18"/>
          <w:lang w:val="es-ES" w:eastAsia="es-ES"/>
        </w:rPr>
      </w:pPr>
      <w:r>
        <w:rPr>
          <w:rFonts w:ascii="Verdana" w:hAnsi="Verdana" w:cs="Verdana"/>
          <w:i/>
          <w:iCs/>
          <w:spacing w:val="14"/>
          <w:sz w:val="18"/>
          <w:szCs w:val="18"/>
          <w:lang w:val="es-ES" w:eastAsia="es-ES"/>
        </w:rPr>
        <w:t xml:space="preserve">"V.- </w:t>
      </w:r>
      <w:r>
        <w:rPr>
          <w:rFonts w:ascii="Verdana" w:hAnsi="Verdana" w:cs="Verdana"/>
          <w:b/>
          <w:bCs/>
          <w:i/>
          <w:iCs/>
          <w:spacing w:val="14"/>
          <w:sz w:val="18"/>
          <w:szCs w:val="18"/>
          <w:lang w:val="es-ES" w:eastAsia="es-ES"/>
        </w:rPr>
        <w:t xml:space="preserve">DEL PRINCIPIO DE RAZONABILIDAD COMO PARÁMETRO CONSTITUCIONAL. </w:t>
      </w:r>
      <w:r>
        <w:rPr>
          <w:rFonts w:ascii="Verdana" w:hAnsi="Verdana" w:cs="Verdana"/>
          <w:i/>
          <w:iCs/>
          <w:spacing w:val="14"/>
          <w:sz w:val="18"/>
          <w:szCs w:val="18"/>
          <w:lang w:val="es-ES" w:eastAsia="es-ES"/>
        </w:rPr>
        <w:t xml:space="preserve">La jurisprudencia constitucional ha sido clara y conteste en considerar que el principio de razonabilidad constituye un parámetro de constitucionalidad ... Para realizar el juicio de razonabilidad la doctrina estadounidense invita a examinar, en primer término, la llamada </w:t>
      </w:r>
      <w:r>
        <w:rPr>
          <w:rFonts w:ascii="Verdana" w:hAnsi="Verdana" w:cs="Verdana"/>
          <w:b/>
          <w:bCs/>
          <w:i/>
          <w:iCs/>
          <w:spacing w:val="14"/>
          <w:sz w:val="18"/>
          <w:szCs w:val="18"/>
          <w:lang w:val="es-ES" w:eastAsia="es-ES"/>
        </w:rPr>
        <w:t xml:space="preserve">"razonabilidad técnica" </w:t>
      </w:r>
      <w:r>
        <w:rPr>
          <w:rFonts w:ascii="Verdana" w:hAnsi="Verdana" w:cs="Verdana"/>
          <w:i/>
          <w:iCs/>
          <w:spacing w:val="14"/>
          <w:sz w:val="18"/>
          <w:szCs w:val="18"/>
          <w:lang w:val="es-ES" w:eastAsia="es-ES"/>
        </w:rPr>
        <w:t>dentro de la que se examina la norma en concreto</w:t>
      </w:r>
    </w:p>
    <w:p w:rsidR="00B97307" w:rsidRDefault="00B97307">
      <w:pPr>
        <w:widowControl/>
        <w:rPr>
          <w:sz w:val="24"/>
          <w:szCs w:val="24"/>
        </w:rPr>
        <w:sectPr w:rsidR="00B97307">
          <w:pgSz w:w="12278" w:h="15782"/>
          <w:pgMar w:top="1000" w:right="1533" w:bottom="201" w:left="1745" w:header="720" w:footer="720" w:gutter="0"/>
          <w:cols w:space="720"/>
          <w:noEndnote/>
        </w:sectPr>
      </w:pPr>
    </w:p>
    <w:p w:rsidR="00B97307" w:rsidRDefault="00B97307">
      <w:pPr>
        <w:widowControl/>
        <w:rPr>
          <w:sz w:val="24"/>
          <w:szCs w:val="24"/>
        </w:rPr>
        <w:sectPr w:rsidR="00B97307">
          <w:type w:val="continuous"/>
          <w:pgSz w:w="12278" w:h="15782"/>
          <w:pgMar w:top="1000" w:right="1607" w:bottom="201" w:left="8851" w:header="720" w:footer="720" w:gutter="0"/>
          <w:cols w:space="720"/>
          <w:noEndnote/>
        </w:sectPr>
      </w:pPr>
    </w:p>
    <w:p w:rsidR="00B97307" w:rsidRDefault="00186D89">
      <w:pPr>
        <w:kinsoku w:val="0"/>
        <w:overflowPunct w:val="0"/>
        <w:autoSpaceDE/>
        <w:autoSpaceDN/>
        <w:adjustRightInd/>
        <w:spacing w:before="18" w:line="244" w:lineRule="exact"/>
        <w:ind w:left="288" w:right="648"/>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lastRenderedPageBreak/>
        <w:t xml:space="preserve">(ley, reglamento, etc.). Una vez establecido que la norma elegida es la adecuada para regular determinada materia, habrá que examinar si hay proporcionalidad entre el medio escogido y el fin buscado. Superado el criterio de "razonabilidad técnica" hay que analizar la </w:t>
      </w:r>
      <w:r>
        <w:rPr>
          <w:rFonts w:ascii="Verdana" w:hAnsi="Verdana" w:cs="Verdana"/>
          <w:b/>
          <w:bCs/>
          <w:i/>
          <w:iCs/>
          <w:spacing w:val="3"/>
          <w:sz w:val="19"/>
          <w:szCs w:val="19"/>
          <w:lang w:val="es-ES" w:eastAsia="es-ES"/>
        </w:rPr>
        <w:t xml:space="preserve">"razonabilidad jurídica". </w:t>
      </w:r>
      <w:r>
        <w:rPr>
          <w:rFonts w:ascii="Verdana" w:hAnsi="Verdana" w:cs="Verdana"/>
          <w:i/>
          <w:iCs/>
          <w:spacing w:val="3"/>
          <w:sz w:val="19"/>
          <w:szCs w:val="19"/>
          <w:lang w:val="es-ES" w:eastAsia="es-ES"/>
        </w:rPr>
        <w:t xml:space="preserve">Para lo cual esta doctrina propone examinar: </w:t>
      </w:r>
      <w:r>
        <w:rPr>
          <w:rFonts w:ascii="Verdana" w:hAnsi="Verdana" w:cs="Verdana"/>
          <w:b/>
          <w:bCs/>
          <w:i/>
          <w:iCs/>
          <w:spacing w:val="3"/>
          <w:sz w:val="19"/>
          <w:szCs w:val="19"/>
          <w:lang w:val="es-ES" w:eastAsia="es-ES"/>
        </w:rPr>
        <w:t xml:space="preserve">a) </w:t>
      </w:r>
      <w:r>
        <w:rPr>
          <w:rFonts w:ascii="Verdana" w:hAnsi="Verdana" w:cs="Verdana"/>
          <w:i/>
          <w:iCs/>
          <w:spacing w:val="3"/>
          <w:sz w:val="19"/>
          <w:szCs w:val="19"/>
          <w:lang w:val="es-ES" w:eastAsia="es-ES"/>
        </w:rPr>
        <w:t xml:space="preserve">razonabilidad ponderativa, que es un tipo de valoración jurídica a la que se concurre cuando ante la existencia de un determinado antecedente (ej. ingreso) se exige una determinada prestación (ej. tributo), debiendo en este supuesto establecerse si la misma es equivalente o proporcionada; </w:t>
      </w:r>
      <w:r>
        <w:rPr>
          <w:rFonts w:ascii="Verdana" w:hAnsi="Verdana" w:cs="Verdana"/>
          <w:b/>
          <w:bCs/>
          <w:i/>
          <w:iCs/>
          <w:spacing w:val="3"/>
          <w:sz w:val="19"/>
          <w:szCs w:val="19"/>
          <w:lang w:val="es-ES" w:eastAsia="es-ES"/>
        </w:rPr>
        <w:t xml:space="preserve">b) </w:t>
      </w:r>
      <w:r>
        <w:rPr>
          <w:rFonts w:ascii="Verdana" w:hAnsi="Verdana" w:cs="Verdana"/>
          <w:i/>
          <w:iCs/>
          <w:spacing w:val="3"/>
          <w:sz w:val="19"/>
          <w:szCs w:val="19"/>
          <w:lang w:val="es-ES" w:eastAsia="es-ES"/>
        </w:rPr>
        <w:t xml:space="preserve">la razonabilidad de igualdad, es el tipo de valoración jurídica que parte de que ante iguales antecedentes deben haber iguales consecuencias, sin excepciones arbitrarias; </w:t>
      </w:r>
      <w:r>
        <w:rPr>
          <w:rFonts w:ascii="Verdana" w:hAnsi="Verdana" w:cs="Verdana"/>
          <w:b/>
          <w:bCs/>
          <w:i/>
          <w:iCs/>
          <w:spacing w:val="3"/>
          <w:sz w:val="19"/>
          <w:szCs w:val="19"/>
          <w:lang w:val="es-ES" w:eastAsia="es-ES"/>
        </w:rPr>
        <w:t xml:space="preserve">c) </w:t>
      </w:r>
      <w:r>
        <w:rPr>
          <w:rFonts w:ascii="Verdana" w:hAnsi="Verdana" w:cs="Verdana"/>
          <w:i/>
          <w:iCs/>
          <w:spacing w:val="3"/>
          <w:sz w:val="19"/>
          <w:szCs w:val="19"/>
          <w:lang w:val="es-ES" w:eastAsia="es-ES"/>
        </w:rPr>
        <w:t>razonabilidad en el fin, en este punto se valora si el objetivo a alcanzar, no ofende los fines previstos por el legislador con su aprobación. Dentro de este mismo análisis, no basta con afirmar que un medio sea razonablemente adecuado a un fin; es necesario, además, verificar la índole y el tamaño de la limitación que por ese medio debe soportar un derecho personal. De esta manera, si al mismo fin se puede llegar buscando otro medio que produzca una limitación menos gravosa a los derechos personales, el medio escogido no es razonable..." (En igual sentido Votos Nos. 843-02 del 30 de enero de 2002; 5374-03 del 20 de junio de 2003; 340-04 del 16 de enero de 2004; 846-05 del 28 de enero de 2005; 1800-05 del 23 de febrero de 2005; 2236-05 del 2 de marzo de 2005; 1806-06 del 15 de febrero de 2006; 1807-06 del 15 de febrero de 2006 y 1557-07 del 7 de febrero de 2007 y 1571-08 del 15 de enero de 2008).</w:t>
      </w:r>
    </w:p>
    <w:p w:rsidR="00B97307" w:rsidRDefault="00186D89">
      <w:pPr>
        <w:kinsoku w:val="0"/>
        <w:overflowPunct w:val="0"/>
        <w:autoSpaceDE/>
        <w:autoSpaceDN/>
        <w:adjustRightInd/>
        <w:spacing w:before="235" w:line="244" w:lineRule="exact"/>
        <w:ind w:left="288" w:right="648" w:firstLine="504"/>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Siguiendo la doctrina alemana, la Sala Constitucional ha considerado que los componentes básicos de la proporcionalidad, son la legitimidad, la idoneidad, la necesidad y la proporcionalidad en sentido estricto. Así, en el Voto No. 3933</w:t>
      </w:r>
      <w:r>
        <w:rPr>
          <w:rFonts w:ascii="Verdana" w:hAnsi="Verdana" w:cs="Verdana"/>
          <w:i/>
          <w:iCs/>
          <w:sz w:val="19"/>
          <w:szCs w:val="19"/>
          <w:lang w:val="es-ES" w:eastAsia="es-ES"/>
        </w:rPr>
        <w:softHyphen/>
        <w:t>98, indico lo siguiente:</w:t>
      </w:r>
    </w:p>
    <w:p w:rsidR="00B97307" w:rsidRDefault="00F142D7">
      <w:pPr>
        <w:kinsoku w:val="0"/>
        <w:overflowPunct w:val="0"/>
        <w:autoSpaceDE/>
        <w:autoSpaceDN/>
        <w:adjustRightInd/>
        <w:spacing w:before="227" w:line="244" w:lineRule="exact"/>
        <w:ind w:left="288" w:right="648"/>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w:t>
      </w:r>
      <w:r w:rsidR="00186D89">
        <w:rPr>
          <w:rFonts w:ascii="Verdana" w:hAnsi="Verdana" w:cs="Verdana"/>
          <w:i/>
          <w:iCs/>
          <w:spacing w:val="3"/>
          <w:sz w:val="19"/>
          <w:szCs w:val="19"/>
          <w:lang w:val="es-ES" w:eastAsia="es-ES"/>
        </w:rPr>
        <w:t>...)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y la proporcionalidad en sentido estricto dispone que aparte del requisito de que la norma sea apta y necesaria, lo ordenado por ella no debe estar fuera de proporción con respecto al objetivo pretendido, o sea, no le sea "exigible" al individuo (...)".</w:t>
      </w:r>
    </w:p>
    <w:p w:rsidR="00B97307" w:rsidRDefault="00186D89">
      <w:pPr>
        <w:kinsoku w:val="0"/>
        <w:overflowPunct w:val="0"/>
        <w:autoSpaceDE/>
        <w:autoSpaceDN/>
        <w:adjustRightInd/>
        <w:spacing w:before="237" w:line="244" w:lineRule="exact"/>
        <w:ind w:left="288" w:right="648" w:firstLine="504"/>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En el Voto No. 8858-98, la Sala Constitucional volvió a referirse a los componentes referidos, al indicar lo siguiente:</w:t>
      </w:r>
    </w:p>
    <w:p w:rsidR="00B97307" w:rsidRDefault="00186D89" w:rsidP="00F142D7">
      <w:pPr>
        <w:kinsoku w:val="0"/>
        <w:overflowPunct w:val="0"/>
        <w:autoSpaceDE/>
        <w:autoSpaceDN/>
        <w:adjustRightInd/>
        <w:spacing w:before="285" w:line="244" w:lineRule="exact"/>
        <w:ind w:left="288" w:right="648"/>
        <w:jc w:val="both"/>
        <w:textAlignment w:val="baseline"/>
        <w:rPr>
          <w:rFonts w:ascii="Verdana" w:hAnsi="Verdana" w:cs="Verdana"/>
          <w:i/>
          <w:iCs/>
          <w:spacing w:val="1"/>
          <w:sz w:val="19"/>
          <w:szCs w:val="19"/>
          <w:lang w:val="es-ES" w:eastAsia="es-ES"/>
        </w:rPr>
      </w:pPr>
      <w:r>
        <w:rPr>
          <w:rFonts w:ascii="Verdana" w:hAnsi="Verdana" w:cs="Verdana"/>
          <w:i/>
          <w:iCs/>
          <w:spacing w:val="1"/>
          <w:sz w:val="19"/>
          <w:szCs w:val="19"/>
          <w:lang w:val="es-ES" w:eastAsia="es-ES"/>
        </w:rPr>
        <w:t xml:space="preserve">"Así, un acto limitativo de derechos es razonable cuando cumple con una triple condición: es necesario, idóneo y proporcional. La </w:t>
      </w:r>
      <w:r>
        <w:rPr>
          <w:rFonts w:ascii="Verdana" w:hAnsi="Verdana" w:cs="Verdana"/>
          <w:b/>
          <w:bCs/>
          <w:i/>
          <w:iCs/>
          <w:spacing w:val="1"/>
          <w:sz w:val="19"/>
          <w:szCs w:val="19"/>
          <w:lang w:val="es-ES" w:eastAsia="es-ES"/>
        </w:rPr>
        <w:t xml:space="preserve">necesidad </w:t>
      </w:r>
      <w:r>
        <w:rPr>
          <w:rFonts w:ascii="Verdana" w:hAnsi="Verdana" w:cs="Verdana"/>
          <w:i/>
          <w:iCs/>
          <w:spacing w:val="1"/>
          <w:sz w:val="19"/>
          <w:szCs w:val="19"/>
          <w:lang w:val="es-ES" w:eastAsia="es-ES"/>
        </w:rPr>
        <w:t xml:space="preserve">de una medida hace directa referencia a la existencia de una base fáctica que haga preciso proteger algún bien o conjunto de bienes de la colectividad -o de un determinado grupo- mediante la adopción de una medida de diferenciación. Es decir, </w:t>
      </w:r>
      <w:proofErr w:type="gramStart"/>
      <w:r>
        <w:rPr>
          <w:rFonts w:ascii="Verdana" w:hAnsi="Verdana" w:cs="Verdana"/>
          <w:i/>
          <w:iCs/>
          <w:spacing w:val="1"/>
          <w:sz w:val="19"/>
          <w:szCs w:val="19"/>
          <w:lang w:val="es-ES" w:eastAsia="es-ES"/>
        </w:rPr>
        <w:t>que</w:t>
      </w:r>
      <w:proofErr w:type="gramEnd"/>
      <w:r>
        <w:rPr>
          <w:rFonts w:ascii="Verdana" w:hAnsi="Verdana" w:cs="Verdana"/>
          <w:i/>
          <w:iCs/>
          <w:spacing w:val="1"/>
          <w:sz w:val="19"/>
          <w:szCs w:val="19"/>
          <w:lang w:val="es-ES" w:eastAsia="es-ES"/>
        </w:rPr>
        <w:t xml:space="preserve"> si dicha actuación no es realizada, importantes intereses públicos van a ser lesionados. Si la limitación no es necesaria, tampoco podrá ser considerada como razonable, y por ende constitucionalmente válida. La idoneidad, por su parte, importa un juicio referente a si el tipo de restricción a ser adoptado cumple o no con la finalidad de satisfacer la necesidad detectada. La </w:t>
      </w:r>
      <w:proofErr w:type="spellStart"/>
      <w:r>
        <w:rPr>
          <w:rFonts w:ascii="Verdana" w:hAnsi="Verdana" w:cs="Verdana"/>
          <w:i/>
          <w:iCs/>
          <w:spacing w:val="1"/>
          <w:sz w:val="19"/>
          <w:szCs w:val="19"/>
          <w:lang w:val="es-ES" w:eastAsia="es-ES"/>
        </w:rPr>
        <w:t>inidoneidad</w:t>
      </w:r>
      <w:proofErr w:type="spellEnd"/>
      <w:r>
        <w:rPr>
          <w:rFonts w:ascii="Verdana" w:hAnsi="Verdana" w:cs="Verdana"/>
          <w:i/>
          <w:iCs/>
          <w:spacing w:val="1"/>
          <w:sz w:val="19"/>
          <w:szCs w:val="19"/>
          <w:lang w:val="es-ES" w:eastAsia="es-ES"/>
        </w:rPr>
        <w:t xml:space="preserve"> de la medida nos indicaría que pueden existir otros mecanismos que en mejor manera solucionen la necesidad existente, pudiendo algunos de ellos cumplir con la finalidad propuesta sin restringir el disfrute del derecho en cuestión. Por su parte, la proporcionalidad nos remite a un juicio de necesaria comparación entre la</w:t>
      </w:r>
    </w:p>
    <w:p w:rsidR="00B97307" w:rsidRDefault="00B97307">
      <w:pPr>
        <w:widowControl/>
        <w:rPr>
          <w:sz w:val="24"/>
          <w:szCs w:val="24"/>
        </w:rPr>
        <w:sectPr w:rsidR="00B97307">
          <w:pgSz w:w="12278" w:h="15782"/>
          <w:pgMar w:top="740" w:right="1442" w:bottom="346" w:left="1836" w:header="720" w:footer="720" w:gutter="0"/>
          <w:cols w:space="720"/>
          <w:noEndnote/>
        </w:sectPr>
      </w:pPr>
    </w:p>
    <w:p w:rsidR="00B97307" w:rsidRDefault="00186D89">
      <w:pPr>
        <w:kinsoku w:val="0"/>
        <w:overflowPunct w:val="0"/>
        <w:autoSpaceDE/>
        <w:autoSpaceDN/>
        <w:adjustRightInd/>
        <w:spacing w:line="243" w:lineRule="exact"/>
        <w:ind w:left="432" w:right="432"/>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lastRenderedPageBreak/>
        <w:t>finalidad perseguida por el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w:t>
      </w:r>
    </w:p>
    <w:p w:rsidR="00B97307" w:rsidRDefault="00186D89">
      <w:pPr>
        <w:kinsoku w:val="0"/>
        <w:overflowPunct w:val="0"/>
        <w:autoSpaceDE/>
        <w:autoSpaceDN/>
        <w:adjustRightInd/>
        <w:spacing w:before="240" w:line="243" w:lineRule="exact"/>
        <w:ind w:left="432" w:right="432" w:firstLine="576"/>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En el Voto No. 1739-92, la Sala Constitucional estimó que debe distinguirse entre "(...)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w:t>
      </w:r>
    </w:p>
    <w:p w:rsidR="00B97307" w:rsidRDefault="00186D89">
      <w:pPr>
        <w:kinsoku w:val="0"/>
        <w:overflowPunct w:val="0"/>
        <w:autoSpaceDE/>
        <w:autoSpaceDN/>
        <w:adjustRightInd/>
        <w:spacing w:before="256" w:line="243" w:lineRule="exact"/>
        <w:ind w:left="432" w:right="432" w:firstLine="576"/>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LGAP que no podrán dictarse actos administrativos discrecionales contrarios a las reglas unívocas de la ciencia</w:t>
      </w:r>
    </w:p>
    <w:p w:rsidR="00B97307" w:rsidRDefault="00186D89">
      <w:pPr>
        <w:numPr>
          <w:ilvl w:val="0"/>
          <w:numId w:val="16"/>
        </w:numPr>
        <w:kinsoku w:val="0"/>
        <w:overflowPunct w:val="0"/>
        <w:autoSpaceDE/>
        <w:autoSpaceDN/>
        <w:adjustRightInd/>
        <w:spacing w:line="242" w:lineRule="exact"/>
        <w:ind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 xml:space="preserve">de la técnica, o a los principios elementales de justicia, lógica o conveniencia (artículos 16, párrafo 1°, 158, párrafo 4° y 160). En materia de los elementos constitutivos de índole material-objetivo (motivo, contenido y fin), debe existir una relación de proporcionalidad entre los mismos, así para una falta disciplinaria específica de un funcionario -motivo- debe existir una sanción proporcionada </w:t>
      </w:r>
      <w:r>
        <w:rPr>
          <w:rFonts w:ascii="Verdana" w:hAnsi="Verdana" w:cs="Verdana"/>
          <w:i/>
          <w:iCs/>
          <w:sz w:val="19"/>
          <w:szCs w:val="19"/>
          <w:lang w:val="es-ES" w:eastAsia="es-ES"/>
        </w:rPr>
        <w:softHyphen/>
        <w:t>amonestación verbal o escrita, suspensión o destitución-, en tal sentido el artículo 132, párrafo 2°, de la LGAP establece que el contenido "Deberá ser (...) proporcionado al fin legal y correspondiente al motivo, cuando ambos se hallen regulados". En el terreno del Derecho Administrativo sancionador y del Derecho Tributario, el principio de proporcionalidad y razonabilidad es determinante para evitar sanciones o tributos desorbitados o desproporcionados."</w:t>
      </w:r>
    </w:p>
    <w:p w:rsidR="00B97307" w:rsidRDefault="00186D89">
      <w:pPr>
        <w:kinsoku w:val="0"/>
        <w:overflowPunct w:val="0"/>
        <w:autoSpaceDE/>
        <w:autoSpaceDN/>
        <w:adjustRightInd/>
        <w:spacing w:before="291" w:line="292" w:lineRule="exact"/>
        <w:ind w:left="72" w:right="72"/>
        <w:jc w:val="both"/>
        <w:textAlignment w:val="baseline"/>
        <w:rPr>
          <w:b/>
          <w:bCs/>
          <w:spacing w:val="9"/>
          <w:sz w:val="25"/>
          <w:szCs w:val="25"/>
          <w:lang w:val="es-ES" w:eastAsia="es-ES"/>
        </w:rPr>
      </w:pPr>
      <w:r>
        <w:rPr>
          <w:b/>
          <w:bCs/>
          <w:spacing w:val="9"/>
          <w:sz w:val="25"/>
          <w:szCs w:val="25"/>
          <w:lang w:val="es-ES" w:eastAsia="es-ES"/>
        </w:rPr>
        <w:t>DE LA SUJECIÓN DE LOS ACTOS ADMINISTRATIVOS A LOS CRITERIOS DE LA TÉCNICA, LA CIENCIA Y LA LÓGICA.</w:t>
      </w:r>
    </w:p>
    <w:p w:rsidR="00B97307" w:rsidRDefault="00186D89">
      <w:pPr>
        <w:kinsoku w:val="0"/>
        <w:overflowPunct w:val="0"/>
        <w:autoSpaceDE/>
        <w:autoSpaceDN/>
        <w:adjustRightInd/>
        <w:spacing w:before="287" w:line="28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B97307" w:rsidRDefault="00186D89">
      <w:pPr>
        <w:kinsoku w:val="0"/>
        <w:overflowPunct w:val="0"/>
        <w:autoSpaceDE/>
        <w:autoSpaceDN/>
        <w:adjustRightInd/>
        <w:spacing w:before="314" w:line="28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Ley General de la Administración Pública </w:t>
      </w:r>
      <w:r>
        <w:rPr>
          <w:rFonts w:ascii="Verdana" w:hAnsi="Verdana" w:cs="Verdana"/>
          <w:b/>
          <w:bCs/>
          <w:sz w:val="19"/>
          <w:szCs w:val="19"/>
          <w:u w:val="single"/>
          <w:lang w:val="es-ES" w:eastAsia="es-ES"/>
        </w:rPr>
        <w:t xml:space="preserve">Ley 6227 del 02 de mayo </w:t>
      </w:r>
      <w:r>
        <w:rPr>
          <w:rFonts w:ascii="Verdana" w:hAnsi="Verdana" w:cs="Verdana"/>
          <w:b/>
          <w:bCs/>
          <w:sz w:val="19"/>
          <w:szCs w:val="19"/>
          <w:lang w:val="es-ES" w:eastAsia="es-ES"/>
        </w:rPr>
        <w:t xml:space="preserve">de1978 </w:t>
      </w:r>
      <w:r>
        <w:rPr>
          <w:rFonts w:ascii="Verdana" w:hAnsi="Verdana" w:cs="Verdana"/>
          <w:sz w:val="24"/>
          <w:szCs w:val="24"/>
          <w:lang w:val="es-ES" w:eastAsia="es-ES"/>
        </w:rPr>
        <w:t>(LAGP) en su Artículo 16 dispone:</w:t>
      </w:r>
    </w:p>
    <w:p w:rsidR="00B97307" w:rsidRDefault="00186D89">
      <w:pPr>
        <w:kinsoku w:val="0"/>
        <w:overflowPunct w:val="0"/>
        <w:autoSpaceDE/>
        <w:autoSpaceDN/>
        <w:adjustRightInd/>
        <w:spacing w:before="271" w:line="243" w:lineRule="exact"/>
        <w:ind w:left="360"/>
        <w:textAlignment w:val="baseline"/>
        <w:rPr>
          <w:rFonts w:ascii="Verdana" w:hAnsi="Verdana" w:cs="Verdana"/>
          <w:sz w:val="24"/>
          <w:szCs w:val="24"/>
          <w:lang w:eastAsia="en-US"/>
        </w:rPr>
      </w:pPr>
      <w:r>
        <w:rPr>
          <w:rFonts w:ascii="Verdana" w:hAnsi="Verdana" w:cs="Verdana"/>
          <w:i/>
          <w:iCs/>
          <w:spacing w:val="3"/>
          <w:sz w:val="19"/>
          <w:szCs w:val="19"/>
          <w:lang w:val="es-ES" w:eastAsia="es-ES"/>
        </w:rPr>
        <w:t xml:space="preserve">"Artículo </w:t>
      </w:r>
      <w:proofErr w:type="gramStart"/>
      <w:r>
        <w:rPr>
          <w:rFonts w:ascii="Verdana" w:hAnsi="Verdana" w:cs="Verdana"/>
          <w:i/>
          <w:iCs/>
          <w:spacing w:val="3"/>
          <w:sz w:val="19"/>
          <w:szCs w:val="19"/>
          <w:lang w:val="es-ES" w:eastAsia="es-ES"/>
        </w:rPr>
        <w:t>16.</w:t>
      </w:r>
      <w:r>
        <w:rPr>
          <w:rFonts w:ascii="Verdana" w:hAnsi="Verdana" w:cs="Verdana"/>
          <w:i/>
          <w:iCs/>
          <w:spacing w:val="3"/>
          <w:sz w:val="19"/>
          <w:szCs w:val="19"/>
          <w:lang w:val="es-ES" w:eastAsia="es-ES"/>
        </w:rPr>
        <w:noBreakHyphen/>
      </w:r>
      <w:proofErr w:type="gramEnd"/>
    </w:p>
    <w:p w:rsidR="00B97307" w:rsidRDefault="00186D89">
      <w:pPr>
        <w:kinsoku w:val="0"/>
        <w:overflowPunct w:val="0"/>
        <w:autoSpaceDE/>
        <w:autoSpaceDN/>
        <w:adjustRightInd/>
        <w:spacing w:before="318" w:line="243" w:lineRule="exact"/>
        <w:ind w:left="72"/>
        <w:jc w:val="center"/>
        <w:textAlignment w:val="baseline"/>
        <w:rPr>
          <w:rFonts w:ascii="Verdana" w:hAnsi="Verdana" w:cs="Verdana"/>
          <w:i/>
          <w:iCs/>
          <w:spacing w:val="5"/>
          <w:sz w:val="19"/>
          <w:szCs w:val="19"/>
          <w:lang w:val="es-ES" w:eastAsia="es-ES"/>
        </w:rPr>
      </w:pPr>
      <w:r>
        <w:rPr>
          <w:rFonts w:ascii="Verdana" w:hAnsi="Verdana" w:cs="Verdana"/>
          <w:i/>
          <w:iCs/>
          <w:spacing w:val="5"/>
          <w:sz w:val="19"/>
          <w:szCs w:val="19"/>
          <w:lang w:val="es-ES" w:eastAsia="es-ES"/>
        </w:rPr>
        <w:t>1. En ningún caso podrán dictarse actos contrarios a reglas unívocas de la ciencia</w:t>
      </w:r>
    </w:p>
    <w:p w:rsidR="00B97307" w:rsidRDefault="00F142D7" w:rsidP="00F142D7">
      <w:pPr>
        <w:kinsoku w:val="0"/>
        <w:overflowPunct w:val="0"/>
        <w:autoSpaceDE/>
        <w:autoSpaceDN/>
        <w:adjustRightInd/>
        <w:spacing w:before="6" w:line="243" w:lineRule="exact"/>
        <w:ind w:left="360"/>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 xml:space="preserve"> o </w:t>
      </w:r>
      <w:r w:rsidR="00186D89">
        <w:rPr>
          <w:rFonts w:ascii="Verdana" w:hAnsi="Verdana" w:cs="Verdana"/>
          <w:i/>
          <w:iCs/>
          <w:spacing w:val="4"/>
          <w:sz w:val="19"/>
          <w:szCs w:val="19"/>
          <w:lang w:val="es-ES" w:eastAsia="es-ES"/>
        </w:rPr>
        <w:t>de la técnica, o a principios elementales de justicia, lógica o conveniencia.</w:t>
      </w:r>
    </w:p>
    <w:p w:rsidR="00B97307" w:rsidRDefault="00186D89">
      <w:pPr>
        <w:kinsoku w:val="0"/>
        <w:overflowPunct w:val="0"/>
        <w:autoSpaceDE/>
        <w:autoSpaceDN/>
        <w:adjustRightInd/>
        <w:spacing w:before="302" w:after="417" w:line="243" w:lineRule="exact"/>
        <w:ind w:left="360" w:right="288"/>
        <w:textAlignment w:val="baseline"/>
        <w:rPr>
          <w:rFonts w:ascii="Verdana" w:hAnsi="Verdana" w:cs="Verdana"/>
          <w:i/>
          <w:iCs/>
          <w:sz w:val="19"/>
          <w:szCs w:val="19"/>
          <w:lang w:val="es-ES" w:eastAsia="es-ES"/>
        </w:rPr>
      </w:pPr>
      <w:r>
        <w:rPr>
          <w:rFonts w:ascii="Verdana" w:hAnsi="Verdana" w:cs="Verdana"/>
          <w:i/>
          <w:iCs/>
          <w:sz w:val="19"/>
          <w:szCs w:val="19"/>
          <w:lang w:val="es-ES" w:eastAsia="es-ES"/>
        </w:rPr>
        <w:t>2. El Juez podrá controlar la conformidad con estas reglas no jurídicas de los elementos discrecionales del acto, como si ejerciera contralor de legalidad."</w:t>
      </w:r>
    </w:p>
    <w:p w:rsidR="00B97307" w:rsidRDefault="00B97307">
      <w:pPr>
        <w:widowControl/>
        <w:rPr>
          <w:sz w:val="24"/>
          <w:szCs w:val="24"/>
        </w:rPr>
        <w:sectPr w:rsidR="00B97307">
          <w:pgSz w:w="12283" w:h="15720"/>
          <w:pgMar w:top="980" w:right="1548" w:bottom="200" w:left="1735" w:header="720" w:footer="720" w:gutter="0"/>
          <w:cols w:space="720"/>
          <w:noEndnote/>
        </w:sectPr>
      </w:pPr>
    </w:p>
    <w:p w:rsidR="00B97307" w:rsidRDefault="00B97307">
      <w:pPr>
        <w:widowControl/>
        <w:rPr>
          <w:sz w:val="24"/>
          <w:szCs w:val="24"/>
        </w:rPr>
        <w:sectPr w:rsidR="00B97307">
          <w:type w:val="continuous"/>
          <w:pgSz w:w="12283" w:h="15720"/>
          <w:pgMar w:top="980" w:right="1619" w:bottom="200" w:left="8844" w:header="720" w:footer="720" w:gutter="0"/>
          <w:cols w:space="720"/>
          <w:noEndnote/>
        </w:sectPr>
      </w:pPr>
    </w:p>
    <w:p w:rsidR="00B97307" w:rsidRDefault="00186D89">
      <w:pPr>
        <w:kinsoku w:val="0"/>
        <w:overflowPunct w:val="0"/>
        <w:autoSpaceDE/>
        <w:autoSpaceDN/>
        <w:adjustRightInd/>
        <w:spacing w:before="15" w:line="291"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lastRenderedPageBreak/>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B97307" w:rsidRDefault="00186D89">
      <w:pPr>
        <w:kinsoku w:val="0"/>
        <w:overflowPunct w:val="0"/>
        <w:autoSpaceDE/>
        <w:autoSpaceDN/>
        <w:adjustRightInd/>
        <w:spacing w:before="244" w:line="285" w:lineRule="exact"/>
        <w:ind w:left="72" w:right="72"/>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DEL CASO CONCRETO</w:t>
      </w:r>
    </w:p>
    <w:p w:rsidR="00B97307" w:rsidRDefault="00186D89">
      <w:pPr>
        <w:kinsoku w:val="0"/>
        <w:overflowPunct w:val="0"/>
        <w:autoSpaceDE/>
        <w:autoSpaceDN/>
        <w:adjustRightInd/>
        <w:spacing w:before="311" w:line="290" w:lineRule="exact"/>
        <w:ind w:left="72" w:right="72"/>
        <w:jc w:val="both"/>
        <w:textAlignment w:val="baseline"/>
        <w:rPr>
          <w:rFonts w:ascii="Verdana" w:hAnsi="Verdana" w:cs="Verdana"/>
          <w:b/>
          <w:bCs/>
          <w:spacing w:val="-3"/>
          <w:sz w:val="24"/>
          <w:szCs w:val="24"/>
          <w:lang w:val="es-ES" w:eastAsia="es-ES"/>
        </w:rPr>
      </w:pPr>
      <w:r>
        <w:rPr>
          <w:rFonts w:ascii="Verdana" w:hAnsi="Verdana" w:cs="Verdana"/>
          <w:spacing w:val="-3"/>
          <w:sz w:val="24"/>
          <w:szCs w:val="24"/>
          <w:lang w:val="es-ES" w:eastAsia="es-ES"/>
        </w:rPr>
        <w:t xml:space="preserve">La empresa recurrente, impugna el </w:t>
      </w:r>
      <w:proofErr w:type="spellStart"/>
      <w:r>
        <w:rPr>
          <w:rFonts w:ascii="Verdana" w:hAnsi="Verdana" w:cs="Verdana"/>
          <w:b/>
          <w:bCs/>
          <w:spacing w:val="-3"/>
          <w:sz w:val="24"/>
          <w:szCs w:val="24"/>
          <w:lang w:val="es-ES" w:eastAsia="es-ES"/>
        </w:rPr>
        <w:t>articulo</w:t>
      </w:r>
      <w:proofErr w:type="spellEnd"/>
      <w:r>
        <w:rPr>
          <w:rFonts w:ascii="Verdana" w:hAnsi="Verdana" w:cs="Verdana"/>
          <w:b/>
          <w:bCs/>
          <w:spacing w:val="-3"/>
          <w:sz w:val="24"/>
          <w:szCs w:val="24"/>
          <w:lang w:val="es-ES" w:eastAsia="es-ES"/>
        </w:rPr>
        <w:t xml:space="preserve"> 7.12.25 de la Sesión Ordinaria 34-2017 de 30 de agosto de 2017, </w:t>
      </w:r>
      <w:r>
        <w:rPr>
          <w:rFonts w:ascii="Verdana" w:hAnsi="Verdana" w:cs="Verdana"/>
          <w:spacing w:val="-3"/>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3"/>
          <w:sz w:val="24"/>
          <w:szCs w:val="24"/>
          <w:lang w:val="es-ES" w:eastAsia="es-ES"/>
        </w:rPr>
        <w:t xml:space="preserve">artículo 7.18 de la Sesión Ordinaria 23-2017 de 7 de junio de 2017, </w:t>
      </w:r>
      <w:r>
        <w:rPr>
          <w:rFonts w:ascii="Verdana" w:hAnsi="Verdana" w:cs="Verdana"/>
          <w:spacing w:val="-3"/>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pacing w:val="-3"/>
          <w:sz w:val="24"/>
          <w:szCs w:val="24"/>
          <w:lang w:val="es-ES" w:eastAsia="es-ES"/>
        </w:rPr>
        <w:t>ordenatorio</w:t>
      </w:r>
      <w:proofErr w:type="spellEnd"/>
      <w:r>
        <w:rPr>
          <w:rFonts w:ascii="Verdana" w:hAnsi="Verdana" w:cs="Verdana"/>
          <w:spacing w:val="-3"/>
          <w:sz w:val="24"/>
          <w:szCs w:val="24"/>
          <w:lang w:val="es-ES" w:eastAsia="es-ES"/>
        </w:rPr>
        <w:t xml:space="preserve">, por haberlo decidido así la misma. Junta Directiva del Consejo de Transporte Público, mediante </w:t>
      </w:r>
      <w:r>
        <w:rPr>
          <w:rFonts w:ascii="Verdana" w:hAnsi="Verdana" w:cs="Verdana"/>
          <w:b/>
          <w:bCs/>
          <w:spacing w:val="-3"/>
          <w:sz w:val="24"/>
          <w:szCs w:val="24"/>
          <w:lang w:val="es-ES" w:eastAsia="es-ES"/>
        </w:rPr>
        <w:t>acuerdo 5.1 de la Sesión Ordinaria 30-2017 del 26 de julio de 2017.</w:t>
      </w:r>
    </w:p>
    <w:p w:rsidR="00B97307" w:rsidRDefault="00186D89">
      <w:pPr>
        <w:kinsoku w:val="0"/>
        <w:overflowPunct w:val="0"/>
        <w:autoSpaceDE/>
        <w:autoSpaceDN/>
        <w:adjustRightInd/>
        <w:spacing w:before="300"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Este Tribunal Administrativo de Transporte, se avoca al análisis del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y puede determinar que efectivamente, con la adopción de dicho acuerdo se genera una incertidumbre jurídica, que pudo llamar a error a los administrados.</w:t>
      </w:r>
    </w:p>
    <w:p w:rsidR="00B97307" w:rsidRDefault="00186D89">
      <w:pPr>
        <w:kinsoku w:val="0"/>
        <w:overflowPunct w:val="0"/>
        <w:autoSpaceDE/>
        <w:autoSpaceDN/>
        <w:adjustRightInd/>
        <w:spacing w:before="272" w:line="295"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Nótese que la Junta Directiva del Consejo de Transporte Público en el </w:t>
      </w:r>
      <w:r>
        <w:rPr>
          <w:rFonts w:ascii="Verdana" w:hAnsi="Verdana" w:cs="Verdana"/>
          <w:b/>
          <w:bCs/>
          <w:spacing w:val="-2"/>
          <w:sz w:val="24"/>
          <w:szCs w:val="24"/>
          <w:lang w:val="es-ES" w:eastAsia="es-ES"/>
        </w:rPr>
        <w:t xml:space="preserve">acuerdo 5.1 de la Sesión Ordinaria 30-2017, </w:t>
      </w:r>
      <w:r>
        <w:rPr>
          <w:rFonts w:ascii="Verdana" w:hAnsi="Verdana" w:cs="Verdana"/>
          <w:spacing w:val="-2"/>
          <w:sz w:val="24"/>
          <w:szCs w:val="24"/>
          <w:lang w:val="es-ES" w:eastAsia="es-ES"/>
        </w:rPr>
        <w:t xml:space="preserve">analizando una petición de prórroga planteada por la Comisión Nacional de Pequeños y Medianos Empresarios Autobuseros, determina en su Por Tanto segundo que </w:t>
      </w:r>
      <w:r>
        <w:rPr>
          <w:rFonts w:ascii="Verdana" w:hAnsi="Verdana" w:cs="Verdana"/>
          <w:i/>
          <w:iCs/>
          <w:spacing w:val="-2"/>
          <w:sz w:val="24"/>
          <w:szCs w:val="24"/>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w:t>
      </w:r>
      <w:r>
        <w:rPr>
          <w:rFonts w:ascii="Verdana" w:hAnsi="Verdana" w:cs="Verdana"/>
          <w:b/>
          <w:bCs/>
          <w:i/>
          <w:iCs/>
          <w:spacing w:val="-2"/>
          <w:sz w:val="24"/>
          <w:szCs w:val="24"/>
          <w:u w:val="single"/>
          <w:lang w:val="es-ES" w:eastAsia="es-ES"/>
        </w:rPr>
        <w:t xml:space="preserve">y por ello el establecimiento de dicha fecha, la cual no constituye un plazo perentorio, sino que es un plazo </w:t>
      </w:r>
      <w:proofErr w:type="spellStart"/>
      <w:r>
        <w:rPr>
          <w:rFonts w:ascii="Verdana" w:hAnsi="Verdana" w:cs="Verdana"/>
          <w:b/>
          <w:bCs/>
          <w:i/>
          <w:iCs/>
          <w:spacing w:val="-2"/>
          <w:sz w:val="24"/>
          <w:szCs w:val="24"/>
          <w:u w:val="single"/>
          <w:lang w:val="es-ES" w:eastAsia="es-ES"/>
        </w:rPr>
        <w:t>ordenatorio</w:t>
      </w:r>
      <w:proofErr w:type="spellEnd"/>
      <w:r>
        <w:rPr>
          <w:rFonts w:ascii="Verdana" w:hAnsi="Verdana" w:cs="Verdana"/>
          <w:b/>
          <w:bCs/>
          <w:i/>
          <w:iCs/>
          <w:spacing w:val="-2"/>
          <w:sz w:val="24"/>
          <w:szCs w:val="24"/>
          <w:u w:val="single"/>
          <w:lang w:val="es-ES" w:eastAsia="es-ES"/>
        </w:rPr>
        <w:t>"</w:t>
      </w:r>
      <w:r>
        <w:rPr>
          <w:rFonts w:ascii="Verdana" w:hAnsi="Verdana" w:cs="Verdana"/>
          <w:spacing w:val="-2"/>
          <w:sz w:val="24"/>
          <w:szCs w:val="24"/>
          <w:lang w:val="es-ES" w:eastAsia="es-ES"/>
        </w:rPr>
        <w:t xml:space="preserve"> (el resaltado es nuestro).</w:t>
      </w:r>
    </w:p>
    <w:p w:rsidR="00B97307" w:rsidRDefault="00186D89">
      <w:pPr>
        <w:kinsoku w:val="0"/>
        <w:overflowPunct w:val="0"/>
        <w:autoSpaceDE/>
        <w:autoSpaceDN/>
        <w:adjustRightInd/>
        <w:spacing w:before="302" w:line="293" w:lineRule="exact"/>
        <w:ind w:left="72" w:right="72"/>
        <w:jc w:val="both"/>
        <w:textAlignment w:val="baseline"/>
        <w:rPr>
          <w:rFonts w:ascii="Verdana" w:hAnsi="Verdana" w:cs="Verdana"/>
          <w:i/>
          <w:iCs/>
          <w:sz w:val="24"/>
          <w:szCs w:val="24"/>
          <w:lang w:val="es-ES" w:eastAsia="es-ES"/>
        </w:rPr>
      </w:pPr>
      <w:r>
        <w:rPr>
          <w:rFonts w:ascii="Verdana" w:hAnsi="Verdana" w:cs="Verdana"/>
          <w:sz w:val="24"/>
          <w:szCs w:val="24"/>
          <w:lang w:val="es-ES" w:eastAsia="es-ES"/>
        </w:rPr>
        <w:t xml:space="preserve">Por otro lado, en el Por Tanto octavo amén de lo indicado en la segunda disposición de la parte dispositiva del acuerdo determina: </w:t>
      </w:r>
      <w:r>
        <w:rPr>
          <w:rFonts w:ascii="Verdana" w:hAnsi="Verdana" w:cs="Verdana"/>
          <w:i/>
          <w:iCs/>
          <w:sz w:val="24"/>
          <w:szCs w:val="24"/>
          <w:lang w:val="es-ES" w:eastAsia="es-ES"/>
        </w:rPr>
        <w:t>"Por todo lo</w:t>
      </w:r>
    </w:p>
    <w:p w:rsidR="00B97307" w:rsidRDefault="00B97307">
      <w:pPr>
        <w:widowControl/>
        <w:rPr>
          <w:sz w:val="24"/>
          <w:szCs w:val="24"/>
        </w:rPr>
        <w:sectPr w:rsidR="00B97307">
          <w:pgSz w:w="12283" w:h="15720"/>
          <w:pgMar w:top="740" w:right="1625" w:bottom="324" w:left="1658" w:header="720" w:footer="720" w:gutter="0"/>
          <w:cols w:space="720"/>
          <w:noEndnote/>
        </w:sectPr>
      </w:pPr>
    </w:p>
    <w:p w:rsidR="00B97307" w:rsidRDefault="00186D89">
      <w:pPr>
        <w:kinsoku w:val="0"/>
        <w:overflowPunct w:val="0"/>
        <w:autoSpaceDE/>
        <w:autoSpaceDN/>
        <w:adjustRightInd/>
        <w:spacing w:before="2" w:line="291" w:lineRule="exact"/>
        <w:ind w:left="72" w:right="72"/>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lastRenderedPageBreak/>
        <w:t>anteriormente indicado, la referida fecha del primero de agosto del 2017, no se estaría prorrogando"</w:t>
      </w:r>
    </w:p>
    <w:p w:rsidR="00B97307" w:rsidRDefault="00186D89">
      <w:pPr>
        <w:kinsoku w:val="0"/>
        <w:overflowPunct w:val="0"/>
        <w:autoSpaceDE/>
        <w:autoSpaceDN/>
        <w:adjustRightInd/>
        <w:spacing w:before="187" w:line="292"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Como se puede verificar de lo dicho anteriormente, el acto de referencia es ambiguo y por lo tanto llama a confusión al administrado, quien al razonar que se ha indicado que los plazos son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ve la posibilidad de pedir una prorroga al plazo dispuesto en el </w:t>
      </w:r>
      <w:r>
        <w:rPr>
          <w:rFonts w:ascii="Verdana" w:hAnsi="Verdana" w:cs="Verdana"/>
          <w:b/>
          <w:bCs/>
          <w:sz w:val="24"/>
          <w:szCs w:val="24"/>
          <w:lang w:val="es-ES" w:eastAsia="es-ES"/>
        </w:rPr>
        <w:t xml:space="preserve">acuerdo 7.18 de la Sesión Ordinaria 23-2017 de 7 de junio de 2017, </w:t>
      </w:r>
      <w:r>
        <w:rPr>
          <w:rFonts w:ascii="Verdana" w:hAnsi="Verdana" w:cs="Verdana"/>
          <w:sz w:val="24"/>
          <w:szCs w:val="24"/>
          <w:lang w:val="es-ES" w:eastAsia="es-ES"/>
        </w:rPr>
        <w:t xml:space="preserve">que era el </w:t>
      </w:r>
      <w:r>
        <w:rPr>
          <w:rFonts w:ascii="Verdana" w:hAnsi="Verdana" w:cs="Verdana"/>
          <w:b/>
          <w:bCs/>
          <w:sz w:val="24"/>
          <w:szCs w:val="24"/>
          <w:lang w:val="es-ES" w:eastAsia="es-ES"/>
        </w:rPr>
        <w:t>1 de agosto de 2017.</w:t>
      </w:r>
    </w:p>
    <w:p w:rsidR="00B97307" w:rsidRDefault="00186D89">
      <w:pPr>
        <w:kinsoku w:val="0"/>
        <w:overflowPunct w:val="0"/>
        <w:autoSpaceDE/>
        <w:autoSpaceDN/>
        <w:adjustRightInd/>
        <w:spacing w:before="228" w:line="291" w:lineRule="exact"/>
        <w:ind w:left="72" w:right="72"/>
        <w:jc w:val="both"/>
        <w:textAlignment w:val="baseline"/>
        <w:rPr>
          <w:rFonts w:ascii="Verdana" w:hAnsi="Verdana" w:cs="Verdana"/>
          <w:i/>
          <w:iCs/>
          <w:spacing w:val="-5"/>
          <w:sz w:val="24"/>
          <w:szCs w:val="24"/>
          <w:lang w:val="es-ES" w:eastAsia="es-ES"/>
        </w:rPr>
      </w:pPr>
      <w:r>
        <w:rPr>
          <w:rFonts w:ascii="Verdana" w:hAnsi="Verdana" w:cs="Verdana"/>
          <w:spacing w:val="-5"/>
          <w:sz w:val="24"/>
          <w:szCs w:val="24"/>
          <w:lang w:val="es-ES" w:eastAsia="es-ES"/>
        </w:rPr>
        <w:t xml:space="preserve">Lo indicado anteriormente, queda evidenciado en la misma solicitud de prórroga presentada por la recurrente en conjunto con otras empresas, por medio de su representante L.M.D.P.O., el 1 de agosto del 2017, al indicar: </w:t>
      </w:r>
      <w:r>
        <w:rPr>
          <w:rFonts w:ascii="Verdana" w:hAnsi="Verdana" w:cs="Verdana"/>
          <w:i/>
          <w:iCs/>
          <w:spacing w:val="-5"/>
          <w:sz w:val="24"/>
          <w:szCs w:val="24"/>
          <w:lang w:val="es-ES" w:eastAsia="es-ES"/>
        </w:rPr>
        <w:t xml:space="preserve">"Que si bien es cierto, ese plazo es </w:t>
      </w:r>
      <w:proofErr w:type="spellStart"/>
      <w:r>
        <w:rPr>
          <w:rFonts w:ascii="Verdana" w:hAnsi="Verdana" w:cs="Verdana"/>
          <w:i/>
          <w:iCs/>
          <w:spacing w:val="-5"/>
          <w:sz w:val="24"/>
          <w:szCs w:val="24"/>
          <w:lang w:val="es-ES" w:eastAsia="es-ES"/>
        </w:rPr>
        <w:t>ordenatorio</w:t>
      </w:r>
      <w:proofErr w:type="spellEnd"/>
      <w:r>
        <w:rPr>
          <w:rFonts w:ascii="Verdana" w:hAnsi="Verdana" w:cs="Verdana"/>
          <w:i/>
          <w:iCs/>
          <w:spacing w:val="-5"/>
          <w:sz w:val="24"/>
          <w:szCs w:val="24"/>
          <w:lang w:val="es-ES" w:eastAsia="es-ES"/>
        </w:rPr>
        <w:t xml:space="preserve"> y no fatal, por lo que carece de sanción por su no cumplimiento, en aras de contribuir con la organización del plan de control de calidad, manifiesto que todas las empresas, estarán suministrando la información sobre con cual organismo se realizará el estudio, lo anterior con base en que a la fecha se están analizando las mejores ofertas para firmar el contrato".</w:t>
      </w:r>
    </w:p>
    <w:p w:rsidR="00B97307" w:rsidRDefault="00186D89">
      <w:pPr>
        <w:kinsoku w:val="0"/>
        <w:overflowPunct w:val="0"/>
        <w:autoSpaceDE/>
        <w:autoSpaceDN/>
        <w:adjustRightInd/>
        <w:spacing w:before="274"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De lo anterior se desprende con meridiana claridad que las empresas han sido llamadas a confusión debido a la ambigüedad de las decisiones de la Administración que por un lado indica que el plazo del 1 de agosto de 2017 es improrrogable, pero por otro lado indica que los plazos son perentorios y no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w:t>
      </w:r>
    </w:p>
    <w:p w:rsidR="00B97307" w:rsidRDefault="00186D89">
      <w:pPr>
        <w:kinsoku w:val="0"/>
        <w:overflowPunct w:val="0"/>
        <w:autoSpaceDE/>
        <w:autoSpaceDN/>
        <w:adjustRightInd/>
        <w:spacing w:before="303"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Sobre el tema de los plazos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La Procuraduría General de la República en su dictamen C-069-2015 del 09 de abril de 2015, respecto al tema bajo estudio indicó:</w:t>
      </w:r>
    </w:p>
    <w:p w:rsidR="00B97307" w:rsidRDefault="00186D89">
      <w:pPr>
        <w:kinsoku w:val="0"/>
        <w:overflowPunct w:val="0"/>
        <w:autoSpaceDE/>
        <w:autoSpaceDN/>
        <w:adjustRightInd/>
        <w:spacing w:before="303" w:line="240" w:lineRule="exact"/>
        <w:ind w:left="432" w:right="432"/>
        <w:jc w:val="both"/>
        <w:textAlignment w:val="baseline"/>
        <w:rPr>
          <w:rFonts w:ascii="Verdana" w:hAnsi="Verdana" w:cs="Verdana"/>
          <w:lang w:val="es-ES" w:eastAsia="es-ES"/>
        </w:rPr>
      </w:pPr>
      <w:r>
        <w:rPr>
          <w:rFonts w:ascii="Verdana" w:hAnsi="Verdana" w:cs="Verdana"/>
          <w:lang w:val="es-ES" w:eastAsia="es-ES"/>
        </w:rPr>
        <w:t xml:space="preserve">"Cabe </w:t>
      </w:r>
      <w:proofErr w:type="gramStart"/>
      <w:r>
        <w:rPr>
          <w:rFonts w:ascii="Verdana" w:hAnsi="Verdana" w:cs="Verdana"/>
          <w:lang w:val="es-ES" w:eastAsia="es-ES"/>
        </w:rPr>
        <w:t>señalar</w:t>
      </w:r>
      <w:proofErr w:type="gramEnd"/>
      <w:r>
        <w:rPr>
          <w:rFonts w:ascii="Verdana" w:hAnsi="Verdana" w:cs="Verdana"/>
          <w:lang w:val="es-ES" w:eastAsia="es-ES"/>
        </w:rPr>
        <w:t xml:space="preserve"> no obstante, que el plazo establecido en esta norma es un plazo </w:t>
      </w:r>
      <w:proofErr w:type="spellStart"/>
      <w:r>
        <w:rPr>
          <w:rFonts w:ascii="Verdana" w:hAnsi="Verdana" w:cs="Verdana"/>
          <w:lang w:val="es-ES" w:eastAsia="es-ES"/>
        </w:rPr>
        <w:t>ordenatorio</w:t>
      </w:r>
      <w:proofErr w:type="spellEnd"/>
      <w:r>
        <w:rPr>
          <w:rFonts w:ascii="Verdana" w:hAnsi="Verdana" w:cs="Verdana"/>
          <w:lang w:val="es-ES" w:eastAsia="es-ES"/>
        </w:rPr>
        <w:t>, no un plazo perentorio, tal y como lo ha establecido El Tribunal Procesal Contencioso Administrativo en la sentencia 00018 del 13 de marzo del 2014. Lo que quiere decir que el incumplimiento del plazo, no genera como regla de principio, la nulidad del procedimiento administrativo ni mucho menos inhibe a la administración para ejercer la competencia debida y dictar el acto final del procedimiento, tal y como lo establece el artículo 329 de la Ley General de la Administración Pública(..)"</w:t>
      </w:r>
    </w:p>
    <w:p w:rsidR="00B97307" w:rsidRDefault="00186D89">
      <w:pPr>
        <w:kinsoku w:val="0"/>
        <w:overflowPunct w:val="0"/>
        <w:autoSpaceDE/>
        <w:autoSpaceDN/>
        <w:adjustRightInd/>
        <w:spacing w:before="303" w:line="297" w:lineRule="exact"/>
        <w:ind w:left="72" w:right="72"/>
        <w:jc w:val="both"/>
        <w:textAlignment w:val="baseline"/>
        <w:rPr>
          <w:rFonts w:ascii="Verdana" w:hAnsi="Verdana" w:cs="Verdana"/>
          <w:i/>
          <w:iCs/>
          <w:spacing w:val="-4"/>
          <w:sz w:val="24"/>
          <w:szCs w:val="24"/>
          <w:lang w:val="es-ES" w:eastAsia="es-ES"/>
        </w:rPr>
      </w:pPr>
      <w:r>
        <w:rPr>
          <w:rFonts w:ascii="Verdana" w:hAnsi="Verdana" w:cs="Verdana"/>
          <w:spacing w:val="-4"/>
          <w:sz w:val="24"/>
          <w:szCs w:val="24"/>
          <w:lang w:val="es-ES" w:eastAsia="es-ES"/>
        </w:rPr>
        <w:t xml:space="preserve">El Consejo de Transporte Público, en varios de sus acuerdos </w:t>
      </w:r>
      <w:proofErr w:type="spellStart"/>
      <w:r>
        <w:rPr>
          <w:rFonts w:ascii="Verdana" w:hAnsi="Verdana" w:cs="Verdana"/>
          <w:spacing w:val="-4"/>
          <w:sz w:val="24"/>
          <w:szCs w:val="24"/>
          <w:lang w:val="es-ES" w:eastAsia="es-ES"/>
        </w:rPr>
        <w:t>a</w:t>
      </w:r>
      <w:proofErr w:type="spellEnd"/>
      <w:r>
        <w:rPr>
          <w:rFonts w:ascii="Verdana" w:hAnsi="Verdana" w:cs="Verdana"/>
          <w:spacing w:val="-4"/>
          <w:sz w:val="24"/>
          <w:szCs w:val="24"/>
          <w:lang w:val="es-ES" w:eastAsia="es-ES"/>
        </w:rPr>
        <w:t xml:space="preserve"> demostrado que conoce la imposibilidad de los organismos acreditados por el ECA, para absorber la demanda para realizar los estudios de calidad de todas las empresas de Transporte Remunerado de Personas, tal es el caso del </w:t>
      </w:r>
      <w:r>
        <w:rPr>
          <w:rFonts w:ascii="Verdana" w:hAnsi="Verdana" w:cs="Verdana"/>
          <w:b/>
          <w:bCs/>
          <w:spacing w:val="-4"/>
          <w:sz w:val="24"/>
          <w:szCs w:val="24"/>
          <w:lang w:val="es-ES" w:eastAsia="es-ES"/>
        </w:rPr>
        <w:t xml:space="preserve">artículo 8.1 de la Sesión Ordinaria 42-2016 de 01 de setiembre de 2016, celebrado por la Junta Directiva del Consejo de Transporte Público, </w:t>
      </w:r>
      <w:r>
        <w:rPr>
          <w:rFonts w:ascii="Verdana" w:hAnsi="Verdana" w:cs="Verdana"/>
          <w:spacing w:val="-4"/>
          <w:sz w:val="24"/>
          <w:szCs w:val="24"/>
          <w:lang w:val="es-ES" w:eastAsia="es-ES"/>
        </w:rPr>
        <w:t xml:space="preserve">en el que dispuso. "6. </w:t>
      </w:r>
      <w:r>
        <w:rPr>
          <w:rFonts w:ascii="Verdana" w:hAnsi="Verdana" w:cs="Verdana"/>
          <w:i/>
          <w:iCs/>
          <w:spacing w:val="-4"/>
          <w:sz w:val="24"/>
          <w:szCs w:val="24"/>
          <w:lang w:val="es-ES" w:eastAsia="es-ES"/>
        </w:rPr>
        <w:t xml:space="preserve">En caso que no exista capacidad instalada por parte de los Organismos de Inspección acreditados ante la ECA, o </w:t>
      </w:r>
      <w:proofErr w:type="gramStart"/>
      <w:r>
        <w:rPr>
          <w:rFonts w:ascii="Verdana" w:hAnsi="Verdana" w:cs="Verdana"/>
          <w:i/>
          <w:iCs/>
          <w:spacing w:val="-4"/>
          <w:sz w:val="24"/>
          <w:szCs w:val="24"/>
          <w:lang w:val="es-ES" w:eastAsia="es-ES"/>
        </w:rPr>
        <w:t>que</w:t>
      </w:r>
      <w:proofErr w:type="gramEnd"/>
      <w:r>
        <w:rPr>
          <w:rFonts w:ascii="Verdana" w:hAnsi="Verdana" w:cs="Verdana"/>
          <w:i/>
          <w:iCs/>
          <w:spacing w:val="-4"/>
          <w:sz w:val="24"/>
          <w:szCs w:val="24"/>
          <w:lang w:val="es-ES" w:eastAsia="es-ES"/>
        </w:rPr>
        <w:t xml:space="preserve"> aun existiendo dicha capacidad, la misma no sea suficiente para cubrir la cantidad de estudios que conlleva el transporte público en la modalidad</w:t>
      </w:r>
    </w:p>
    <w:p w:rsidR="00B97307" w:rsidRDefault="00B97307">
      <w:pPr>
        <w:widowControl/>
        <w:rPr>
          <w:sz w:val="24"/>
          <w:szCs w:val="24"/>
        </w:rPr>
        <w:sectPr w:rsidR="00B97307">
          <w:pgSz w:w="12283" w:h="15749"/>
          <w:pgMar w:top="1000" w:right="1555" w:bottom="174" w:left="1728" w:header="720" w:footer="720" w:gutter="0"/>
          <w:cols w:space="720"/>
          <w:noEndnote/>
        </w:sectPr>
      </w:pPr>
    </w:p>
    <w:p w:rsidR="00B97307" w:rsidRDefault="00186D89">
      <w:pPr>
        <w:kinsoku w:val="0"/>
        <w:overflowPunct w:val="0"/>
        <w:autoSpaceDE/>
        <w:autoSpaceDN/>
        <w:adjustRightInd/>
        <w:spacing w:before="1" w:line="292" w:lineRule="exact"/>
        <w:ind w:left="72" w:right="72"/>
        <w:jc w:val="both"/>
        <w:textAlignment w:val="baseline"/>
        <w:rPr>
          <w:rFonts w:ascii="Verdana" w:hAnsi="Verdana" w:cs="Verdana"/>
          <w:i/>
          <w:iCs/>
          <w:spacing w:val="-3"/>
          <w:sz w:val="24"/>
          <w:szCs w:val="24"/>
          <w:lang w:val="es-ES" w:eastAsia="es-ES"/>
        </w:rPr>
      </w:pPr>
      <w:r>
        <w:rPr>
          <w:rFonts w:ascii="Verdana" w:hAnsi="Verdana" w:cs="Verdana"/>
          <w:i/>
          <w:iCs/>
          <w:spacing w:val="-3"/>
          <w:sz w:val="24"/>
          <w:szCs w:val="24"/>
          <w:lang w:val="es-ES" w:eastAsia="es-ES"/>
        </w:rPr>
        <w:lastRenderedPageBreak/>
        <w:t>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B97307" w:rsidRDefault="00186D89">
      <w:pPr>
        <w:kinsoku w:val="0"/>
        <w:overflowPunct w:val="0"/>
        <w:autoSpaceDE/>
        <w:autoSpaceDN/>
        <w:adjustRightInd/>
        <w:spacing w:before="295" w:line="293"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Dado que la Administración conoce que no existe la suficiente cantidad de empresas acreditadas ante el ECA en la Norma INTE - ISO/IEC 17020, por lo que reconoce la posibilidad de hacer las dispensas del caso a las empresas y siendo que ha sido la Junta Directiva del Consejo de Transporte Público ambigua en cuanto a sus determinaciones, lo que ha llamado a confusión a las empresas, al indicar que el plazo para presentar las solicitud de indicar cual empresa no acreditada realizaría el estudio al 1 de agosto de 2017 es </w:t>
      </w:r>
      <w:proofErr w:type="spellStart"/>
      <w:r>
        <w:rPr>
          <w:rFonts w:ascii="Verdana" w:hAnsi="Verdana" w:cs="Verdana"/>
          <w:spacing w:val="-2"/>
          <w:sz w:val="24"/>
          <w:szCs w:val="24"/>
          <w:lang w:val="es-ES" w:eastAsia="es-ES"/>
        </w:rPr>
        <w:t>ordenatorio</w:t>
      </w:r>
      <w:proofErr w:type="spellEnd"/>
      <w:r>
        <w:rPr>
          <w:rFonts w:ascii="Verdana" w:hAnsi="Verdana" w:cs="Verdana"/>
          <w:spacing w:val="-2"/>
          <w:sz w:val="24"/>
          <w:szCs w:val="24"/>
          <w:lang w:val="es-ES" w:eastAsia="es-ES"/>
        </w:rPr>
        <w:t xml:space="preserve"> y no perentorio y siendo que se pone en peligro la continuidad del servicio público, este órgano colegiado considera que debe acogerse el recurso planteado y procederse a la anulación del acto impugnado.</w:t>
      </w:r>
    </w:p>
    <w:p w:rsidR="00B97307" w:rsidRDefault="00186D89">
      <w:pPr>
        <w:kinsoku w:val="0"/>
        <w:overflowPunct w:val="0"/>
        <w:autoSpaceDE/>
        <w:autoSpaceDN/>
        <w:adjustRightInd/>
        <w:spacing w:before="292"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Como </w:t>
      </w:r>
      <w:proofErr w:type="spellStart"/>
      <w:r>
        <w:rPr>
          <w:rFonts w:ascii="Verdana" w:hAnsi="Verdana" w:cs="Verdana"/>
          <w:sz w:val="24"/>
          <w:szCs w:val="24"/>
          <w:lang w:val="es-ES" w:eastAsia="es-ES"/>
        </w:rPr>
        <w:t>colorario</w:t>
      </w:r>
      <w:proofErr w:type="spellEnd"/>
      <w:r>
        <w:rPr>
          <w:rFonts w:ascii="Verdana" w:hAnsi="Verdana" w:cs="Verdana"/>
          <w:sz w:val="24"/>
          <w:szCs w:val="24"/>
          <w:lang w:val="es-ES" w:eastAsia="es-ES"/>
        </w:rPr>
        <w:t xml:space="preserve"> de lo dicho debe tenerse presente que la Administración además de inducir a error a los administrados con su ambigüedad, no dio respuesta cierta a las empresas que presentaron el 1 de agosto de 2017 mediante expediente de ventanilla única 342974, solicitud de una prórroga de quince días para la presentación de la indicación de cual organismo realizaría el estudio de calidad, lo que refuerza aún más la decisión que se adopta en esta resolución.</w:t>
      </w:r>
    </w:p>
    <w:p w:rsidR="00B97307" w:rsidRDefault="00186D89">
      <w:pPr>
        <w:kinsoku w:val="0"/>
        <w:overflowPunct w:val="0"/>
        <w:autoSpaceDE/>
        <w:autoSpaceDN/>
        <w:adjustRightInd/>
        <w:spacing w:before="291" w:line="246" w:lineRule="exact"/>
        <w:ind w:left="72"/>
        <w:textAlignment w:val="baseline"/>
        <w:rPr>
          <w:rFonts w:ascii="Verdana" w:hAnsi="Verdana" w:cs="Verdana"/>
          <w:b/>
          <w:bCs/>
          <w:sz w:val="24"/>
          <w:szCs w:val="24"/>
          <w:u w:val="single"/>
          <w:lang w:val="es-ES" w:eastAsia="es-ES"/>
        </w:rPr>
      </w:pPr>
      <w:r>
        <w:rPr>
          <w:rFonts w:ascii="Verdana" w:hAnsi="Verdana" w:cs="Verdana"/>
          <w:b/>
          <w:bCs/>
          <w:sz w:val="24"/>
          <w:szCs w:val="24"/>
          <w:u w:val="single"/>
          <w:lang w:val="es-ES" w:eastAsia="es-ES"/>
        </w:rPr>
        <w:t>DEL INTERÉS ACTUAL</w:t>
      </w:r>
    </w:p>
    <w:p w:rsidR="00B97307" w:rsidRDefault="00186D89">
      <w:pPr>
        <w:kinsoku w:val="0"/>
        <w:overflowPunct w:val="0"/>
        <w:autoSpaceDE/>
        <w:autoSpaceDN/>
        <w:adjustRightInd/>
        <w:spacing w:before="298" w:line="293"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No </w:t>
      </w:r>
      <w:proofErr w:type="gramStart"/>
      <w:r>
        <w:rPr>
          <w:rFonts w:ascii="Verdana" w:hAnsi="Verdana" w:cs="Verdana"/>
          <w:sz w:val="24"/>
          <w:szCs w:val="24"/>
          <w:lang w:val="es-ES" w:eastAsia="es-ES"/>
        </w:rPr>
        <w:t>obstante</w:t>
      </w:r>
      <w:proofErr w:type="gramEnd"/>
      <w:r>
        <w:rPr>
          <w:rFonts w:ascii="Verdana" w:hAnsi="Verdana" w:cs="Verdana"/>
          <w:sz w:val="24"/>
          <w:szCs w:val="24"/>
          <w:lang w:val="es-ES" w:eastAsia="es-ES"/>
        </w:rPr>
        <w:t xml:space="preserve"> lo dicho anteriormente, el caso debe rechazarse por lo que de seguido se indicará. Si quiere recalcarse, que todo el desarrollo técnico jurídico anterior se ha considerado pertinente mantenerlo, por cuanto de no haberse dado lo que se indicará de seguido, el caso habría sido resuelto distinto, por lo razonamientos que se indicaron.</w:t>
      </w:r>
    </w:p>
    <w:p w:rsidR="00B97307" w:rsidRDefault="00186D89">
      <w:pPr>
        <w:kinsoku w:val="0"/>
        <w:overflowPunct w:val="0"/>
        <w:autoSpaceDE/>
        <w:autoSpaceDN/>
        <w:adjustRightInd/>
        <w:spacing w:before="280" w:line="298"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Debido a prevención que realizara un Juez de este Tribunal mediante </w:t>
      </w:r>
      <w:r>
        <w:rPr>
          <w:rFonts w:ascii="Verdana" w:hAnsi="Verdana" w:cs="Verdana"/>
          <w:b/>
          <w:bCs/>
          <w:sz w:val="24"/>
          <w:szCs w:val="24"/>
          <w:lang w:val="es-ES" w:eastAsia="es-ES"/>
        </w:rPr>
        <w:t xml:space="preserve">Oficio DT-2018-0321 del 18 de junio del 2018, la Dirección Técnica del Consejo de Transporte Público, </w:t>
      </w:r>
      <w:r>
        <w:rPr>
          <w:rFonts w:ascii="Verdana" w:hAnsi="Verdana" w:cs="Verdana"/>
          <w:sz w:val="24"/>
          <w:szCs w:val="24"/>
          <w:lang w:val="es-ES" w:eastAsia="es-ES"/>
        </w:rPr>
        <w:t xml:space="preserve">informa que efectivamente casi la generalidad de las empresas que han recurrido el </w:t>
      </w:r>
      <w:r>
        <w:rPr>
          <w:rFonts w:ascii="Verdana" w:hAnsi="Verdana" w:cs="Verdana"/>
          <w:b/>
          <w:bCs/>
          <w:sz w:val="24"/>
          <w:szCs w:val="24"/>
          <w:lang w:val="es-ES" w:eastAsia="es-ES"/>
        </w:rPr>
        <w:t xml:space="preserve">acuerdo No. 7.12 de la Sesión Ordinaria No. 34-2017 del 30 de </w:t>
      </w:r>
      <w:proofErr w:type="gramStart"/>
      <w:r>
        <w:rPr>
          <w:rFonts w:ascii="Verdana" w:hAnsi="Verdana" w:cs="Verdana"/>
          <w:b/>
          <w:bCs/>
          <w:sz w:val="24"/>
          <w:szCs w:val="24"/>
          <w:lang w:val="es-ES" w:eastAsia="es-ES"/>
        </w:rPr>
        <w:t>Agosto</w:t>
      </w:r>
      <w:proofErr w:type="gramEnd"/>
      <w:r>
        <w:rPr>
          <w:rFonts w:ascii="Verdana" w:hAnsi="Verdana" w:cs="Verdana"/>
          <w:b/>
          <w:bCs/>
          <w:sz w:val="24"/>
          <w:szCs w:val="24"/>
          <w:lang w:val="es-ES" w:eastAsia="es-ES"/>
        </w:rPr>
        <w:t xml:space="preserve"> del año 2017, </w:t>
      </w:r>
      <w:r>
        <w:rPr>
          <w:rFonts w:ascii="Verdana" w:hAnsi="Verdana" w:cs="Verdana"/>
          <w:sz w:val="24"/>
          <w:szCs w:val="24"/>
          <w:lang w:val="es-ES" w:eastAsia="es-ES"/>
        </w:rPr>
        <w:t xml:space="preserve">y que estaban representadas por la L.M.D.P.O.H., </w:t>
      </w:r>
      <w:r>
        <w:rPr>
          <w:rFonts w:ascii="Verdana" w:hAnsi="Verdana" w:cs="Verdana"/>
          <w:b/>
          <w:bCs/>
          <w:sz w:val="24"/>
          <w:szCs w:val="24"/>
          <w:lang w:val="es-ES" w:eastAsia="es-ES"/>
        </w:rPr>
        <w:t xml:space="preserve">CUMPLIERON CON LA PRESENTACIÓN DE LOS ESTUDIOS DE CONTROL DE CALIDAD CON UN ORGANISMO ACREDITADO ANTE EL ECA. </w:t>
      </w:r>
      <w:r>
        <w:rPr>
          <w:rFonts w:ascii="Verdana" w:hAnsi="Verdana" w:cs="Verdana"/>
          <w:sz w:val="24"/>
          <w:szCs w:val="24"/>
          <w:lang w:val="es-ES" w:eastAsia="es-ES"/>
        </w:rPr>
        <w:t>(ver folios del 127 al 129 del expediente administrativo)</w:t>
      </w:r>
    </w:p>
    <w:p w:rsidR="00B97307" w:rsidRDefault="00B97307">
      <w:pPr>
        <w:widowControl/>
        <w:rPr>
          <w:sz w:val="24"/>
          <w:szCs w:val="24"/>
        </w:rPr>
        <w:sectPr w:rsidR="00B97307">
          <w:pgSz w:w="12283" w:h="15749"/>
          <w:pgMar w:top="740" w:right="1637" w:bottom="313" w:left="1646" w:header="720" w:footer="720" w:gutter="0"/>
          <w:cols w:space="720"/>
          <w:noEndnote/>
        </w:sectPr>
      </w:pPr>
    </w:p>
    <w:p w:rsidR="00B97307" w:rsidRDefault="00186D89">
      <w:pPr>
        <w:kinsoku w:val="0"/>
        <w:overflowPunct w:val="0"/>
        <w:autoSpaceDE/>
        <w:autoSpaceDN/>
        <w:adjustRightInd/>
        <w:spacing w:line="285" w:lineRule="exact"/>
        <w:ind w:left="72" w:right="72"/>
        <w:jc w:val="both"/>
        <w:textAlignment w:val="baseline"/>
        <w:rPr>
          <w:rFonts w:ascii="Verdana" w:hAnsi="Verdana" w:cs="Verdana"/>
          <w:b/>
          <w:bCs/>
          <w:sz w:val="24"/>
          <w:szCs w:val="24"/>
          <w:u w:val="single"/>
          <w:lang w:val="es-ES" w:eastAsia="es-ES"/>
        </w:rPr>
      </w:pPr>
      <w:r>
        <w:rPr>
          <w:rFonts w:ascii="Verdana" w:hAnsi="Verdana" w:cs="Verdana"/>
          <w:sz w:val="24"/>
          <w:szCs w:val="24"/>
          <w:lang w:val="es-ES" w:eastAsia="es-ES"/>
        </w:rPr>
        <w:lastRenderedPageBreak/>
        <w:t xml:space="preserve">Así las cosas, la discusión sobre la procedencia o no de las gestiones de excepción rechazadas, pasa a adolecer de uno de los elementos esenciales para su Admisibilidad, Procedencia, como lo es </w:t>
      </w:r>
      <w:r>
        <w:rPr>
          <w:rFonts w:ascii="Verdana" w:hAnsi="Verdana" w:cs="Verdana"/>
          <w:b/>
          <w:bCs/>
          <w:sz w:val="24"/>
          <w:szCs w:val="24"/>
          <w:u w:val="single"/>
          <w:lang w:val="es-ES" w:eastAsia="es-ES"/>
        </w:rPr>
        <w:t xml:space="preserve">INTERÉS ACTUAL. </w:t>
      </w:r>
    </w:p>
    <w:p w:rsidR="00B97307" w:rsidRDefault="00186D89">
      <w:pPr>
        <w:kinsoku w:val="0"/>
        <w:overflowPunct w:val="0"/>
        <w:autoSpaceDE/>
        <w:autoSpaceDN/>
        <w:adjustRightInd/>
        <w:spacing w:before="317" w:line="294"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Las acciones recursivas bajo análisis, carecen de sentido en este momento pues el fin pretendido cual era una prórroga para presentar ante el CTP, la imposibilidad de contratar con un Organismo acreditado ante el ECA y la indicación de la propuesta de quien realizaría el estudio de calidad del servicio ya, pierde sentido al haberse presentado el Estudio de calidad del 2017 por parte de la recurrente, fin último que se pretendería con el libelo. En cuanto a lo anterior el autor y conocido tratadista jurídico, José Chiovenda, muy claramente nos indica:</w:t>
      </w:r>
    </w:p>
    <w:p w:rsidR="00B97307" w:rsidRDefault="00186D89" w:rsidP="00186D89">
      <w:pPr>
        <w:kinsoku w:val="0"/>
        <w:overflowPunct w:val="0"/>
        <w:autoSpaceDE/>
        <w:autoSpaceDN/>
        <w:adjustRightInd/>
        <w:spacing w:before="289" w:line="294" w:lineRule="exact"/>
        <w:ind w:left="72" w:right="72"/>
        <w:jc w:val="both"/>
        <w:textAlignment w:val="baseline"/>
        <w:rPr>
          <w:rFonts w:ascii="Verdana" w:hAnsi="Verdana" w:cs="Verdana"/>
          <w:sz w:val="24"/>
          <w:szCs w:val="24"/>
          <w:lang w:val="es-ES" w:eastAsia="es-ES"/>
        </w:rPr>
      </w:pPr>
      <w:r>
        <w:rPr>
          <w:rFonts w:ascii="Verdana" w:hAnsi="Verdana" w:cs="Verdana"/>
          <w:spacing w:val="-3"/>
          <w:sz w:val="24"/>
          <w:szCs w:val="24"/>
          <w:lang w:val="es-ES" w:eastAsia="es-ES"/>
        </w:rPr>
        <w:t xml:space="preserve">..."En todo proceso, existen los presupuestos de fondo, relacionados con el derecho tutelar de la pretensión, la legitimación en la causa y el interés actual.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w:t>
      </w:r>
      <w:r>
        <w:rPr>
          <w:rFonts w:ascii="Verdana" w:hAnsi="Verdana" w:cs="Verdana"/>
          <w:sz w:val="24"/>
          <w:szCs w:val="24"/>
          <w:lang w:val="es-ES" w:eastAsia="es-ES"/>
        </w:rPr>
        <w:t>toda demanda, a saber: derecho, Legitimación</w:t>
      </w:r>
      <w:r>
        <w:rPr>
          <w:rFonts w:ascii="Verdana" w:hAnsi="Verdana" w:cs="Verdana"/>
          <w:sz w:val="24"/>
          <w:szCs w:val="24"/>
          <w:lang w:val="es-ES" w:eastAsia="es-ES"/>
        </w:rPr>
        <w:tab/>
        <w:t>(activa o pasiva) y el</w:t>
      </w:r>
      <w:r>
        <w:rPr>
          <w:rFonts w:ascii="Verdana" w:hAnsi="Verdana" w:cs="Verdana"/>
          <w:sz w:val="24"/>
          <w:szCs w:val="24"/>
          <w:lang w:val="es-ES" w:eastAsia="es-ES"/>
        </w:rPr>
        <w:br/>
        <w:t>interés actual</w:t>
      </w:r>
      <w:proofErr w:type="gramStart"/>
      <w:r>
        <w:rPr>
          <w:rFonts w:ascii="Verdana" w:hAnsi="Verdana" w:cs="Verdana"/>
          <w:sz w:val="24"/>
          <w:szCs w:val="24"/>
          <w:lang w:val="es-ES" w:eastAsia="es-ES"/>
        </w:rPr>
        <w:t>.”...</w:t>
      </w:r>
      <w:proofErr w:type="gramEnd"/>
      <w:r>
        <w:rPr>
          <w:rFonts w:ascii="Verdana" w:hAnsi="Verdana" w:cs="Verdana"/>
          <w:sz w:val="24"/>
          <w:szCs w:val="24"/>
          <w:lang w:val="es-ES" w:eastAsia="es-ES"/>
        </w:rPr>
        <w:t>(</w:t>
      </w:r>
      <w:proofErr w:type="spellStart"/>
      <w:r>
        <w:rPr>
          <w:rFonts w:ascii="Verdana" w:hAnsi="Verdana" w:cs="Verdana"/>
          <w:sz w:val="24"/>
          <w:szCs w:val="24"/>
          <w:lang w:val="es-ES" w:eastAsia="es-ES"/>
        </w:rPr>
        <w:t>Chioverida</w:t>
      </w:r>
      <w:proofErr w:type="spellEnd"/>
      <w:r>
        <w:rPr>
          <w:rFonts w:ascii="Verdana" w:hAnsi="Verdana" w:cs="Verdana"/>
          <w:sz w:val="24"/>
          <w:szCs w:val="24"/>
          <w:lang w:val="es-ES" w:eastAsia="es-ES"/>
        </w:rPr>
        <w:t>, José: Principios de Derecho Procesal Civil, Tomo I, Pág. 178).</w:t>
      </w:r>
    </w:p>
    <w:p w:rsidR="00B97307" w:rsidRDefault="00186D89">
      <w:pPr>
        <w:kinsoku w:val="0"/>
        <w:overflowPunct w:val="0"/>
        <w:autoSpaceDE/>
        <w:autoSpaceDN/>
        <w:adjustRightInd/>
        <w:spacing w:before="286"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Y nuestro jurista el Dr. Eduardo Ortiz </w:t>
      </w:r>
      <w:proofErr w:type="spellStart"/>
      <w:r>
        <w:rPr>
          <w:rFonts w:ascii="Verdana" w:hAnsi="Verdana" w:cs="Verdana"/>
          <w:sz w:val="24"/>
          <w:szCs w:val="24"/>
          <w:lang w:val="es-ES" w:eastAsia="es-ES"/>
        </w:rPr>
        <w:t>Ortiz</w:t>
      </w:r>
      <w:proofErr w:type="spellEnd"/>
      <w:r>
        <w:rPr>
          <w:rFonts w:ascii="Verdana" w:hAnsi="Verdana" w:cs="Verdana"/>
          <w:sz w:val="24"/>
          <w:szCs w:val="24"/>
          <w:lang w:val="es-ES" w:eastAsia="es-ES"/>
        </w:rPr>
        <w:t xml:space="preserve">, en su </w:t>
      </w:r>
      <w:r>
        <w:rPr>
          <w:rFonts w:ascii="Verdana" w:hAnsi="Verdana" w:cs="Verdana"/>
          <w:b/>
          <w:bCs/>
          <w:sz w:val="24"/>
          <w:szCs w:val="24"/>
          <w:lang w:val="es-ES" w:eastAsia="es-ES"/>
        </w:rPr>
        <w:t xml:space="preserve">TESIS DE DERECHO ADMINISTRATIVO Tomo II, </w:t>
      </w:r>
      <w:r>
        <w:rPr>
          <w:rFonts w:ascii="Verdana" w:hAnsi="Verdana" w:cs="Verdana"/>
          <w:sz w:val="24"/>
          <w:szCs w:val="24"/>
          <w:lang w:val="es-ES" w:eastAsia="es-ES"/>
        </w:rPr>
        <w:t>señala:</w:t>
      </w:r>
    </w:p>
    <w:p w:rsidR="00B97307" w:rsidRDefault="00186D89">
      <w:pPr>
        <w:kinsoku w:val="0"/>
        <w:overflowPunct w:val="0"/>
        <w:autoSpaceDE/>
        <w:autoSpaceDN/>
        <w:adjustRightInd/>
        <w:spacing w:before="287" w:line="294" w:lineRule="exact"/>
        <w:ind w:left="72" w:right="72"/>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..."b) El interés debe ser actual</w:t>
      </w:r>
    </w:p>
    <w:p w:rsidR="00B97307" w:rsidRDefault="00186D89">
      <w:pPr>
        <w:kinsoku w:val="0"/>
        <w:overflowPunct w:val="0"/>
        <w:autoSpaceDE/>
        <w:autoSpaceDN/>
        <w:adjustRightInd/>
        <w:spacing w:before="264"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Pr>
          <w:rFonts w:ascii="Verdana" w:hAnsi="Verdana" w:cs="Verdana"/>
          <w:sz w:val="24"/>
          <w:szCs w:val="24"/>
          <w:lang w:val="es-ES" w:eastAsia="es-ES"/>
        </w:rPr>
        <w:t>ineficaces."..</w:t>
      </w:r>
      <w:proofErr w:type="gramEnd"/>
    </w:p>
    <w:p w:rsidR="00B97307" w:rsidRDefault="00186D89">
      <w:pPr>
        <w:kinsoku w:val="0"/>
        <w:overflowPunct w:val="0"/>
        <w:autoSpaceDE/>
        <w:autoSpaceDN/>
        <w:adjustRightInd/>
        <w:spacing w:before="326" w:after="616" w:line="28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Determinándose así la IMPROCEDENCIA de las Acciones que nos ocupan, por FALTA DE INTERÉS ACTUAL.</w:t>
      </w:r>
    </w:p>
    <w:p w:rsidR="00B97307" w:rsidRDefault="00B97307">
      <w:pPr>
        <w:widowControl/>
        <w:rPr>
          <w:sz w:val="24"/>
          <w:szCs w:val="24"/>
        </w:rPr>
        <w:sectPr w:rsidR="00B97307">
          <w:pgSz w:w="12288" w:h="15787"/>
          <w:pgMar w:top="1020" w:right="1559" w:bottom="183" w:left="1728" w:header="720" w:footer="720" w:gutter="0"/>
          <w:cols w:space="720"/>
          <w:noEndnote/>
        </w:sectPr>
      </w:pPr>
    </w:p>
    <w:p w:rsidR="00B97307" w:rsidRDefault="00B97307">
      <w:pPr>
        <w:widowControl/>
        <w:rPr>
          <w:sz w:val="24"/>
          <w:szCs w:val="24"/>
        </w:rPr>
        <w:sectPr w:rsidR="00B97307">
          <w:type w:val="continuous"/>
          <w:pgSz w:w="12288" w:h="15787"/>
          <w:pgMar w:top="1020" w:right="1595" w:bottom="183" w:left="8853" w:header="720" w:footer="720" w:gutter="0"/>
          <w:cols w:space="720"/>
          <w:noEndnote/>
        </w:sectPr>
      </w:pPr>
    </w:p>
    <w:p w:rsidR="00186D89" w:rsidRDefault="00186D89">
      <w:pPr>
        <w:kinsoku w:val="0"/>
        <w:overflowPunct w:val="0"/>
        <w:autoSpaceDE/>
        <w:autoSpaceDN/>
        <w:adjustRightInd/>
        <w:spacing w:before="2" w:after="237" w:line="285" w:lineRule="exact"/>
        <w:jc w:val="center"/>
        <w:textAlignment w:val="baseline"/>
        <w:rPr>
          <w:rFonts w:ascii="Tahoma" w:hAnsi="Tahoma" w:cs="Tahoma"/>
          <w:b/>
          <w:bCs/>
          <w:spacing w:val="12"/>
          <w:sz w:val="24"/>
          <w:szCs w:val="24"/>
          <w:lang w:val="es-ES" w:eastAsia="es-ES"/>
        </w:rPr>
      </w:pPr>
    </w:p>
    <w:p w:rsidR="00B97307" w:rsidRDefault="00186D89">
      <w:pPr>
        <w:kinsoku w:val="0"/>
        <w:overflowPunct w:val="0"/>
        <w:autoSpaceDE/>
        <w:autoSpaceDN/>
        <w:adjustRightInd/>
        <w:spacing w:before="2" w:after="237" w:line="285" w:lineRule="exact"/>
        <w:jc w:val="center"/>
        <w:textAlignment w:val="baseline"/>
        <w:rPr>
          <w:rFonts w:ascii="Tahoma" w:hAnsi="Tahoma" w:cs="Tahoma"/>
          <w:b/>
          <w:bCs/>
          <w:spacing w:val="12"/>
          <w:sz w:val="24"/>
          <w:szCs w:val="24"/>
          <w:lang w:val="es-ES" w:eastAsia="es-ES"/>
        </w:rPr>
      </w:pPr>
      <w:r>
        <w:rPr>
          <w:rFonts w:ascii="Tahoma" w:hAnsi="Tahoma" w:cs="Tahoma"/>
          <w:b/>
          <w:bCs/>
          <w:spacing w:val="12"/>
          <w:sz w:val="24"/>
          <w:szCs w:val="24"/>
          <w:lang w:val="es-ES" w:eastAsia="es-ES"/>
        </w:rPr>
        <w:lastRenderedPageBreak/>
        <w:t>POR TANTO:</w:t>
      </w:r>
    </w:p>
    <w:p w:rsidR="00B97307" w:rsidRDefault="00186D89">
      <w:pPr>
        <w:numPr>
          <w:ilvl w:val="0"/>
          <w:numId w:val="18"/>
        </w:numPr>
        <w:kinsoku w:val="0"/>
        <w:overflowPunct w:val="0"/>
        <w:autoSpaceDE/>
        <w:autoSpaceDN/>
        <w:adjustRightInd/>
        <w:spacing w:before="44" w:line="296" w:lineRule="exact"/>
        <w:ind w:right="72"/>
        <w:jc w:val="both"/>
        <w:textAlignment w:val="baseline"/>
        <w:rPr>
          <w:rFonts w:ascii="Tahoma" w:hAnsi="Tahoma" w:cs="Tahoma"/>
          <w:b/>
          <w:bCs/>
          <w:spacing w:val="12"/>
          <w:sz w:val="24"/>
          <w:szCs w:val="24"/>
          <w:lang w:val="es-ES" w:eastAsia="es-ES"/>
        </w:rPr>
      </w:pPr>
      <w:r>
        <w:rPr>
          <w:rFonts w:ascii="Tahoma" w:hAnsi="Tahoma" w:cs="Tahoma"/>
          <w:spacing w:val="12"/>
          <w:sz w:val="24"/>
          <w:szCs w:val="24"/>
          <w:lang w:val="es-ES" w:eastAsia="es-ES"/>
        </w:rPr>
        <w:t xml:space="preserve">Se rechaza por </w:t>
      </w:r>
      <w:r>
        <w:rPr>
          <w:rFonts w:ascii="Tahoma" w:hAnsi="Tahoma" w:cs="Tahoma"/>
          <w:b/>
          <w:bCs/>
          <w:spacing w:val="12"/>
          <w:sz w:val="24"/>
          <w:szCs w:val="24"/>
          <w:lang w:val="es-ES" w:eastAsia="es-ES"/>
        </w:rPr>
        <w:t xml:space="preserve">FALTA DE INTERÉS ACTUAL </w:t>
      </w:r>
      <w:r>
        <w:rPr>
          <w:rFonts w:ascii="Tahoma" w:hAnsi="Tahoma" w:cs="Tahoma"/>
          <w:spacing w:val="12"/>
          <w:sz w:val="24"/>
          <w:szCs w:val="24"/>
          <w:lang w:val="es-ES" w:eastAsia="es-ES"/>
        </w:rPr>
        <w:t xml:space="preserve">el </w:t>
      </w:r>
      <w:r>
        <w:rPr>
          <w:rFonts w:ascii="Tahoma" w:hAnsi="Tahoma" w:cs="Tahoma"/>
          <w:b/>
          <w:bCs/>
          <w:spacing w:val="12"/>
          <w:sz w:val="24"/>
          <w:szCs w:val="24"/>
          <w:lang w:val="es-ES" w:eastAsia="es-ES"/>
        </w:rPr>
        <w:t xml:space="preserve">RECURSO DE APELACIÓN Y NULIDAD CONCOMITANTE, </w:t>
      </w:r>
      <w:r>
        <w:rPr>
          <w:rFonts w:ascii="Tahoma" w:hAnsi="Tahoma" w:cs="Tahoma"/>
          <w:spacing w:val="12"/>
          <w:sz w:val="24"/>
          <w:szCs w:val="24"/>
          <w:lang w:val="es-ES" w:eastAsia="es-ES"/>
        </w:rPr>
        <w:t xml:space="preserve">interpuesto por </w:t>
      </w:r>
      <w:r>
        <w:rPr>
          <w:rFonts w:ascii="Tahoma" w:hAnsi="Tahoma" w:cs="Tahoma"/>
          <w:b/>
          <w:bCs/>
          <w:spacing w:val="12"/>
          <w:sz w:val="24"/>
          <w:szCs w:val="24"/>
          <w:lang w:val="es-ES" w:eastAsia="es-ES"/>
        </w:rPr>
        <w:t xml:space="preserve">V.E.Y.M.S.A., cédula jurídica número …, </w:t>
      </w:r>
      <w:r>
        <w:rPr>
          <w:rFonts w:ascii="Tahoma" w:hAnsi="Tahoma" w:cs="Tahoma"/>
          <w:spacing w:val="12"/>
          <w:sz w:val="24"/>
          <w:szCs w:val="24"/>
          <w:lang w:val="es-ES" w:eastAsia="es-ES"/>
        </w:rPr>
        <w:t xml:space="preserve">por medio de su apoderado Generalísimo sin Límite de suma, señor </w:t>
      </w:r>
      <w:r>
        <w:rPr>
          <w:rFonts w:ascii="Tahoma" w:hAnsi="Tahoma" w:cs="Tahoma"/>
          <w:b/>
          <w:bCs/>
          <w:spacing w:val="12"/>
          <w:sz w:val="24"/>
          <w:szCs w:val="24"/>
          <w:lang w:val="es-ES" w:eastAsia="es-ES"/>
        </w:rPr>
        <w:t xml:space="preserve">M.G.A. cédula de identidad número …, </w:t>
      </w:r>
      <w:r>
        <w:rPr>
          <w:rFonts w:ascii="Tahoma" w:hAnsi="Tahoma" w:cs="Tahoma"/>
          <w:spacing w:val="12"/>
          <w:sz w:val="24"/>
          <w:szCs w:val="24"/>
          <w:lang w:val="es-ES" w:eastAsia="es-ES"/>
        </w:rPr>
        <w:t xml:space="preserve">contra </w:t>
      </w:r>
      <w:r>
        <w:rPr>
          <w:rFonts w:ascii="Tahoma" w:hAnsi="Tahoma" w:cs="Tahoma"/>
          <w:b/>
          <w:bCs/>
          <w:spacing w:val="12"/>
          <w:sz w:val="24"/>
          <w:szCs w:val="24"/>
          <w:lang w:val="es-ES" w:eastAsia="es-ES"/>
        </w:rPr>
        <w:t>el artículo 7.12.25 de la Sesión Ordinaria 34-2017 de 30 de agosto de 2017, celebrado por la Junta Directiva del Consejo de Transporte Público.</w:t>
      </w:r>
    </w:p>
    <w:p w:rsidR="00B97307" w:rsidRDefault="00186D89">
      <w:pPr>
        <w:numPr>
          <w:ilvl w:val="0"/>
          <w:numId w:val="19"/>
        </w:numPr>
        <w:kinsoku w:val="0"/>
        <w:overflowPunct w:val="0"/>
        <w:autoSpaceDE/>
        <w:autoSpaceDN/>
        <w:adjustRightInd/>
        <w:spacing w:before="294" w:line="303" w:lineRule="exact"/>
        <w:ind w:right="72"/>
        <w:jc w:val="both"/>
        <w:textAlignment w:val="baseline"/>
        <w:rPr>
          <w:rFonts w:ascii="Verdana" w:hAnsi="Verdana" w:cs="Verdana"/>
          <w:i/>
          <w:iCs/>
          <w:sz w:val="24"/>
          <w:szCs w:val="24"/>
          <w:lang w:val="es-ES" w:eastAsia="es-ES"/>
        </w:rPr>
      </w:pPr>
      <w:r>
        <w:rPr>
          <w:rFonts w:ascii="Tahoma" w:hAnsi="Tahoma" w:cs="Tahoma"/>
          <w:sz w:val="24"/>
          <w:szCs w:val="24"/>
          <w:lang w:val="es-ES" w:eastAsia="es-ES"/>
        </w:rPr>
        <w:t xml:space="preserve">De conformidad con el artículo 22, inciso c), de la citada Ley 7969, la presente resolución no tiene ulterior recurso por lo que, se </w:t>
      </w:r>
      <w:r>
        <w:rPr>
          <w:rFonts w:ascii="Verdana" w:hAnsi="Verdana" w:cs="Verdana"/>
          <w:i/>
          <w:iCs/>
          <w:sz w:val="24"/>
          <w:szCs w:val="24"/>
          <w:lang w:val="es-ES" w:eastAsia="es-ES"/>
        </w:rPr>
        <w:t>tiene por</w:t>
      </w:r>
    </w:p>
    <w:p w:rsidR="00B97307" w:rsidRDefault="00186D89">
      <w:pPr>
        <w:kinsoku w:val="0"/>
        <w:overflowPunct w:val="0"/>
        <w:autoSpaceDE/>
        <w:autoSpaceDN/>
        <w:adjustRightInd/>
        <w:spacing w:before="47" w:after="739" w:line="294" w:lineRule="exact"/>
        <w:ind w:left="72" w:right="72"/>
        <w:textAlignment w:val="baseline"/>
        <w:rPr>
          <w:rFonts w:ascii="Tahoma" w:hAnsi="Tahoma" w:cs="Tahoma"/>
          <w:b/>
          <w:bCs/>
          <w:spacing w:val="4"/>
          <w:sz w:val="24"/>
          <w:szCs w:val="24"/>
          <w:lang w:val="es-ES" w:eastAsia="es-ES"/>
        </w:rPr>
      </w:pPr>
      <w:r>
        <w:rPr>
          <w:rFonts w:ascii="Verdana" w:hAnsi="Verdana" w:cs="Verdana"/>
          <w:i/>
          <w:iCs/>
          <w:spacing w:val="4"/>
          <w:sz w:val="24"/>
          <w:szCs w:val="24"/>
          <w:lang w:val="es-ES" w:eastAsia="es-ES"/>
        </w:rPr>
        <w:t xml:space="preserve">agotada la vía administrativa. </w:t>
      </w:r>
      <w:proofErr w:type="gramStart"/>
      <w:r>
        <w:rPr>
          <w:rFonts w:ascii="Tahoma" w:hAnsi="Tahoma" w:cs="Tahoma"/>
          <w:b/>
          <w:bCs/>
          <w:spacing w:val="4"/>
          <w:sz w:val="24"/>
          <w:szCs w:val="24"/>
          <w:lang w:val="es-ES" w:eastAsia="es-ES"/>
        </w:rPr>
        <w:t>NOTIFIQUESE.</w:t>
      </w:r>
      <w:r>
        <w:rPr>
          <w:rFonts w:ascii="Tahoma" w:hAnsi="Tahoma" w:cs="Tahoma"/>
          <w:b/>
          <w:bCs/>
          <w:spacing w:val="4"/>
          <w:sz w:val="24"/>
          <w:szCs w:val="24"/>
          <w:lang w:val="es-ES" w:eastAsia="es-ES"/>
        </w:rPr>
        <w:noBreakHyphen/>
      </w:r>
      <w:proofErr w:type="gramEnd"/>
    </w:p>
    <w:p w:rsidR="00186D89" w:rsidRPr="00070939" w:rsidRDefault="00186D89" w:rsidP="00186D89">
      <w:pPr>
        <w:pStyle w:val="Ttulo1"/>
        <w:ind w:left="426"/>
        <w:jc w:val="center"/>
        <w:rPr>
          <w:rFonts w:ascii="Verdana" w:hAnsi="Verdana"/>
          <w:color w:val="000000"/>
        </w:rPr>
      </w:pPr>
      <w:r w:rsidRPr="00070939">
        <w:rPr>
          <w:rFonts w:ascii="Verdana" w:hAnsi="Verdana"/>
          <w:color w:val="000000"/>
        </w:rPr>
        <w:t>Lic. Carlos Miguel Portuguez Méndez</w:t>
      </w:r>
    </w:p>
    <w:p w:rsidR="00186D89" w:rsidRPr="00070939" w:rsidRDefault="00186D89" w:rsidP="00186D89">
      <w:pPr>
        <w:ind w:left="426"/>
        <w:jc w:val="center"/>
        <w:rPr>
          <w:rFonts w:ascii="Verdana" w:hAnsi="Verdana"/>
          <w:b/>
          <w:i/>
          <w:color w:val="000000"/>
          <w:sz w:val="24"/>
          <w:szCs w:val="24"/>
        </w:rPr>
      </w:pPr>
      <w:proofErr w:type="spellStart"/>
      <w:r w:rsidRPr="00070939">
        <w:rPr>
          <w:rFonts w:ascii="Verdana" w:hAnsi="Verdana"/>
          <w:b/>
          <w:i/>
          <w:color w:val="000000"/>
          <w:sz w:val="24"/>
          <w:szCs w:val="24"/>
        </w:rPr>
        <w:t>Presidente</w:t>
      </w:r>
      <w:proofErr w:type="spellEnd"/>
    </w:p>
    <w:p w:rsidR="00186D89" w:rsidRPr="00070939" w:rsidRDefault="00186D89" w:rsidP="00186D89">
      <w:pPr>
        <w:spacing w:before="100" w:beforeAutospacing="1" w:after="100" w:afterAutospacing="1"/>
        <w:ind w:left="426"/>
        <w:jc w:val="center"/>
        <w:rPr>
          <w:rFonts w:ascii="Verdana" w:hAnsi="Verdana"/>
          <w:b/>
          <w:color w:val="000000"/>
          <w:sz w:val="24"/>
          <w:szCs w:val="24"/>
        </w:rPr>
      </w:pPr>
    </w:p>
    <w:p w:rsidR="00186D89" w:rsidRPr="00070939" w:rsidRDefault="00186D89" w:rsidP="00186D89">
      <w:pPr>
        <w:pStyle w:val="Ttulo1"/>
        <w:ind w:left="426"/>
        <w:jc w:val="center"/>
        <w:rPr>
          <w:rFonts w:ascii="Verdana" w:hAnsi="Verdana"/>
          <w:color w:val="000000"/>
        </w:rPr>
      </w:pPr>
      <w:r w:rsidRPr="00070939">
        <w:rPr>
          <w:rFonts w:ascii="Verdana" w:hAnsi="Verdana"/>
          <w:color w:val="000000"/>
        </w:rPr>
        <w:t>Lic.  Mario Quesada Aguirre</w:t>
      </w:r>
      <w:r w:rsidRPr="00070939">
        <w:rPr>
          <w:rFonts w:ascii="Verdana" w:hAnsi="Verdana"/>
          <w:color w:val="000000"/>
        </w:rPr>
        <w:tab/>
        <w:t xml:space="preserve">           Lic. Ronald Muñoz Corea</w:t>
      </w:r>
    </w:p>
    <w:p w:rsidR="00186D89" w:rsidRPr="00186D89" w:rsidRDefault="00186D89" w:rsidP="00186D89">
      <w:pPr>
        <w:kinsoku w:val="0"/>
        <w:overflowPunct w:val="0"/>
        <w:autoSpaceDE/>
        <w:autoSpaceDN/>
        <w:adjustRightInd/>
        <w:spacing w:before="47" w:after="739" w:line="294" w:lineRule="exact"/>
        <w:ind w:left="72" w:right="72"/>
        <w:jc w:val="center"/>
        <w:textAlignment w:val="baseline"/>
        <w:rPr>
          <w:rFonts w:ascii="Tahoma" w:hAnsi="Tahoma" w:cs="Tahoma"/>
          <w:sz w:val="24"/>
          <w:szCs w:val="24"/>
          <w:lang w:eastAsia="en-US"/>
        </w:rPr>
      </w:pPr>
      <w:proofErr w:type="spellStart"/>
      <w:r w:rsidRPr="00070939">
        <w:rPr>
          <w:rFonts w:ascii="Verdana" w:hAnsi="Verdana"/>
          <w:b/>
          <w:i/>
          <w:color w:val="000000"/>
          <w:sz w:val="24"/>
          <w:szCs w:val="24"/>
        </w:rPr>
        <w:t>Juez</w:t>
      </w:r>
      <w:proofErr w:type="spellEnd"/>
      <w:r w:rsidRPr="00070939">
        <w:rPr>
          <w:rFonts w:ascii="Verdana" w:hAnsi="Verdana"/>
          <w:b/>
          <w:i/>
          <w:color w:val="000000"/>
          <w:sz w:val="24"/>
          <w:szCs w:val="24"/>
        </w:rPr>
        <w:t xml:space="preserve"> </w:t>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t xml:space="preserve">            </w:t>
      </w:r>
      <w:r w:rsidRPr="00070939">
        <w:rPr>
          <w:rFonts w:ascii="Verdana" w:hAnsi="Verdana"/>
          <w:b/>
          <w:i/>
          <w:color w:val="000000"/>
          <w:sz w:val="24"/>
          <w:szCs w:val="24"/>
        </w:rPr>
        <w:tab/>
        <w:t xml:space="preserve">       </w:t>
      </w:r>
      <w:proofErr w:type="spellStart"/>
      <w:r w:rsidRPr="00070939">
        <w:rPr>
          <w:rFonts w:ascii="Verdana" w:hAnsi="Verdana"/>
          <w:b/>
          <w:i/>
          <w:color w:val="000000"/>
          <w:sz w:val="24"/>
          <w:szCs w:val="24"/>
        </w:rPr>
        <w:t>Juez</w:t>
      </w:r>
      <w:proofErr w:type="spellEnd"/>
    </w:p>
    <w:sectPr w:rsidR="00186D89" w:rsidRPr="00186D89" w:rsidSect="00186D89">
      <w:type w:val="continuous"/>
      <w:pgSz w:w="12288" w:h="15787"/>
      <w:pgMar w:top="1060" w:right="1640" w:bottom="331" w:left="162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EA9B"/>
    <w:multiLevelType w:val="singleLevel"/>
    <w:tmpl w:val="3AF4FC24"/>
    <w:lvl w:ilvl="0">
      <w:start w:val="1"/>
      <w:numFmt w:val="upperRoman"/>
      <w:lvlText w:val="%1.-"/>
      <w:lvlJc w:val="left"/>
      <w:pPr>
        <w:tabs>
          <w:tab w:val="num" w:pos="720"/>
        </w:tabs>
        <w:ind w:left="72"/>
      </w:pPr>
      <w:rPr>
        <w:rFonts w:ascii="Tahoma" w:hAnsi="Tahoma" w:cs="Tahoma"/>
        <w:snapToGrid/>
        <w:spacing w:val="12"/>
        <w:sz w:val="24"/>
        <w:szCs w:val="24"/>
      </w:rPr>
    </w:lvl>
  </w:abstractNum>
  <w:abstractNum w:abstractNumId="1" w15:restartNumberingAfterBreak="0">
    <w:nsid w:val="0205E363"/>
    <w:multiLevelType w:val="singleLevel"/>
    <w:tmpl w:val="2F8C7D2E"/>
    <w:lvl w:ilvl="0">
      <w:start w:val="2"/>
      <w:numFmt w:val="upperLetter"/>
      <w:lvlText w:val="%1)."/>
      <w:lvlJc w:val="left"/>
      <w:pPr>
        <w:tabs>
          <w:tab w:val="num" w:pos="648"/>
        </w:tabs>
        <w:ind w:left="72"/>
      </w:pPr>
      <w:rPr>
        <w:rFonts w:ascii="Verdana" w:hAnsi="Verdana" w:cs="Verdana"/>
        <w:b/>
        <w:snapToGrid/>
        <w:sz w:val="24"/>
        <w:szCs w:val="24"/>
      </w:rPr>
    </w:lvl>
  </w:abstractNum>
  <w:abstractNum w:abstractNumId="2" w15:restartNumberingAfterBreak="0">
    <w:nsid w:val="022C7173"/>
    <w:multiLevelType w:val="singleLevel"/>
    <w:tmpl w:val="005F25FD"/>
    <w:lvl w:ilvl="0">
      <w:start w:val="1"/>
      <w:numFmt w:val="decimal"/>
      <w:lvlText w:val="%1."/>
      <w:lvlJc w:val="left"/>
      <w:pPr>
        <w:tabs>
          <w:tab w:val="num" w:pos="648"/>
        </w:tabs>
        <w:ind w:left="432"/>
      </w:pPr>
      <w:rPr>
        <w:rFonts w:ascii="Verdana" w:hAnsi="Verdana" w:cs="Verdana"/>
        <w:i/>
        <w:iCs/>
        <w:snapToGrid/>
        <w:sz w:val="16"/>
        <w:szCs w:val="16"/>
      </w:rPr>
    </w:lvl>
  </w:abstractNum>
  <w:abstractNum w:abstractNumId="3" w15:restartNumberingAfterBreak="0">
    <w:nsid w:val="02370F10"/>
    <w:multiLevelType w:val="singleLevel"/>
    <w:tmpl w:val="586EA379"/>
    <w:lvl w:ilvl="0">
      <w:start w:val="8"/>
      <w:numFmt w:val="decimal"/>
      <w:lvlText w:val="%1."/>
      <w:lvlJc w:val="left"/>
      <w:pPr>
        <w:tabs>
          <w:tab w:val="num" w:pos="648"/>
        </w:tabs>
        <w:ind w:left="432"/>
      </w:pPr>
      <w:rPr>
        <w:rFonts w:ascii="Verdana" w:hAnsi="Verdana" w:cs="Verdana"/>
        <w:i/>
        <w:iCs/>
        <w:snapToGrid/>
        <w:spacing w:val="-2"/>
        <w:sz w:val="16"/>
        <w:szCs w:val="16"/>
      </w:rPr>
    </w:lvl>
  </w:abstractNum>
  <w:abstractNum w:abstractNumId="4" w15:restartNumberingAfterBreak="0">
    <w:nsid w:val="041006C2"/>
    <w:multiLevelType w:val="singleLevel"/>
    <w:tmpl w:val="15F2CC7B"/>
    <w:lvl w:ilvl="0">
      <w:numFmt w:val="bullet"/>
      <w:lvlText w:val="o"/>
      <w:lvlJc w:val="left"/>
      <w:pPr>
        <w:tabs>
          <w:tab w:val="num" w:pos="288"/>
        </w:tabs>
      </w:pPr>
      <w:rPr>
        <w:rFonts w:ascii="Courier New" w:hAnsi="Courier New" w:cs="Courier New"/>
        <w:b/>
        <w:bCs/>
        <w:i/>
        <w:iCs/>
        <w:snapToGrid/>
        <w:sz w:val="24"/>
        <w:szCs w:val="24"/>
      </w:rPr>
    </w:lvl>
  </w:abstractNum>
  <w:abstractNum w:abstractNumId="5" w15:restartNumberingAfterBreak="0">
    <w:nsid w:val="04939F62"/>
    <w:multiLevelType w:val="singleLevel"/>
    <w:tmpl w:val="6F3BCA16"/>
    <w:lvl w:ilvl="0">
      <w:start w:val="1"/>
      <w:numFmt w:val="decimal"/>
      <w:lvlText w:val="%1.-"/>
      <w:lvlJc w:val="left"/>
      <w:pPr>
        <w:tabs>
          <w:tab w:val="num" w:pos="504"/>
        </w:tabs>
      </w:pPr>
      <w:rPr>
        <w:rFonts w:ascii="Verdana" w:hAnsi="Verdana" w:cs="Verdana"/>
        <w:b/>
        <w:bCs/>
        <w:snapToGrid/>
        <w:sz w:val="24"/>
        <w:szCs w:val="24"/>
      </w:rPr>
    </w:lvl>
  </w:abstractNum>
  <w:abstractNum w:abstractNumId="6" w15:restartNumberingAfterBreak="0">
    <w:nsid w:val="04D917FE"/>
    <w:multiLevelType w:val="singleLevel"/>
    <w:tmpl w:val="77CD7525"/>
    <w:lvl w:ilvl="0">
      <w:start w:val="1"/>
      <w:numFmt w:val="lowerLetter"/>
      <w:lvlText w:val="%1)"/>
      <w:lvlJc w:val="left"/>
      <w:pPr>
        <w:tabs>
          <w:tab w:val="num" w:pos="1296"/>
        </w:tabs>
        <w:ind w:left="648" w:firstLine="360"/>
      </w:pPr>
      <w:rPr>
        <w:rFonts w:ascii="Verdana" w:hAnsi="Verdana" w:cs="Verdana"/>
        <w:b/>
        <w:bCs/>
        <w:i/>
        <w:iCs/>
        <w:snapToGrid/>
        <w:sz w:val="21"/>
        <w:szCs w:val="21"/>
      </w:rPr>
    </w:lvl>
  </w:abstractNum>
  <w:abstractNum w:abstractNumId="7" w15:restartNumberingAfterBreak="0">
    <w:nsid w:val="06050F0E"/>
    <w:multiLevelType w:val="singleLevel"/>
    <w:tmpl w:val="2F3439DD"/>
    <w:lvl w:ilvl="0">
      <w:start w:val="4"/>
      <w:numFmt w:val="decimal"/>
      <w:lvlText w:val="%1.-"/>
      <w:lvlJc w:val="left"/>
      <w:pPr>
        <w:tabs>
          <w:tab w:val="num" w:pos="504"/>
        </w:tabs>
        <w:ind w:left="72"/>
      </w:pPr>
      <w:rPr>
        <w:rFonts w:ascii="Verdana" w:hAnsi="Verdana" w:cs="Verdana"/>
        <w:b/>
        <w:bCs/>
        <w:snapToGrid/>
        <w:sz w:val="24"/>
        <w:szCs w:val="24"/>
      </w:rPr>
    </w:lvl>
  </w:abstractNum>
  <w:abstractNum w:abstractNumId="8" w15:restartNumberingAfterBreak="0">
    <w:nsid w:val="079354BE"/>
    <w:multiLevelType w:val="singleLevel"/>
    <w:tmpl w:val="0D7E643C"/>
    <w:lvl w:ilvl="0">
      <w:start w:val="1"/>
      <w:numFmt w:val="decimal"/>
      <w:lvlText w:val="%1."/>
      <w:lvlJc w:val="left"/>
      <w:pPr>
        <w:tabs>
          <w:tab w:val="num" w:pos="216"/>
        </w:tabs>
      </w:pPr>
      <w:rPr>
        <w:rFonts w:ascii="Verdana" w:hAnsi="Verdana" w:cs="Verdana"/>
        <w:i/>
        <w:iCs/>
        <w:snapToGrid/>
        <w:sz w:val="16"/>
        <w:szCs w:val="16"/>
      </w:rPr>
    </w:lvl>
  </w:abstractNum>
  <w:num w:numId="1">
    <w:abstractNumId w:val="8"/>
  </w:num>
  <w:num w:numId="2">
    <w:abstractNumId w:val="8"/>
    <w:lvlOverride w:ilvl="0">
      <w:lvl w:ilvl="0">
        <w:numFmt w:val="decimal"/>
        <w:lvlText w:val="%1."/>
        <w:lvlJc w:val="left"/>
        <w:pPr>
          <w:tabs>
            <w:tab w:val="num" w:pos="216"/>
          </w:tabs>
        </w:pPr>
        <w:rPr>
          <w:rFonts w:ascii="Verdana" w:hAnsi="Verdana" w:cs="Verdana"/>
          <w:b/>
          <w:bCs/>
          <w:i/>
          <w:iCs/>
          <w:snapToGrid/>
          <w:spacing w:val="-1"/>
          <w:sz w:val="16"/>
          <w:szCs w:val="16"/>
          <w:u w:val="single"/>
        </w:rPr>
      </w:lvl>
    </w:lvlOverride>
  </w:num>
  <w:num w:numId="3">
    <w:abstractNumId w:val="3"/>
  </w:num>
  <w:num w:numId="4">
    <w:abstractNumId w:val="3"/>
    <w:lvlOverride w:ilvl="0">
      <w:lvl w:ilvl="0">
        <w:numFmt w:val="decimal"/>
        <w:lvlText w:val="%1."/>
        <w:lvlJc w:val="left"/>
        <w:pPr>
          <w:tabs>
            <w:tab w:val="num" w:pos="648"/>
          </w:tabs>
          <w:ind w:left="432"/>
        </w:pPr>
        <w:rPr>
          <w:rFonts w:ascii="Verdana" w:hAnsi="Verdana" w:cs="Verdana"/>
          <w:b/>
          <w:bCs/>
          <w:i/>
          <w:iCs/>
          <w:snapToGrid/>
          <w:spacing w:val="4"/>
          <w:sz w:val="16"/>
          <w:szCs w:val="16"/>
        </w:rPr>
      </w:lvl>
    </w:lvlOverride>
  </w:num>
  <w:num w:numId="5">
    <w:abstractNumId w:val="2"/>
  </w:num>
  <w:num w:numId="6">
    <w:abstractNumId w:val="2"/>
    <w:lvlOverride w:ilvl="0">
      <w:lvl w:ilvl="0">
        <w:numFmt w:val="decimal"/>
        <w:lvlText w:val="%1."/>
        <w:lvlJc w:val="left"/>
        <w:pPr>
          <w:tabs>
            <w:tab w:val="num" w:pos="792"/>
          </w:tabs>
          <w:ind w:left="432"/>
        </w:pPr>
        <w:rPr>
          <w:rFonts w:ascii="Verdana" w:hAnsi="Verdana" w:cs="Verdana"/>
          <w:b/>
          <w:bCs/>
          <w:i/>
          <w:iCs/>
          <w:snapToGrid/>
          <w:sz w:val="16"/>
          <w:szCs w:val="16"/>
        </w:rPr>
      </w:lvl>
    </w:lvlOverride>
  </w:num>
  <w:num w:numId="7">
    <w:abstractNumId w:val="5"/>
  </w:num>
  <w:num w:numId="8">
    <w:abstractNumId w:val="5"/>
    <w:lvlOverride w:ilvl="0">
      <w:lvl w:ilvl="0">
        <w:numFmt w:val="decimal"/>
        <w:lvlText w:val="%1.-"/>
        <w:lvlJc w:val="left"/>
        <w:pPr>
          <w:tabs>
            <w:tab w:val="num" w:pos="576"/>
          </w:tabs>
        </w:pPr>
        <w:rPr>
          <w:rFonts w:ascii="Verdana" w:hAnsi="Verdana" w:cs="Verdana"/>
          <w:b/>
          <w:bCs/>
          <w:snapToGrid/>
          <w:spacing w:val="-3"/>
          <w:sz w:val="24"/>
          <w:szCs w:val="24"/>
        </w:rPr>
      </w:lvl>
    </w:lvlOverride>
  </w:num>
  <w:num w:numId="9">
    <w:abstractNumId w:val="1"/>
  </w:num>
  <w:num w:numId="10">
    <w:abstractNumId w:val="7"/>
  </w:num>
  <w:num w:numId="11">
    <w:abstractNumId w:val="4"/>
  </w:num>
  <w:num w:numId="12">
    <w:abstractNumId w:val="6"/>
  </w:num>
  <w:num w:numId="13">
    <w:abstractNumId w:val="6"/>
    <w:lvlOverride w:ilvl="0">
      <w:lvl w:ilvl="0">
        <w:numFmt w:val="lowerLetter"/>
        <w:lvlText w:val="%1)"/>
        <w:lvlJc w:val="left"/>
        <w:pPr>
          <w:tabs>
            <w:tab w:val="num" w:pos="1296"/>
          </w:tabs>
          <w:ind w:left="648" w:firstLine="360"/>
        </w:pPr>
        <w:rPr>
          <w:rFonts w:ascii="Verdana" w:hAnsi="Verdana" w:cs="Verdana"/>
          <w:i/>
          <w:iCs/>
          <w:snapToGrid/>
          <w:spacing w:val="4"/>
          <w:sz w:val="21"/>
          <w:szCs w:val="21"/>
        </w:rPr>
      </w:lvl>
    </w:lvlOverride>
  </w:num>
  <w:num w:numId="14">
    <w:abstractNumId w:val="6"/>
    <w:lvlOverride w:ilvl="0">
      <w:lvl w:ilvl="0">
        <w:numFmt w:val="lowerLetter"/>
        <w:lvlText w:val="%1)"/>
        <w:lvlJc w:val="left"/>
        <w:pPr>
          <w:tabs>
            <w:tab w:val="num" w:pos="1296"/>
          </w:tabs>
          <w:ind w:left="648" w:firstLine="360"/>
        </w:pPr>
        <w:rPr>
          <w:rFonts w:ascii="Verdana" w:hAnsi="Verdana" w:cs="Verdana"/>
          <w:i/>
          <w:iCs/>
          <w:snapToGrid/>
          <w:sz w:val="21"/>
          <w:szCs w:val="21"/>
          <w:u w:val="single"/>
        </w:rPr>
      </w:lvl>
    </w:lvlOverride>
  </w:num>
  <w:num w:numId="15">
    <w:abstractNumId w:val="4"/>
    <w:lvlOverride w:ilvl="0">
      <w:lvl w:ilvl="0">
        <w:numFmt w:val="bullet"/>
        <w:lvlText w:val="o"/>
        <w:lvlJc w:val="left"/>
        <w:pPr>
          <w:tabs>
            <w:tab w:val="num" w:pos="648"/>
          </w:tabs>
          <w:ind w:left="432"/>
        </w:pPr>
        <w:rPr>
          <w:rFonts w:ascii="Courier New" w:hAnsi="Courier New" w:cs="Courier New"/>
          <w:i/>
          <w:iCs/>
          <w:snapToGrid/>
          <w:spacing w:val="-2"/>
          <w:sz w:val="18"/>
          <w:szCs w:val="18"/>
        </w:rPr>
      </w:lvl>
    </w:lvlOverride>
  </w:num>
  <w:num w:numId="16">
    <w:abstractNumId w:val="4"/>
    <w:lvlOverride w:ilvl="0">
      <w:lvl w:ilvl="0">
        <w:numFmt w:val="bullet"/>
        <w:lvlText w:val="o"/>
        <w:lvlJc w:val="left"/>
        <w:pPr>
          <w:tabs>
            <w:tab w:val="num" w:pos="648"/>
          </w:tabs>
          <w:ind w:left="432"/>
        </w:pPr>
        <w:rPr>
          <w:rFonts w:ascii="Courier New" w:hAnsi="Courier New" w:cs="Courier New"/>
          <w:i/>
          <w:iCs/>
          <w:snapToGrid/>
          <w:sz w:val="19"/>
          <w:szCs w:val="19"/>
        </w:rPr>
      </w:lvl>
    </w:lvlOverride>
  </w:num>
  <w:num w:numId="17">
    <w:abstractNumId w:val="4"/>
    <w:lvlOverride w:ilvl="0">
      <w:lvl w:ilvl="0">
        <w:numFmt w:val="bullet"/>
        <w:lvlText w:val="o"/>
        <w:lvlJc w:val="left"/>
        <w:pPr>
          <w:tabs>
            <w:tab w:val="num" w:pos="576"/>
          </w:tabs>
          <w:ind w:left="360"/>
        </w:pPr>
        <w:rPr>
          <w:rFonts w:ascii="Courier New" w:hAnsi="Courier New" w:cs="Courier New"/>
          <w:i/>
          <w:iCs/>
          <w:snapToGrid/>
          <w:spacing w:val="4"/>
          <w:sz w:val="19"/>
          <w:szCs w:val="19"/>
        </w:rPr>
      </w:lvl>
    </w:lvlOverride>
  </w:num>
  <w:num w:numId="18">
    <w:abstractNumId w:val="0"/>
  </w:num>
  <w:num w:numId="19">
    <w:abstractNumId w:val="0"/>
    <w:lvlOverride w:ilvl="0">
      <w:lvl w:ilvl="0">
        <w:numFmt w:val="upperRoman"/>
        <w:lvlText w:val="%1.-"/>
        <w:lvlJc w:val="left"/>
        <w:pPr>
          <w:tabs>
            <w:tab w:val="num" w:pos="648"/>
          </w:tabs>
          <w:ind w:left="72"/>
        </w:pPr>
        <w:rPr>
          <w:rFonts w:ascii="Tahoma" w:hAnsi="Tahoma" w:cs="Tahoma"/>
          <w:b/>
          <w:i w:val="0"/>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D7"/>
    <w:rsid w:val="00186D89"/>
    <w:rsid w:val="008C7E47"/>
    <w:rsid w:val="00B97307"/>
    <w:rsid w:val="00F142D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A2678"/>
  <w14:defaultImageDpi w14:val="0"/>
  <w15:docId w15:val="{1E7DAF37-BAB9-42D1-8D27-D3A1D012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186D89"/>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D89"/>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pez@ctp.go.cr" TargetMode="External"/><Relationship Id="rId3" Type="http://schemas.openxmlformats.org/officeDocument/2006/relationships/settings" Target="settings.xml"/><Relationship Id="rId7" Type="http://schemas.openxmlformats.org/officeDocument/2006/relationships/hyperlink" Target="mailto:scredas@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theme" Target="theme/theme1.xml"/><Relationship Id="rId5" Type="http://schemas.openxmlformats.org/officeDocument/2006/relationships/hyperlink" Target="mailto:mfallas@ctp.go.c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orozc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8679</Words>
  <Characters>47738</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2019-04-25T17:43:00Z</dcterms:created>
  <dcterms:modified xsi:type="dcterms:W3CDTF">2019-04-25T17:43:00Z</dcterms:modified>
</cp:coreProperties>
</file>