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3FF" w:rsidRDefault="00B0536B">
      <w:pPr>
        <w:kinsoku w:val="0"/>
        <w:overflowPunct w:val="0"/>
        <w:autoSpaceDE/>
        <w:autoSpaceDN/>
        <w:adjustRightInd/>
        <w:spacing w:line="259" w:lineRule="exact"/>
        <w:ind w:left="72"/>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TAT-3478-2018</w:t>
      </w:r>
      <w:bookmarkEnd w:id="0"/>
    </w:p>
    <w:p w:rsidR="00F833FF" w:rsidRDefault="00B0536B">
      <w:pPr>
        <w:kinsoku w:val="0"/>
        <w:overflowPunct w:val="0"/>
        <w:autoSpaceDE/>
        <w:autoSpaceDN/>
        <w:adjustRightInd/>
        <w:spacing w:before="304" w:line="304"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sz w:val="23"/>
          <w:szCs w:val="23"/>
          <w:lang w:val="es-ES" w:eastAsia="es-ES"/>
        </w:rPr>
        <w:t xml:space="preserve">San José, a las </w:t>
      </w:r>
      <w:r>
        <w:rPr>
          <w:rFonts w:ascii="Verdana" w:hAnsi="Verdana" w:cs="Verdana"/>
          <w:sz w:val="21"/>
          <w:szCs w:val="21"/>
          <w:lang w:val="es-ES" w:eastAsia="es-ES"/>
        </w:rPr>
        <w:t>diez horas • diez minutos del treinta y uno de julio de dos mil dieciocho.</w:t>
      </w:r>
    </w:p>
    <w:p w:rsidR="00F833FF" w:rsidRDefault="00B0536B">
      <w:pPr>
        <w:kinsoku w:val="0"/>
        <w:overflowPunct w:val="0"/>
        <w:autoSpaceDE/>
        <w:autoSpaceDN/>
        <w:adjustRightInd/>
        <w:spacing w:before="575" w:line="304" w:lineRule="exact"/>
        <w:ind w:left="72" w:right="288"/>
        <w:jc w:val="both"/>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 xml:space="preserve">RECURSO DE APELACIÓN EN SUBSIDIO y NULIDAD CONCOMITANTE </w:t>
      </w:r>
      <w:r>
        <w:rPr>
          <w:rFonts w:ascii="Verdana" w:hAnsi="Verdana" w:cs="Verdana"/>
          <w:spacing w:val="3"/>
          <w:sz w:val="21"/>
          <w:szCs w:val="21"/>
          <w:lang w:val="es-ES" w:eastAsia="es-ES"/>
        </w:rPr>
        <w:t xml:space="preserve">presentado por la empresa </w:t>
      </w:r>
      <w:r>
        <w:rPr>
          <w:rFonts w:ascii="Verdana" w:hAnsi="Verdana" w:cs="Verdana"/>
          <w:b/>
          <w:bCs/>
          <w:spacing w:val="3"/>
          <w:sz w:val="21"/>
          <w:szCs w:val="21"/>
          <w:lang w:val="es-ES" w:eastAsia="es-ES"/>
        </w:rPr>
        <w:t>E</w:t>
      </w:r>
      <w:r w:rsidR="005D0332">
        <w:rPr>
          <w:rFonts w:ascii="Verdana" w:hAnsi="Verdana" w:cs="Verdana"/>
          <w:b/>
          <w:bCs/>
          <w:spacing w:val="3"/>
          <w:sz w:val="21"/>
          <w:szCs w:val="21"/>
          <w:lang w:val="es-ES" w:eastAsia="es-ES"/>
        </w:rPr>
        <w:t>.S.A.</w:t>
      </w:r>
      <w:r>
        <w:rPr>
          <w:rFonts w:ascii="Verdana" w:hAnsi="Verdana" w:cs="Verdana"/>
          <w:b/>
          <w:bCs/>
          <w:spacing w:val="3"/>
          <w:sz w:val="21"/>
          <w:szCs w:val="21"/>
          <w:lang w:val="es-ES" w:eastAsia="es-ES"/>
        </w:rPr>
        <w:t xml:space="preserve">, cédula jurídica número </w:t>
      </w:r>
      <w:r w:rsidR="005D0332">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representada por su Apoderado Generalísimo sin Límite de Suma, señor </w:t>
      </w:r>
      <w:r>
        <w:rPr>
          <w:rFonts w:ascii="Verdana" w:hAnsi="Verdana" w:cs="Verdana"/>
          <w:b/>
          <w:bCs/>
          <w:spacing w:val="3"/>
          <w:sz w:val="21"/>
          <w:szCs w:val="21"/>
          <w:lang w:val="es-ES" w:eastAsia="es-ES"/>
        </w:rPr>
        <w:t>C</w:t>
      </w:r>
      <w:r w:rsidR="005D0332">
        <w:rPr>
          <w:rFonts w:ascii="Verdana" w:hAnsi="Verdana" w:cs="Verdana"/>
          <w:b/>
          <w:bCs/>
          <w:spacing w:val="3"/>
          <w:sz w:val="21"/>
          <w:szCs w:val="21"/>
          <w:lang w:val="es-ES" w:eastAsia="es-ES"/>
        </w:rPr>
        <w:t>.E.C.S.</w:t>
      </w:r>
      <w:r>
        <w:rPr>
          <w:rFonts w:ascii="Verdana" w:hAnsi="Verdana" w:cs="Verdana"/>
          <w:b/>
          <w:bCs/>
          <w:spacing w:val="3"/>
          <w:sz w:val="21"/>
          <w:szCs w:val="21"/>
          <w:lang w:val="es-ES" w:eastAsia="es-ES"/>
        </w:rPr>
        <w:t xml:space="preserve">, cédula de identidad número </w:t>
      </w:r>
      <w:r w:rsidR="005D0332">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contra el </w:t>
      </w:r>
      <w:r>
        <w:rPr>
          <w:rFonts w:ascii="Verdana" w:hAnsi="Verdana" w:cs="Verdana"/>
          <w:b/>
          <w:bCs/>
          <w:spacing w:val="3"/>
          <w:sz w:val="21"/>
          <w:szCs w:val="21"/>
          <w:lang w:val="es-ES" w:eastAsia="es-ES"/>
        </w:rPr>
        <w:t xml:space="preserve">acuerdo 7.18 de la Sesión Ordinaria 23-2017 del 7 de junio de 2017, adoptado por la Junta Directiva del Consejo de Transporte Público. </w:t>
      </w:r>
      <w:r>
        <w:rPr>
          <w:spacing w:val="3"/>
          <w:sz w:val="23"/>
          <w:szCs w:val="23"/>
          <w:lang w:val="es-ES" w:eastAsia="es-ES"/>
        </w:rPr>
        <w:t xml:space="preserve">El caso es tramitado bajo expediente </w:t>
      </w:r>
      <w:r>
        <w:rPr>
          <w:rFonts w:ascii="Verdana" w:hAnsi="Verdana" w:cs="Verdana"/>
          <w:b/>
          <w:bCs/>
          <w:spacing w:val="3"/>
          <w:sz w:val="21"/>
          <w:szCs w:val="21"/>
          <w:lang w:val="es-ES" w:eastAsia="es-ES"/>
        </w:rPr>
        <w:t>TAT-108-18</w:t>
      </w:r>
    </w:p>
    <w:p w:rsidR="00F833FF" w:rsidRDefault="00B0536B">
      <w:pPr>
        <w:numPr>
          <w:ilvl w:val="0"/>
          <w:numId w:val="1"/>
        </w:numPr>
        <w:kinsoku w:val="0"/>
        <w:overflowPunct w:val="0"/>
        <w:autoSpaceDE/>
        <w:autoSpaceDN/>
        <w:adjustRightInd/>
        <w:spacing w:before="337" w:line="253" w:lineRule="exact"/>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RESULTANDO</w:t>
      </w:r>
    </w:p>
    <w:p w:rsidR="00F833FF" w:rsidRDefault="00B0536B">
      <w:pPr>
        <w:kinsoku w:val="0"/>
        <w:overflowPunct w:val="0"/>
        <w:autoSpaceDE/>
        <w:autoSpaceDN/>
        <w:adjustRightInd/>
        <w:spacing w:before="286" w:line="304" w:lineRule="exact"/>
        <w:ind w:left="72" w:right="288"/>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PRIMERO.- </w:t>
      </w:r>
      <w:r>
        <w:rPr>
          <w:rFonts w:ascii="Verdana" w:hAnsi="Verdana" w:cs="Verdana"/>
          <w:spacing w:val="9"/>
          <w:sz w:val="21"/>
          <w:szCs w:val="21"/>
          <w:lang w:val="es-ES" w:eastAsia="es-ES"/>
        </w:rPr>
        <w:t xml:space="preserve">Mediante </w:t>
      </w:r>
      <w:r>
        <w:rPr>
          <w:rFonts w:ascii="Verdana" w:hAnsi="Verdana" w:cs="Verdana"/>
          <w:b/>
          <w:bCs/>
          <w:spacing w:val="9"/>
          <w:sz w:val="21"/>
          <w:szCs w:val="21"/>
          <w:lang w:val="es-ES" w:eastAsia="es-ES"/>
        </w:rPr>
        <w:t xml:space="preserve">acuerdo 8.1 de la Sesión Ordinaria No. 42-2016 del 01 de Setiembre del año 2016, </w:t>
      </w:r>
      <w:r>
        <w:rPr>
          <w:rFonts w:ascii="Verdana" w:hAnsi="Verdana" w:cs="Verdana"/>
          <w:spacing w:val="9"/>
          <w:sz w:val="21"/>
          <w:szCs w:val="21"/>
          <w:lang w:val="es-ES" w:eastAsia="es-ES"/>
        </w:rPr>
        <w:t>la Junta Directiva del Consejo de Transporte Público dispone en lo conducente: ( ver folios 110 vueltos al 112 del expediente administrativo)</w:t>
      </w:r>
    </w:p>
    <w:p w:rsidR="00F833FF" w:rsidRDefault="00B0536B">
      <w:pPr>
        <w:kinsoku w:val="0"/>
        <w:overflowPunct w:val="0"/>
        <w:autoSpaceDE/>
        <w:autoSpaceDN/>
        <w:adjustRightInd/>
        <w:spacing w:before="333" w:line="200" w:lineRule="exact"/>
        <w:ind w:left="648"/>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..."POR TANTO, SE ACUERDA por votación unánime de los presentes:</w:t>
      </w:r>
    </w:p>
    <w:p w:rsidR="00F833FF" w:rsidRDefault="00B0536B">
      <w:pPr>
        <w:numPr>
          <w:ilvl w:val="0"/>
          <w:numId w:val="2"/>
        </w:numPr>
        <w:kinsoku w:val="0"/>
        <w:overflowPunct w:val="0"/>
        <w:autoSpaceDE/>
        <w:autoSpaceDN/>
        <w:adjustRightInd/>
        <w:spacing w:before="216" w:line="213" w:lineRule="exact"/>
        <w:ind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basados en l</w:t>
      </w:r>
      <w:r w:rsidR="005D0332">
        <w:rPr>
          <w:rFonts w:ascii="Verdana" w:hAnsi="Verdana" w:cs="Verdana"/>
          <w:i/>
          <w:iCs/>
          <w:sz w:val="16"/>
          <w:szCs w:val="16"/>
          <w:lang w:val="es-ES" w:eastAsia="es-ES"/>
        </w:rPr>
        <w:t>o</w:t>
      </w:r>
      <w:r>
        <w:rPr>
          <w:rFonts w:ascii="Verdana" w:hAnsi="Verdana" w:cs="Verdana"/>
          <w:i/>
          <w:iCs/>
          <w:sz w:val="16"/>
          <w:szCs w:val="16"/>
          <w:lang w:val="es-ES" w:eastAsia="es-ES"/>
        </w:rPr>
        <w:t xml:space="preserve">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F833FF" w:rsidRDefault="00B0536B">
      <w:pPr>
        <w:numPr>
          <w:ilvl w:val="0"/>
          <w:numId w:val="2"/>
        </w:numPr>
        <w:kinsoku w:val="0"/>
        <w:overflowPunct w:val="0"/>
        <w:autoSpaceDE/>
        <w:autoSpaceDN/>
        <w:adjustRightInd/>
        <w:spacing w:before="216" w:line="219" w:lineRule="exact"/>
        <w:ind w:right="864"/>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F833FF" w:rsidRDefault="00B0536B">
      <w:pPr>
        <w:numPr>
          <w:ilvl w:val="0"/>
          <w:numId w:val="3"/>
        </w:numPr>
        <w:kinsoku w:val="0"/>
        <w:overflowPunct w:val="0"/>
        <w:autoSpaceDE/>
        <w:autoSpaceDN/>
        <w:adjustRightInd/>
        <w:spacing w:before="244" w:line="219" w:lineRule="exact"/>
        <w:ind w:right="864"/>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Conformar una Comisión que trabaje en la elaboración de un proyecto de reglamento que pretenda la modificación del Decreto Ejecutivo No. 28833-MOPT, el cual deberá ser pr</w:t>
      </w:r>
      <w:r w:rsidR="005D0332">
        <w:rPr>
          <w:rFonts w:ascii="Verdana" w:hAnsi="Verdana" w:cs="Verdana"/>
          <w:i/>
          <w:iCs/>
          <w:spacing w:val="1"/>
          <w:sz w:val="16"/>
          <w:szCs w:val="16"/>
          <w:lang w:val="es-ES" w:eastAsia="es-ES"/>
        </w:rPr>
        <w:t>e</w:t>
      </w:r>
      <w:r>
        <w:rPr>
          <w:rFonts w:ascii="Verdana" w:hAnsi="Verdana" w:cs="Verdana"/>
          <w:i/>
          <w:iCs/>
          <w:spacing w:val="1"/>
          <w:sz w:val="16"/>
          <w:szCs w:val="16"/>
          <w:lang w:val="es-ES" w:eastAsia="es-ES"/>
        </w:rPr>
        <w:t>sentado ante la Junta Directiva, a más tardar en la primera semana de diciembre del 2016. Para tal fin, dicha Comisión deberá considerar lo establecido en la Ley No. 8279. La Comisión estará integrada de la siguiente manera:</w:t>
      </w:r>
    </w:p>
    <w:p w:rsidR="00F833FF" w:rsidRDefault="00B0536B">
      <w:pPr>
        <w:numPr>
          <w:ilvl w:val="0"/>
          <w:numId w:val="4"/>
        </w:numPr>
        <w:kinsoku w:val="0"/>
        <w:overflowPunct w:val="0"/>
        <w:autoSpaceDE/>
        <w:autoSpaceDN/>
        <w:adjustRightInd/>
        <w:spacing w:before="225" w:line="214" w:lineRule="exact"/>
        <w:ind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 tes Arias, Representante de los Usuarios en la Junta Directiva del Consejo (sic) se transporte Público.</w:t>
      </w:r>
    </w:p>
    <w:p w:rsidR="00F833FF" w:rsidRDefault="00B0536B">
      <w:pPr>
        <w:numPr>
          <w:ilvl w:val="0"/>
          <w:numId w:val="4"/>
        </w:numPr>
        <w:kinsoku w:val="0"/>
        <w:overflowPunct w:val="0"/>
        <w:autoSpaceDE/>
        <w:autoSpaceDN/>
        <w:adjustRightInd/>
        <w:spacing w:before="18" w:after="431" w:line="212" w:lineRule="exact"/>
        <w:ind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Ing. Ronny Rodríguez Chaves, Representante del MINAE en la Junta Directiva del Consejo de Transporte Público.</w:t>
      </w:r>
    </w:p>
    <w:p w:rsidR="00F833FF" w:rsidRDefault="00F833FF">
      <w:pPr>
        <w:widowControl/>
        <w:rPr>
          <w:sz w:val="24"/>
          <w:szCs w:val="24"/>
        </w:rPr>
        <w:sectPr w:rsidR="00F833FF">
          <w:pgSz w:w="12278" w:h="15802"/>
          <w:pgMar w:top="2160" w:right="1579" w:bottom="191" w:left="1699" w:header="720" w:footer="720" w:gutter="0"/>
          <w:cols w:space="720"/>
          <w:noEndnote/>
        </w:sectPr>
      </w:pPr>
    </w:p>
    <w:p w:rsidR="00F833FF" w:rsidRDefault="00F833FF">
      <w:pPr>
        <w:widowControl/>
        <w:rPr>
          <w:sz w:val="24"/>
          <w:szCs w:val="24"/>
        </w:rPr>
        <w:sectPr w:rsidR="00F833FF">
          <w:type w:val="continuous"/>
          <w:pgSz w:w="12278" w:h="15802"/>
          <w:pgMar w:top="2160" w:right="1864" w:bottom="191" w:left="7714" w:header="720" w:footer="720" w:gutter="0"/>
          <w:cols w:space="720"/>
          <w:noEndnote/>
        </w:sectPr>
      </w:pPr>
    </w:p>
    <w:p w:rsidR="00F833FF" w:rsidRDefault="00B0536B">
      <w:pPr>
        <w:numPr>
          <w:ilvl w:val="0"/>
          <w:numId w:val="5"/>
        </w:numPr>
        <w:kinsoku w:val="0"/>
        <w:overflowPunct w:val="0"/>
        <w:autoSpaceDE/>
        <w:autoSpaceDN/>
        <w:adjustRightInd/>
        <w:spacing w:before="29" w:line="202"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Licda. Ana Karina Zeledón Lépiz, Directora de Asuntos Económicos de la Defensoría de la (sic)Habitantes.</w:t>
      </w:r>
    </w:p>
    <w:p w:rsidR="00F833FF" w:rsidRDefault="00B0536B">
      <w:pPr>
        <w:numPr>
          <w:ilvl w:val="0"/>
          <w:numId w:val="5"/>
        </w:numPr>
        <w:kinsoku w:val="0"/>
        <w:overflowPunct w:val="0"/>
        <w:autoSpaceDE/>
        <w:autoSpaceDN/>
        <w:adjustRightInd/>
        <w:spacing w:before="47" w:line="216" w:lineRule="exact"/>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Msc. Maritza Madriz Picado. Gerente Ente Costarricense de Acreditación (ECA).</w:t>
      </w:r>
    </w:p>
    <w:p w:rsidR="00F833FF" w:rsidRDefault="00B0536B">
      <w:pPr>
        <w:numPr>
          <w:ilvl w:val="0"/>
          <w:numId w:val="5"/>
        </w:numPr>
        <w:kinsoku w:val="0"/>
        <w:overflowPunct w:val="0"/>
        <w:autoSpaceDE/>
        <w:autoSpaceDN/>
        <w:adjustRightInd/>
        <w:spacing w:line="186" w:lineRule="exact"/>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Ing. Cinthya Jiménez Jiménez. Coordinadora Gestoría de Calidad de ECA.</w:t>
      </w:r>
    </w:p>
    <w:p w:rsidR="00F833FF" w:rsidRDefault="00B0536B">
      <w:pPr>
        <w:numPr>
          <w:ilvl w:val="0"/>
          <w:numId w:val="5"/>
        </w:numPr>
        <w:kinsoku w:val="0"/>
        <w:overflowPunct w:val="0"/>
        <w:autoSpaceDE/>
        <w:autoSpaceDN/>
        <w:adjustRightInd/>
        <w:spacing w:before="17" w:line="204"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Un Representante del Sector de Transporte Remunerado de Personas en la Modalidad de Autobús.</w:t>
      </w:r>
    </w:p>
    <w:p w:rsidR="00F833FF" w:rsidRDefault="00B0536B">
      <w:pPr>
        <w:numPr>
          <w:ilvl w:val="0"/>
          <w:numId w:val="5"/>
        </w:numPr>
        <w:kinsoku w:val="0"/>
        <w:overflowPunct w:val="0"/>
        <w:autoSpaceDE/>
        <w:autoSpaceDN/>
        <w:adjustRightInd/>
        <w:spacing w:before="37" w:line="217" w:lineRule="exact"/>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Ing. Aura Álvarez Orozco. Directora Técnica del Consejo de Transporte Público.</w:t>
      </w:r>
    </w:p>
    <w:p w:rsidR="00F833FF" w:rsidRDefault="00B0536B">
      <w:pPr>
        <w:numPr>
          <w:ilvl w:val="0"/>
          <w:numId w:val="5"/>
        </w:numPr>
        <w:kinsoku w:val="0"/>
        <w:overflowPunct w:val="0"/>
        <w:autoSpaceDE/>
        <w:autoSpaceDN/>
        <w:adjustRightInd/>
        <w:spacing w:before="4" w:line="202" w:lineRule="exact"/>
        <w:ind w:right="792"/>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Licda. Susana López Rivera. Subdirectora Asesoría Jurídica del Consejo de Transporte Público.</w:t>
      </w:r>
    </w:p>
    <w:p w:rsidR="00F833FF" w:rsidRDefault="00B0536B">
      <w:pPr>
        <w:numPr>
          <w:ilvl w:val="0"/>
          <w:numId w:val="6"/>
        </w:numPr>
        <w:kinsoku w:val="0"/>
        <w:overflowPunct w:val="0"/>
        <w:autoSpaceDE/>
        <w:autoSpaceDN/>
        <w:adjustRightInd/>
        <w:spacing w:before="246" w:line="215" w:lineRule="exact"/>
        <w:ind w:right="792"/>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 xml:space="preserve">Aprobar la recomendación dada por la Comisión de revisión del </w:t>
      </w:r>
      <w:r>
        <w:rPr>
          <w:rFonts w:ascii="Verdana" w:hAnsi="Verdana" w:cs="Verdana"/>
          <w:b/>
          <w:bCs/>
          <w:i/>
          <w:iCs/>
          <w:spacing w:val="11"/>
          <w:sz w:val="15"/>
          <w:szCs w:val="15"/>
          <w:lang w:val="es-ES" w:eastAsia="es-ES"/>
        </w:rPr>
        <w:t xml:space="preserve">Manual para la Evaluación y Calificación de la Calidad del Servicio Público de Transporte Remunerado de Personas, </w:t>
      </w:r>
      <w:r>
        <w:rPr>
          <w:rFonts w:ascii="Verdana" w:hAnsi="Verdana" w:cs="Verdana"/>
          <w:i/>
          <w:iCs/>
          <w:spacing w:val="11"/>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11"/>
          <w:sz w:val="15"/>
          <w:szCs w:val="15"/>
          <w:lang w:val="es-ES" w:eastAsia="es-ES"/>
        </w:rPr>
        <w:t xml:space="preserve">operativo, </w:t>
      </w:r>
      <w:r>
        <w:rPr>
          <w:rFonts w:ascii="Verdana" w:hAnsi="Verdana" w:cs="Verdana"/>
          <w:i/>
          <w:iCs/>
          <w:spacing w:val="11"/>
          <w:sz w:val="15"/>
          <w:szCs w:val="15"/>
          <w:lang w:val="es-ES" w:eastAsia="es-ES"/>
        </w:rPr>
        <w:t xml:space="preserve">un 45%; el "Criterio A" que es el de la </w:t>
      </w:r>
      <w:r>
        <w:rPr>
          <w:rFonts w:ascii="Verdana" w:hAnsi="Verdana" w:cs="Verdana"/>
          <w:b/>
          <w:bCs/>
          <w:i/>
          <w:iCs/>
          <w:spacing w:val="11"/>
          <w:sz w:val="15"/>
          <w:szCs w:val="15"/>
          <w:lang w:val="es-ES" w:eastAsia="es-ES"/>
        </w:rPr>
        <w:t xml:space="preserve">Administración, </w:t>
      </w:r>
      <w:r>
        <w:rPr>
          <w:rFonts w:ascii="Verdana" w:hAnsi="Verdana" w:cs="Verdana"/>
          <w:i/>
          <w:iCs/>
          <w:spacing w:val="11"/>
          <w:sz w:val="15"/>
          <w:szCs w:val="15"/>
          <w:lang w:val="es-ES" w:eastAsia="es-ES"/>
        </w:rPr>
        <w:t xml:space="preserve">un 10%; y el "Criterio U" que es el del </w:t>
      </w:r>
      <w:r>
        <w:rPr>
          <w:rFonts w:ascii="Verdana" w:hAnsi="Verdana" w:cs="Verdana"/>
          <w:b/>
          <w:bCs/>
          <w:i/>
          <w:iCs/>
          <w:spacing w:val="11"/>
          <w:sz w:val="15"/>
          <w:szCs w:val="15"/>
          <w:lang w:val="es-ES" w:eastAsia="es-ES"/>
        </w:rPr>
        <w:t xml:space="preserve">usuario, </w:t>
      </w:r>
      <w:r>
        <w:rPr>
          <w:rFonts w:ascii="Verdana" w:hAnsi="Verdana" w:cs="Verdana"/>
          <w:i/>
          <w:iCs/>
          <w:spacing w:val="11"/>
          <w:sz w:val="15"/>
          <w:szCs w:val="15"/>
          <w:lang w:val="es-ES" w:eastAsia="es-ES"/>
        </w:rPr>
        <w:t>el restante 45%.</w:t>
      </w:r>
    </w:p>
    <w:p w:rsidR="00F833FF" w:rsidRDefault="00B0536B">
      <w:pPr>
        <w:numPr>
          <w:ilvl w:val="0"/>
          <w:numId w:val="7"/>
        </w:numPr>
        <w:kinsoku w:val="0"/>
        <w:overflowPunct w:val="0"/>
        <w:autoSpaceDE/>
        <w:autoSpaceDN/>
        <w:adjustRightInd/>
        <w:spacing w:before="244" w:line="213" w:lineRule="exact"/>
        <w:ind w:right="792"/>
        <w:jc w:val="both"/>
        <w:textAlignment w:val="baseline"/>
        <w:rPr>
          <w:rFonts w:ascii="Verdana" w:hAnsi="Verdana" w:cs="Verdana"/>
          <w:i/>
          <w:iCs/>
          <w:spacing w:val="6"/>
          <w:sz w:val="15"/>
          <w:szCs w:val="15"/>
          <w:lang w:val="es-ES" w:eastAsia="es-ES"/>
        </w:rPr>
      </w:pPr>
      <w:r>
        <w:rPr>
          <w:rFonts w:ascii="Verdana" w:hAnsi="Verdana" w:cs="Verdana"/>
          <w:i/>
          <w:iCs/>
          <w:spacing w:val="6"/>
          <w:sz w:val="15"/>
          <w:szCs w:val="15"/>
          <w:lang w:val="es-ES" w:eastAsia="es-ES"/>
        </w:rPr>
        <w:t xml:space="preserve">Disponer el reconocimiento del costo del estudio establecido en las </w:t>
      </w:r>
      <w:r>
        <w:rPr>
          <w:rFonts w:ascii="Verdana" w:hAnsi="Verdana" w:cs="Verdana"/>
          <w:b/>
          <w:bCs/>
          <w:i/>
          <w:iCs/>
          <w:spacing w:val="6"/>
          <w:sz w:val="15"/>
          <w:szCs w:val="15"/>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6"/>
          <w:sz w:val="15"/>
          <w:szCs w:val="15"/>
          <w:lang w:val="es-ES" w:eastAsia="es-ES"/>
        </w:rPr>
        <w:t>vía tarifaria, en relación con la contratación de organismos de inspección acreditados ante la ECA por parte de los concesionarios y los permisionarios para el cumplimiento de dicho estudio.</w:t>
      </w:r>
    </w:p>
    <w:p w:rsidR="00F833FF" w:rsidRDefault="00B0536B">
      <w:pPr>
        <w:numPr>
          <w:ilvl w:val="0"/>
          <w:numId w:val="6"/>
        </w:numPr>
        <w:kinsoku w:val="0"/>
        <w:overflowPunct w:val="0"/>
        <w:autoSpaceDE/>
        <w:autoSpaceDN/>
        <w:adjustRightInd/>
        <w:spacing w:before="247" w:line="217" w:lineRule="exact"/>
        <w:ind w:right="792"/>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F833FF" w:rsidRDefault="00B0536B">
      <w:pPr>
        <w:tabs>
          <w:tab w:val="left" w:pos="1944"/>
        </w:tabs>
        <w:kinsoku w:val="0"/>
        <w:overflowPunct w:val="0"/>
        <w:autoSpaceDE/>
        <w:autoSpaceDN/>
        <w:adjustRightInd/>
        <w:spacing w:before="287" w:line="293" w:lineRule="exact"/>
        <w:ind w:left="144" w:right="144"/>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SEGUNDO.-</w:t>
      </w:r>
      <w:r>
        <w:rPr>
          <w:rFonts w:ascii="Verdana" w:hAnsi="Verdana" w:cs="Verdana"/>
          <w:b/>
          <w:bCs/>
          <w:spacing w:val="9"/>
          <w:sz w:val="21"/>
          <w:szCs w:val="21"/>
          <w:lang w:val="es-ES" w:eastAsia="es-ES"/>
        </w:rPr>
        <w:tab/>
      </w:r>
      <w:r>
        <w:rPr>
          <w:rFonts w:ascii="Verdana" w:hAnsi="Verdana" w:cs="Verdana"/>
          <w:spacing w:val="9"/>
          <w:sz w:val="21"/>
          <w:szCs w:val="21"/>
          <w:lang w:val="es-ES" w:eastAsia="es-ES"/>
        </w:rPr>
        <w:t xml:space="preserve">La Junta Directiva del Consejo de Transporte Público, mediante </w:t>
      </w:r>
      <w:r>
        <w:rPr>
          <w:rFonts w:ascii="Verdana" w:hAnsi="Verdana" w:cs="Verdana"/>
          <w:b/>
          <w:bCs/>
          <w:spacing w:val="9"/>
          <w:sz w:val="21"/>
          <w:szCs w:val="21"/>
          <w:lang w:val="es-ES" w:eastAsia="es-ES"/>
        </w:rPr>
        <w:t xml:space="preserve">acuerdo 8.1 de la Sesión Ordinaria 45-2016 del 22 de Setiembre del 2016, </w:t>
      </w:r>
      <w:r>
        <w:rPr>
          <w:rFonts w:ascii="Verdana" w:hAnsi="Verdana" w:cs="Verdana"/>
          <w:spacing w:val="9"/>
          <w:sz w:val="21"/>
          <w:szCs w:val="21"/>
          <w:lang w:val="es-ES" w:eastAsia="es-ES"/>
        </w:rPr>
        <w:t>determinó: (ver folios del 113 vuelto al 116 del expediente administrativo)</w:t>
      </w:r>
    </w:p>
    <w:p w:rsidR="00F833FF" w:rsidRDefault="00B0536B">
      <w:pPr>
        <w:kinsoku w:val="0"/>
        <w:overflowPunct w:val="0"/>
        <w:autoSpaceDE/>
        <w:autoSpaceDN/>
        <w:adjustRightInd/>
        <w:spacing w:before="541" w:line="217" w:lineRule="exact"/>
        <w:ind w:left="792" w:right="792"/>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..."3. </w:t>
      </w:r>
      <w:r>
        <w:rPr>
          <w:rFonts w:ascii="Verdana" w:hAnsi="Verdana" w:cs="Verdana"/>
          <w:i/>
          <w:iCs/>
          <w:sz w:val="15"/>
          <w:szCs w:val="15"/>
          <w:lang w:val="es-ES" w:eastAsia="es-ES"/>
        </w:rPr>
        <w:t>En lo relativo al "Requisito obligatorio para la contratación de organismos de inspección a partir del año 2017", establecido en las Disposiciones Generales debe leerse correctamente lo siguiente:</w:t>
      </w:r>
    </w:p>
    <w:p w:rsidR="00F833FF" w:rsidRDefault="00B0536B">
      <w:pPr>
        <w:kinsoku w:val="0"/>
        <w:overflowPunct w:val="0"/>
        <w:autoSpaceDE/>
        <w:autoSpaceDN/>
        <w:adjustRightInd/>
        <w:spacing w:before="259" w:after="600" w:line="217" w:lineRule="exact"/>
        <w:ind w:left="792" w:right="792"/>
        <w:jc w:val="both"/>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F833FF" w:rsidRDefault="00F833FF">
      <w:pPr>
        <w:widowControl/>
        <w:rPr>
          <w:sz w:val="24"/>
          <w:szCs w:val="24"/>
        </w:rPr>
        <w:sectPr w:rsidR="00F833FF">
          <w:pgSz w:w="12278" w:h="15802"/>
          <w:pgMar w:top="1900" w:right="1785" w:bottom="306" w:left="1493" w:header="720" w:footer="720" w:gutter="0"/>
          <w:cols w:space="720"/>
          <w:noEndnote/>
        </w:sectPr>
      </w:pPr>
    </w:p>
    <w:p w:rsidR="00F833FF" w:rsidRDefault="00F833FF">
      <w:pPr>
        <w:widowControl/>
        <w:rPr>
          <w:sz w:val="24"/>
          <w:szCs w:val="24"/>
        </w:rPr>
        <w:sectPr w:rsidR="00F833FF">
          <w:type w:val="continuous"/>
          <w:pgSz w:w="12278" w:h="15802"/>
          <w:pgMar w:top="1900" w:right="1785" w:bottom="306" w:left="7613" w:header="720" w:footer="720" w:gutter="0"/>
          <w:cols w:space="720"/>
          <w:noEndnote/>
        </w:sectPr>
      </w:pPr>
    </w:p>
    <w:p w:rsidR="00F833FF" w:rsidRDefault="00B0536B">
      <w:pPr>
        <w:tabs>
          <w:tab w:val="left" w:pos="1080"/>
        </w:tabs>
        <w:kinsoku w:val="0"/>
        <w:overflowPunct w:val="0"/>
        <w:autoSpaceDE/>
        <w:autoSpaceDN/>
        <w:adjustRightInd/>
        <w:spacing w:before="38" w:line="217" w:lineRule="exact"/>
        <w:ind w:left="792" w:right="936"/>
        <w:jc w:val="both"/>
        <w:textAlignment w:val="baseline"/>
        <w:rPr>
          <w:rFonts w:ascii="Verdana" w:hAnsi="Verdana" w:cs="Verdana"/>
          <w:i/>
          <w:iCs/>
          <w:spacing w:val="2"/>
          <w:sz w:val="15"/>
          <w:szCs w:val="15"/>
          <w:lang w:val="es-ES" w:eastAsia="es-ES"/>
        </w:rPr>
      </w:pPr>
      <w:r>
        <w:rPr>
          <w:rFonts w:ascii="Verdana" w:hAnsi="Verdana" w:cs="Verdana"/>
          <w:b/>
          <w:bCs/>
          <w:i/>
          <w:iCs/>
          <w:spacing w:val="2"/>
          <w:sz w:val="15"/>
          <w:szCs w:val="15"/>
          <w:lang w:val="es-ES" w:eastAsia="es-ES"/>
        </w:rPr>
        <w:lastRenderedPageBreak/>
        <w:t>4.</w:t>
      </w:r>
      <w:r>
        <w:rPr>
          <w:rFonts w:ascii="Verdana" w:hAnsi="Verdana" w:cs="Verdana"/>
          <w:b/>
          <w:bCs/>
          <w:i/>
          <w:iCs/>
          <w:spacing w:val="2"/>
          <w:sz w:val="15"/>
          <w:szCs w:val="15"/>
          <w:lang w:val="es-ES" w:eastAsia="es-ES"/>
        </w:rPr>
        <w:tab/>
      </w:r>
      <w:r>
        <w:rPr>
          <w:rFonts w:ascii="Verdana" w:hAnsi="Verdana" w:cs="Verdana"/>
          <w:i/>
          <w:iCs/>
          <w:spacing w:val="2"/>
          <w:sz w:val="15"/>
          <w:szCs w:val="15"/>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F833FF" w:rsidRDefault="00B0536B">
      <w:pPr>
        <w:kinsoku w:val="0"/>
        <w:overflowPunct w:val="0"/>
        <w:autoSpaceDE/>
        <w:autoSpaceDN/>
        <w:adjustRightInd/>
        <w:spacing w:before="265" w:line="304" w:lineRule="exact"/>
        <w:ind w:left="144" w:right="216"/>
        <w:jc w:val="both"/>
        <w:textAlignment w:val="baseline"/>
        <w:rPr>
          <w:rFonts w:ascii="Verdana" w:hAnsi="Verdana" w:cs="Verdana"/>
          <w:spacing w:val="10"/>
          <w:sz w:val="21"/>
          <w:szCs w:val="21"/>
          <w:lang w:val="es-ES" w:eastAsia="es-ES"/>
        </w:rPr>
      </w:pPr>
      <w:r>
        <w:rPr>
          <w:rFonts w:ascii="Verdana" w:hAnsi="Verdana" w:cs="Verdana"/>
          <w:b/>
          <w:bCs/>
          <w:spacing w:val="10"/>
          <w:sz w:val="21"/>
          <w:szCs w:val="21"/>
          <w:lang w:val="es-ES" w:eastAsia="es-ES"/>
        </w:rPr>
        <w:t xml:space="preserve">TERCERO.- </w:t>
      </w:r>
      <w:r>
        <w:rPr>
          <w:rFonts w:ascii="Verdana" w:hAnsi="Verdana" w:cs="Verdana"/>
          <w:spacing w:val="10"/>
          <w:sz w:val="21"/>
          <w:szCs w:val="21"/>
          <w:lang w:val="es-ES" w:eastAsia="es-ES"/>
        </w:rPr>
        <w:t xml:space="preserve">La Junta Directiva del Consejo de Transporte Público, 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43 y 44 del expediente administrativo)</w:t>
      </w:r>
    </w:p>
    <w:p w:rsidR="00F833FF" w:rsidRDefault="00B0536B">
      <w:pPr>
        <w:kinsoku w:val="0"/>
        <w:overflowPunct w:val="0"/>
        <w:autoSpaceDE/>
        <w:autoSpaceDN/>
        <w:adjustRightInd/>
        <w:spacing w:before="563" w:line="191" w:lineRule="exact"/>
        <w:ind w:left="792"/>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t>POR TANTO, SE ACUERDA:</w:t>
      </w:r>
    </w:p>
    <w:p w:rsidR="00F833FF" w:rsidRDefault="00B0536B">
      <w:pPr>
        <w:numPr>
          <w:ilvl w:val="0"/>
          <w:numId w:val="8"/>
        </w:numPr>
        <w:kinsoku w:val="0"/>
        <w:overflowPunct w:val="0"/>
        <w:autoSpaceDE/>
        <w:autoSpaceDN/>
        <w:adjustRightInd/>
        <w:spacing w:before="213" w:line="217"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basados en los fundamentos, motivos y contenidos, desarrollados en los considerandos del oficio </w:t>
      </w:r>
      <w:r>
        <w:rPr>
          <w:rFonts w:ascii="Verdana" w:hAnsi="Verdana" w:cs="Verdana"/>
          <w:b/>
          <w:bCs/>
          <w:i/>
          <w:iCs/>
          <w:sz w:val="15"/>
          <w:szCs w:val="15"/>
          <w:lang w:val="es-ES" w:eastAsia="es-ES"/>
        </w:rPr>
        <w:t xml:space="preserve">DTE 2017-0317, </w:t>
      </w:r>
      <w:r>
        <w:rPr>
          <w:rFonts w:ascii="Verdana" w:hAnsi="Verdana" w:cs="Verdana"/>
          <w:i/>
          <w:iCs/>
          <w:sz w:val="15"/>
          <w:szCs w:val="15"/>
          <w:lang w:val="es-ES" w:eastAsia="es-ES"/>
        </w:rPr>
        <w:t>todas las recomendaciones contenidas en el oficio dicho, el cual forma parte integral de este acuerdo.</w:t>
      </w:r>
    </w:p>
    <w:p w:rsidR="00F833FF" w:rsidRDefault="00B0536B">
      <w:pPr>
        <w:numPr>
          <w:ilvl w:val="0"/>
          <w:numId w:val="9"/>
        </w:numPr>
        <w:kinsoku w:val="0"/>
        <w:overflowPunct w:val="0"/>
        <w:autoSpaceDE/>
        <w:autoSpaceDN/>
        <w:adjustRightInd/>
        <w:spacing w:before="217" w:line="217"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F833FF" w:rsidRDefault="00B0536B">
      <w:pPr>
        <w:numPr>
          <w:ilvl w:val="0"/>
          <w:numId w:val="9"/>
        </w:numPr>
        <w:kinsoku w:val="0"/>
        <w:overflowPunct w:val="0"/>
        <w:autoSpaceDE/>
        <w:autoSpaceDN/>
        <w:adjustRightInd/>
        <w:spacing w:before="218" w:line="217"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las Consideraciones Generales para la Contratación de Organismos de Inspección para la evaluación del período 2017, en su totalidad.</w:t>
      </w:r>
    </w:p>
    <w:p w:rsidR="00F833FF" w:rsidRDefault="00B0536B">
      <w:pPr>
        <w:numPr>
          <w:ilvl w:val="0"/>
          <w:numId w:val="9"/>
        </w:numPr>
        <w:kinsoku w:val="0"/>
        <w:overflowPunct w:val="0"/>
        <w:autoSpaceDE/>
        <w:autoSpaceDN/>
        <w:adjustRightInd/>
        <w:spacing w:before="216" w:line="217"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la recomendación dada por la Comisión revisión del </w:t>
      </w:r>
      <w:r>
        <w:rPr>
          <w:rFonts w:ascii="Verdana" w:hAnsi="Verdana" w:cs="Verdana"/>
          <w:b/>
          <w:bCs/>
          <w:i/>
          <w:iCs/>
          <w:sz w:val="15"/>
          <w:szCs w:val="15"/>
          <w:lang w:val="es-ES" w:eastAsia="es-ES"/>
        </w:rPr>
        <w:t xml:space="preserve">Manual para la Evaluación y Calificación de la Calidad del Servicio Público de Transporte Remunerado de Personas, </w:t>
      </w:r>
      <w:r>
        <w:rPr>
          <w:rFonts w:ascii="Verdana" w:hAnsi="Verdana" w:cs="Verdana"/>
          <w:i/>
          <w:iCs/>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z w:val="15"/>
          <w:szCs w:val="15"/>
          <w:lang w:val="es-ES" w:eastAsia="es-ES"/>
        </w:rPr>
        <w:t xml:space="preserve">operativo, </w:t>
      </w:r>
      <w:r>
        <w:rPr>
          <w:rFonts w:ascii="Verdana" w:hAnsi="Verdana" w:cs="Verdana"/>
          <w:i/>
          <w:iCs/>
          <w:sz w:val="15"/>
          <w:szCs w:val="15"/>
          <w:lang w:val="es-ES" w:eastAsia="es-ES"/>
        </w:rPr>
        <w:t xml:space="preserve">un 45%; el "Criterio A" que es el de la </w:t>
      </w:r>
      <w:r>
        <w:rPr>
          <w:rFonts w:ascii="Verdana" w:hAnsi="Verdana" w:cs="Verdana"/>
          <w:b/>
          <w:bCs/>
          <w:i/>
          <w:iCs/>
          <w:sz w:val="15"/>
          <w:szCs w:val="15"/>
          <w:lang w:val="es-ES" w:eastAsia="es-ES"/>
        </w:rPr>
        <w:t xml:space="preserve">Administración, </w:t>
      </w:r>
      <w:r>
        <w:rPr>
          <w:rFonts w:ascii="Verdana" w:hAnsi="Verdana" w:cs="Verdana"/>
          <w:i/>
          <w:iCs/>
          <w:sz w:val="15"/>
          <w:szCs w:val="15"/>
          <w:lang w:val="es-ES" w:eastAsia="es-ES"/>
        </w:rPr>
        <w:t xml:space="preserve">un 10%; y el "Criterio U" que es el del </w:t>
      </w:r>
      <w:r>
        <w:rPr>
          <w:rFonts w:ascii="Verdana" w:hAnsi="Verdana" w:cs="Verdana"/>
          <w:b/>
          <w:bCs/>
          <w:i/>
          <w:iCs/>
          <w:sz w:val="15"/>
          <w:szCs w:val="15"/>
          <w:lang w:val="es-ES" w:eastAsia="es-ES"/>
        </w:rPr>
        <w:t xml:space="preserve">usuario, </w:t>
      </w:r>
      <w:r>
        <w:rPr>
          <w:rFonts w:ascii="Verdana" w:hAnsi="Verdana" w:cs="Verdana"/>
          <w:i/>
          <w:iCs/>
          <w:sz w:val="15"/>
          <w:szCs w:val="15"/>
          <w:lang w:val="es-ES" w:eastAsia="es-ES"/>
        </w:rPr>
        <w:t>el restante 45%.</w:t>
      </w:r>
    </w:p>
    <w:p w:rsidR="00F833FF" w:rsidRDefault="00B0536B">
      <w:pPr>
        <w:numPr>
          <w:ilvl w:val="0"/>
          <w:numId w:val="9"/>
        </w:numPr>
        <w:kinsoku w:val="0"/>
        <w:overflowPunct w:val="0"/>
        <w:autoSpaceDE/>
        <w:autoSpaceDN/>
        <w:adjustRightInd/>
        <w:spacing w:before="251" w:line="217" w:lineRule="exact"/>
        <w:ind w:right="792"/>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F833FF" w:rsidRDefault="00B0536B">
      <w:pPr>
        <w:numPr>
          <w:ilvl w:val="0"/>
          <w:numId w:val="9"/>
        </w:numPr>
        <w:kinsoku w:val="0"/>
        <w:overflowPunct w:val="0"/>
        <w:autoSpaceDE/>
        <w:autoSpaceDN/>
        <w:adjustRightInd/>
        <w:spacing w:before="254" w:line="217"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5"/>
          <w:szCs w:val="15"/>
          <w:lang w:val="es-ES" w:eastAsia="es-ES"/>
        </w:rPr>
        <w:t xml:space="preserve">debe realizarse en un plazo de 3 meses calendario, </w:t>
      </w:r>
      <w:r>
        <w:rPr>
          <w:rFonts w:ascii="Verdana" w:hAnsi="Verdana" w:cs="Verdana"/>
          <w:i/>
          <w:iCs/>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5"/>
          <w:szCs w:val="15"/>
          <w:u w:val="single"/>
          <w:lang w:val="es-ES" w:eastAsia="es-ES"/>
        </w:rPr>
        <w:t>comunicar por escrito</w:t>
      </w:r>
      <w:r>
        <w:rPr>
          <w:rFonts w:ascii="Verdana" w:hAnsi="Verdana" w:cs="Verdana"/>
          <w:i/>
          <w:iCs/>
          <w:sz w:val="15"/>
          <w:szCs w:val="15"/>
          <w:lang w:val="es-ES" w:eastAsia="es-ES"/>
        </w:rPr>
        <w:t xml:space="preserve"> al CTP, el inicio del proceso de evaluación de la 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w:t>
      </w:r>
    </w:p>
    <w:p w:rsidR="00F833FF" w:rsidRDefault="00F833FF">
      <w:pPr>
        <w:widowControl/>
        <w:rPr>
          <w:sz w:val="24"/>
          <w:szCs w:val="24"/>
        </w:rPr>
        <w:sectPr w:rsidR="00F833FF">
          <w:pgSz w:w="12269" w:h="15763"/>
          <w:pgMar w:top="2120" w:right="1689" w:bottom="181" w:left="1580" w:header="720" w:footer="720" w:gutter="0"/>
          <w:cols w:space="720"/>
          <w:noEndnote/>
        </w:sectPr>
      </w:pPr>
    </w:p>
    <w:p w:rsidR="00F833FF" w:rsidRDefault="00B0536B">
      <w:pPr>
        <w:kinsoku w:val="0"/>
        <w:overflowPunct w:val="0"/>
        <w:autoSpaceDE/>
        <w:autoSpaceDN/>
        <w:adjustRightInd/>
        <w:spacing w:line="204" w:lineRule="exact"/>
        <w:ind w:left="720" w:right="792"/>
        <w:jc w:val="both"/>
        <w:textAlignment w:val="baseline"/>
        <w:rPr>
          <w:rFonts w:ascii="Verdana" w:hAnsi="Verdana" w:cs="Verdana"/>
          <w:b/>
          <w:bCs/>
          <w:i/>
          <w:iCs/>
          <w:sz w:val="15"/>
          <w:szCs w:val="15"/>
          <w:u w:val="single"/>
          <w:lang w:val="es-ES" w:eastAsia="es-ES"/>
        </w:rPr>
      </w:pPr>
      <w:r>
        <w:rPr>
          <w:rFonts w:ascii="Verdana" w:hAnsi="Verdana" w:cs="Verdana"/>
          <w:i/>
          <w:iCs/>
          <w:sz w:val="15"/>
          <w:szCs w:val="15"/>
          <w:lang w:val="es-ES" w:eastAsia="es-ES"/>
        </w:rPr>
        <w:lastRenderedPageBreak/>
        <w:t xml:space="preserve">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u w:val="single"/>
          <w:lang w:val="es-ES" w:eastAsia="es-ES"/>
        </w:rPr>
        <w:t>se debe muestrear antes del 31 de Diciembre del 2017.</w:t>
      </w:r>
    </w:p>
    <w:p w:rsidR="00F833FF" w:rsidRDefault="00B0536B">
      <w:pPr>
        <w:numPr>
          <w:ilvl w:val="0"/>
          <w:numId w:val="10"/>
        </w:numPr>
        <w:kinsoku w:val="0"/>
        <w:overflowPunct w:val="0"/>
        <w:autoSpaceDE/>
        <w:autoSpaceDN/>
        <w:adjustRightInd/>
        <w:spacing w:before="263" w:line="217" w:lineRule="exact"/>
        <w:ind w:right="792"/>
        <w:jc w:val="both"/>
        <w:textAlignment w:val="baseline"/>
        <w:rPr>
          <w:rFonts w:ascii="Verdana" w:hAnsi="Verdana" w:cs="Verdana"/>
          <w:b/>
          <w:bCs/>
          <w:i/>
          <w:iCs/>
          <w:spacing w:val="4"/>
          <w:sz w:val="15"/>
          <w:szCs w:val="15"/>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1408430</wp:posOffset>
                </wp:positionH>
                <wp:positionV relativeFrom="page">
                  <wp:posOffset>1749425</wp:posOffset>
                </wp:positionV>
                <wp:extent cx="49403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E3BF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0.9pt,137.75pt" to="149.8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Lc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" o:allowincell="f" strokeweight=".7pt">
                <w10:wrap type="square" anchorx="page" anchory="page"/>
              </v:line>
            </w:pict>
          </mc:Fallback>
        </mc:AlternateContent>
      </w:r>
      <w:r>
        <w:rPr>
          <w:rFonts w:ascii="Verdana" w:hAnsi="Verdana" w:cs="Verdana"/>
          <w:b/>
          <w:bCs/>
          <w:i/>
          <w:iCs/>
          <w:spacing w:val="4"/>
          <w:sz w:val="15"/>
          <w:szCs w:val="15"/>
          <w:u w:val="single"/>
          <w:lang w:val="es-ES" w:eastAsia="es-ES"/>
        </w:rPr>
        <w:t>Se establecen las Excepciones y dispensas del requisito de contratación de Organismos de Inspección Acreditados ante el ECA para el año 2017,</w:t>
      </w:r>
      <w:r>
        <w:rPr>
          <w:rFonts w:ascii="Verdana" w:hAnsi="Verdana" w:cs="Verdana"/>
          <w:i/>
          <w:iCs/>
          <w:spacing w:val="4"/>
          <w:sz w:val="15"/>
          <w:szCs w:val="15"/>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4"/>
          <w:sz w:val="15"/>
          <w:szCs w:val="15"/>
          <w:u w:val="single"/>
          <w:lang w:val="es-ES" w:eastAsia="es-ES"/>
        </w:rPr>
        <w:t>improrrogable</w:t>
      </w:r>
      <w:r>
        <w:rPr>
          <w:rFonts w:ascii="Verdana" w:hAnsi="Verdana" w:cs="Verdana"/>
          <w:i/>
          <w:iCs/>
          <w:spacing w:val="4"/>
          <w:sz w:val="15"/>
          <w:szCs w:val="15"/>
          <w:lang w:val="es-ES" w:eastAsia="es-ES"/>
        </w:rPr>
        <w:t xml:space="preserve"> hasta el 1 </w:t>
      </w:r>
      <w:r>
        <w:rPr>
          <w:rFonts w:ascii="Verdana" w:hAnsi="Verdana" w:cs="Verdana"/>
          <w:b/>
          <w:bCs/>
          <w:i/>
          <w:iCs/>
          <w:spacing w:val="4"/>
          <w:sz w:val="15"/>
          <w:szCs w:val="15"/>
          <w:lang w:val="es-ES" w:eastAsia="es-ES"/>
        </w:rPr>
        <w:t xml:space="preserve">de </w:t>
      </w:r>
      <w:r>
        <w:rPr>
          <w:rFonts w:ascii="Verdana" w:hAnsi="Verdana" w:cs="Verdana"/>
          <w:b/>
          <w:bCs/>
          <w:i/>
          <w:iCs/>
          <w:spacing w:val="4"/>
          <w:sz w:val="15"/>
          <w:szCs w:val="15"/>
          <w:u w:val="single"/>
          <w:lang w:val="es-ES" w:eastAsia="es-ES"/>
        </w:rPr>
        <w:t xml:space="preserve">agosto del 2017, </w:t>
      </w:r>
      <w:r>
        <w:rPr>
          <w:rFonts w:ascii="Verdana" w:hAnsi="Verdana" w:cs="Verdana"/>
          <w:i/>
          <w:iCs/>
          <w:spacing w:val="4"/>
          <w:sz w:val="15"/>
          <w:szCs w:val="15"/>
          <w:u w:val="single"/>
          <w:lang w:val="es-ES" w:eastAsia="es-ES"/>
        </w:rPr>
        <w:t xml:space="preserve">para demostrar ante el Consejo de Transporte Público, </w:t>
      </w:r>
      <w:r>
        <w:rPr>
          <w:rFonts w:ascii="Verdana" w:hAnsi="Verdana" w:cs="Verdana"/>
          <w:b/>
          <w:bCs/>
          <w:i/>
          <w:iCs/>
          <w:spacing w:val="4"/>
          <w:sz w:val="15"/>
          <w:szCs w:val="15"/>
          <w:u w:val="single"/>
          <w:lang w:val="es-ES" w:eastAsia="es-ES"/>
        </w:rPr>
        <w:t>la imposibilidad de  aplicar la evaluación de inconformidad contratando Organismos de Evaluación  acreditados ante el ECA;</w:t>
      </w:r>
      <w:r>
        <w:rPr>
          <w:rFonts w:ascii="Verdana" w:hAnsi="Verdana" w:cs="Verdana"/>
          <w:i/>
          <w:iCs/>
          <w:spacing w:val="4"/>
          <w:sz w:val="15"/>
          <w:szCs w:val="15"/>
          <w:lang w:val="es-ES" w:eastAsia="es-ES"/>
        </w:rPr>
        <w:t xml:space="preserve"> para lo cual deberán demostrar con </w:t>
      </w:r>
      <w:r>
        <w:rPr>
          <w:rFonts w:ascii="Verdana" w:hAnsi="Verdana" w:cs="Verdana"/>
          <w:b/>
          <w:bCs/>
          <w:i/>
          <w:iCs/>
          <w:spacing w:val="4"/>
          <w:sz w:val="15"/>
          <w:szCs w:val="15"/>
          <w:u w:val="single"/>
          <w:lang w:val="es-ES" w:eastAsia="es-ES"/>
        </w:rPr>
        <w:t>documentos idóneos,</w:t>
      </w:r>
      <w:r>
        <w:rPr>
          <w:rFonts w:ascii="Verdana" w:hAnsi="Verdana" w:cs="Verdana"/>
          <w:i/>
          <w:iCs/>
          <w:spacing w:val="4"/>
          <w:sz w:val="15"/>
          <w:szCs w:val="15"/>
          <w:lang w:val="es-ES" w:eastAsia="es-ES"/>
        </w:rPr>
        <w:t xml:space="preserve"> que gestionaron </w:t>
      </w:r>
      <w:r>
        <w:rPr>
          <w:rFonts w:ascii="Verdana" w:hAnsi="Verdana" w:cs="Verdana"/>
          <w:b/>
          <w:bCs/>
          <w:i/>
          <w:iCs/>
          <w:spacing w:val="4"/>
          <w:sz w:val="15"/>
          <w:szCs w:val="15"/>
          <w:u w:val="single"/>
          <w:lang w:val="es-ES" w:eastAsia="es-ES"/>
        </w:rPr>
        <w:t>ante todos los organismos de inspección acreditados por el ECA</w:t>
      </w:r>
      <w:r>
        <w:rPr>
          <w:rFonts w:ascii="Verdana" w:hAnsi="Verdana" w:cs="Verdana"/>
          <w:i/>
          <w:iCs/>
          <w:spacing w:val="4"/>
          <w:sz w:val="15"/>
          <w:szCs w:val="15"/>
          <w:lang w:val="es-ES" w:eastAsia="es-ES"/>
        </w:rPr>
        <w:t xml:space="preserve"> la cotización para la realización y levantamiento del estudio de calidad del año 2017, </w:t>
      </w:r>
      <w:r>
        <w:rPr>
          <w:rFonts w:ascii="Verdana" w:hAnsi="Verdana" w:cs="Verdana"/>
          <w:i/>
          <w:iCs/>
          <w:spacing w:val="4"/>
          <w:sz w:val="15"/>
          <w:szCs w:val="15"/>
          <w:u w:val="single"/>
          <w:lang w:val="es-ES" w:eastAsia="es-ES"/>
        </w:rPr>
        <w:t>v que estas diligencias fueron infructuosas, por hechos no imputables al prestatario.</w:t>
      </w:r>
      <w:r>
        <w:rPr>
          <w:rFonts w:ascii="Verdana" w:hAnsi="Verdana" w:cs="Verdana"/>
          <w:i/>
          <w:iCs/>
          <w:spacing w:val="4"/>
          <w:sz w:val="15"/>
          <w:szCs w:val="15"/>
          <w:lang w:val="es-ES" w:eastAsia="es-ES"/>
        </w:rPr>
        <w:t xml:space="preserve"> Para la eventual aplicación de esta condición de excepcionalidad y dispensa, </w:t>
      </w:r>
      <w:r>
        <w:rPr>
          <w:rFonts w:ascii="Verdana" w:hAnsi="Verdana" w:cs="Verdana"/>
          <w:b/>
          <w:bCs/>
          <w:i/>
          <w:iCs/>
          <w:spacing w:val="4"/>
          <w:sz w:val="15"/>
          <w:szCs w:val="15"/>
          <w:u w:val="single"/>
          <w:lang w:val="es-ES" w:eastAsia="es-ES"/>
        </w:rPr>
        <w:t>se tienen como documentos probatorios idóneos,</w:t>
      </w:r>
      <w:r>
        <w:rPr>
          <w:rFonts w:ascii="Verdana" w:hAnsi="Verdana" w:cs="Verdana"/>
          <w:i/>
          <w:iCs/>
          <w:spacing w:val="4"/>
          <w:sz w:val="15"/>
          <w:szCs w:val="15"/>
          <w:lang w:val="es-ES" w:eastAsia="es-ES"/>
        </w:rPr>
        <w:t xml:space="preserve"> los que seguidamente se señalan; mismos que deberá presentar el interesado </w:t>
      </w:r>
      <w:r>
        <w:rPr>
          <w:rFonts w:ascii="Verdana" w:hAnsi="Verdana" w:cs="Verdana"/>
          <w:b/>
          <w:bCs/>
          <w:i/>
          <w:iCs/>
          <w:spacing w:val="4"/>
          <w:sz w:val="15"/>
          <w:szCs w:val="15"/>
          <w:u w:val="single"/>
          <w:lang w:val="es-ES" w:eastAsia="es-ES"/>
        </w:rPr>
        <w:t>en su totalidad,</w:t>
      </w:r>
      <w:r>
        <w:rPr>
          <w:rFonts w:ascii="Verdana" w:hAnsi="Verdana" w:cs="Verdana"/>
          <w:i/>
          <w:iCs/>
          <w:spacing w:val="4"/>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4"/>
          <w:sz w:val="15"/>
          <w:szCs w:val="15"/>
          <w:lang w:val="es-ES" w:eastAsia="es-ES"/>
        </w:rPr>
        <w:t>a más tardar el 1 de agosto del 2017:</w:t>
      </w:r>
    </w:p>
    <w:p w:rsidR="00F833FF" w:rsidRDefault="00B0536B">
      <w:pPr>
        <w:kinsoku w:val="0"/>
        <w:overflowPunct w:val="0"/>
        <w:autoSpaceDE/>
        <w:autoSpaceDN/>
        <w:adjustRightInd/>
        <w:spacing w:before="248" w:line="213" w:lineRule="exact"/>
        <w:ind w:left="1512"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F833FF" w:rsidRDefault="00B0536B">
      <w:pPr>
        <w:kinsoku w:val="0"/>
        <w:overflowPunct w:val="0"/>
        <w:autoSpaceDE/>
        <w:autoSpaceDN/>
        <w:adjustRightInd/>
        <w:spacing w:before="19" w:line="213" w:lineRule="exact"/>
        <w:ind w:left="1512"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F833FF" w:rsidRDefault="00B0536B">
      <w:pPr>
        <w:kinsoku w:val="0"/>
        <w:overflowPunct w:val="0"/>
        <w:autoSpaceDE/>
        <w:autoSpaceDN/>
        <w:adjustRightInd/>
        <w:spacing w:before="4" w:line="213" w:lineRule="exact"/>
        <w:ind w:left="1512"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F833FF" w:rsidRDefault="00B0536B">
      <w:pPr>
        <w:kinsoku w:val="0"/>
        <w:overflowPunct w:val="0"/>
        <w:autoSpaceDE/>
        <w:autoSpaceDN/>
        <w:adjustRightInd/>
        <w:spacing w:before="230" w:line="213" w:lineRule="exact"/>
        <w:ind w:left="720"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En aquellos casos en los que el prestatario NO hubiera recibido respuesta por parte de los Organismos de Inspección consultados, deberá presentarse Declaración Jurada rendida ante Notario Público, que acredite dicha condición. </w:t>
      </w:r>
    </w:p>
    <w:p w:rsidR="00F833FF" w:rsidRDefault="00B0536B">
      <w:pPr>
        <w:kinsoku w:val="0"/>
        <w:overflowPunct w:val="0"/>
        <w:autoSpaceDE/>
        <w:autoSpaceDN/>
        <w:adjustRightInd/>
        <w:spacing w:before="224" w:line="213" w:lineRule="exact"/>
        <w:ind w:left="720"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F833FF" w:rsidRDefault="00B0536B">
      <w:pPr>
        <w:numPr>
          <w:ilvl w:val="0"/>
          <w:numId w:val="11"/>
        </w:numPr>
        <w:kinsoku w:val="0"/>
        <w:overflowPunct w:val="0"/>
        <w:autoSpaceDE/>
        <w:autoSpaceDN/>
        <w:adjustRightInd/>
        <w:spacing w:before="222" w:line="220"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F833FF" w:rsidRDefault="00B0536B">
      <w:pPr>
        <w:kinsoku w:val="0"/>
        <w:overflowPunct w:val="0"/>
        <w:autoSpaceDE/>
        <w:autoSpaceDN/>
        <w:adjustRightInd/>
        <w:spacing w:before="334" w:line="298" w:lineRule="exact"/>
        <w:ind w:left="144" w:right="21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 xml:space="preserve">La recurrente </w:t>
      </w:r>
      <w:r>
        <w:rPr>
          <w:rFonts w:ascii="Verdana" w:hAnsi="Verdana" w:cs="Verdana"/>
          <w:b/>
          <w:bCs/>
          <w:sz w:val="21"/>
          <w:szCs w:val="21"/>
          <w:lang w:val="es-ES" w:eastAsia="es-ES"/>
        </w:rPr>
        <w:t>E</w:t>
      </w:r>
      <w:r w:rsidR="005D0332">
        <w:rPr>
          <w:rFonts w:ascii="Verdana" w:hAnsi="Verdana" w:cs="Verdana"/>
          <w:b/>
          <w:bCs/>
          <w:sz w:val="21"/>
          <w:szCs w:val="21"/>
          <w:lang w:val="es-ES" w:eastAsia="es-ES"/>
        </w:rPr>
        <w:t>.</w:t>
      </w:r>
      <w:r>
        <w:rPr>
          <w:rFonts w:ascii="Verdana" w:hAnsi="Verdana" w:cs="Verdana"/>
          <w:b/>
          <w:bCs/>
          <w:sz w:val="21"/>
          <w:szCs w:val="21"/>
          <w:lang w:val="es-ES" w:eastAsia="es-ES"/>
        </w:rPr>
        <w:t xml:space="preserve">S.A., </w:t>
      </w:r>
      <w:r>
        <w:rPr>
          <w:rFonts w:ascii="Verdana" w:hAnsi="Verdana" w:cs="Verdana"/>
          <w:sz w:val="21"/>
          <w:szCs w:val="21"/>
          <w:lang w:val="es-ES" w:eastAsia="es-ES"/>
        </w:rPr>
        <w:t xml:space="preserve">recurre el </w:t>
      </w:r>
      <w:r>
        <w:rPr>
          <w:rFonts w:ascii="Verdana" w:hAnsi="Verdana" w:cs="Verdana"/>
          <w:b/>
          <w:bCs/>
          <w:sz w:val="21"/>
          <w:szCs w:val="21"/>
          <w:lang w:val="es-ES" w:eastAsia="es-ES"/>
        </w:rPr>
        <w:t xml:space="preserve">acuerdo 7.18 de la Sesión Ordinaria 23-2017 del 07 de Junio del 2017, </w:t>
      </w:r>
      <w:r>
        <w:rPr>
          <w:rFonts w:ascii="Verdana" w:hAnsi="Verdana" w:cs="Verdana"/>
          <w:sz w:val="21"/>
          <w:szCs w:val="21"/>
          <w:lang w:val="es-ES" w:eastAsia="es-ES"/>
        </w:rPr>
        <w:t>mediante líbelo presentado el 15 de Junio del 2017, y en lo atinente al caso manifiesta: (Léanse folios del 26 vuelto al 37 del expediente administrativo)</w:t>
      </w:r>
    </w:p>
    <w:p w:rsidR="00F833FF" w:rsidRDefault="00F833FF">
      <w:pPr>
        <w:widowControl/>
        <w:rPr>
          <w:sz w:val="24"/>
          <w:szCs w:val="24"/>
        </w:rPr>
        <w:sectPr w:rsidR="00F833FF">
          <w:pgSz w:w="12269" w:h="15763"/>
          <w:pgMar w:top="1920" w:right="1766" w:bottom="267" w:left="1503" w:header="720" w:footer="720" w:gutter="0"/>
          <w:cols w:space="720"/>
          <w:noEndnote/>
        </w:sectPr>
      </w:pPr>
    </w:p>
    <w:p w:rsidR="00F833FF" w:rsidRDefault="00B0536B" w:rsidP="00167905">
      <w:pPr>
        <w:numPr>
          <w:ilvl w:val="0"/>
          <w:numId w:val="32"/>
        </w:numPr>
        <w:kinsoku w:val="0"/>
        <w:overflowPunct w:val="0"/>
        <w:autoSpaceDE/>
        <w:autoSpaceDN/>
        <w:adjustRightInd/>
        <w:spacing w:before="13" w:line="298" w:lineRule="exact"/>
        <w:ind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lastRenderedPageBreak/>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F833FF" w:rsidRDefault="00B0536B" w:rsidP="00167905">
      <w:pPr>
        <w:numPr>
          <w:ilvl w:val="0"/>
          <w:numId w:val="32"/>
        </w:numPr>
        <w:kinsoku w:val="0"/>
        <w:overflowPunct w:val="0"/>
        <w:autoSpaceDE/>
        <w:autoSpaceDN/>
        <w:adjustRightInd/>
        <w:spacing w:before="21" w:line="298" w:lineRule="exact"/>
        <w:ind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w:t>
      </w:r>
      <w:r w:rsidR="00167905">
        <w:rPr>
          <w:rFonts w:ascii="Verdana" w:hAnsi="Verdana" w:cs="Verdana"/>
          <w:spacing w:val="9"/>
          <w:sz w:val="21"/>
          <w:szCs w:val="21"/>
          <w:lang w:val="es-ES" w:eastAsia="es-ES"/>
        </w:rPr>
        <w:t xml:space="preserve"> </w:t>
      </w:r>
      <w:r>
        <w:rPr>
          <w:rFonts w:ascii="Verdana" w:hAnsi="Verdana" w:cs="Verdana"/>
          <w:spacing w:val="9"/>
          <w:sz w:val="21"/>
          <w:szCs w:val="21"/>
          <w:lang w:val="es-ES" w:eastAsia="es-ES"/>
        </w:rPr>
        <w:t>t</w:t>
      </w:r>
      <w:r w:rsidR="00167905">
        <w:rPr>
          <w:rFonts w:ascii="Verdana" w:hAnsi="Verdana" w:cs="Verdana"/>
          <w:spacing w:val="9"/>
          <w:sz w:val="21"/>
          <w:szCs w:val="21"/>
          <w:lang w:val="es-ES" w:eastAsia="es-ES"/>
        </w:rPr>
        <w:t>e</w:t>
      </w:r>
      <w:r>
        <w:rPr>
          <w:rFonts w:ascii="Verdana" w:hAnsi="Verdana" w:cs="Verdana"/>
          <w:spacing w:val="9"/>
          <w:sz w:val="21"/>
          <w:szCs w:val="21"/>
          <w:lang w:val="es-ES" w:eastAsia="es-ES"/>
        </w:rPr>
        <w:t>rceros;</w:t>
      </w:r>
    </w:p>
    <w:p w:rsidR="00F833FF" w:rsidRDefault="00B0536B" w:rsidP="00167905">
      <w:pPr>
        <w:numPr>
          <w:ilvl w:val="0"/>
          <w:numId w:val="32"/>
        </w:numPr>
        <w:kinsoku w:val="0"/>
        <w:overflowPunct w:val="0"/>
        <w:autoSpaceDE/>
        <w:autoSpaceDN/>
        <w:adjustRightInd/>
        <w:spacing w:line="296" w:lineRule="exact"/>
        <w:ind w:right="144"/>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F833FF" w:rsidRDefault="00B0536B" w:rsidP="00167905">
      <w:pPr>
        <w:numPr>
          <w:ilvl w:val="0"/>
          <w:numId w:val="32"/>
        </w:numPr>
        <w:kinsoku w:val="0"/>
        <w:overflowPunct w:val="0"/>
        <w:autoSpaceDE/>
        <w:autoSpaceDN/>
        <w:adjustRightInd/>
        <w:spacing w:before="12" w:line="298" w:lineRule="exact"/>
        <w:ind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w:t>
      </w:r>
      <w:r>
        <w:rPr>
          <w:rFonts w:ascii="Verdana" w:hAnsi="Verdana" w:cs="Verdana"/>
          <w:spacing w:val="10"/>
          <w:sz w:val="21"/>
          <w:szCs w:val="21"/>
          <w:vertAlign w:val="superscript"/>
          <w:lang w:val="es-ES" w:eastAsia="es-ES"/>
        </w:rPr>
        <w:t>.</w:t>
      </w:r>
      <w:r>
        <w:rPr>
          <w:rFonts w:ascii="Verdana" w:hAnsi="Verdana" w:cs="Verdana"/>
          <w:spacing w:val="10"/>
          <w:sz w:val="21"/>
          <w:szCs w:val="21"/>
          <w:lang w:val="es-ES" w:eastAsia="es-ES"/>
        </w:rPr>
        <w:t>res sujetas a sus acreditaciones específicas.</w:t>
      </w:r>
    </w:p>
    <w:p w:rsidR="00F833FF" w:rsidRDefault="00B0536B">
      <w:pPr>
        <w:kinsoku w:val="0"/>
        <w:overflowPunct w:val="0"/>
        <w:autoSpaceDE/>
        <w:autoSpaceDN/>
        <w:adjustRightInd/>
        <w:spacing w:before="318" w:line="292" w:lineRule="exact"/>
        <w:ind w:left="144" w:right="144"/>
        <w:jc w:val="both"/>
        <w:textAlignment w:val="baseline"/>
        <w:rPr>
          <w:rFonts w:ascii="Verdana" w:hAnsi="Verdana" w:cs="Verdana"/>
          <w:spacing w:val="12"/>
          <w:sz w:val="21"/>
          <w:szCs w:val="21"/>
          <w:lang w:val="es-ES" w:eastAsia="es-ES"/>
        </w:rPr>
      </w:pPr>
      <w:r>
        <w:rPr>
          <w:rFonts w:ascii="Verdana" w:hAnsi="Verdana" w:cs="Verdana"/>
          <w:b/>
          <w:bCs/>
          <w:spacing w:val="12"/>
          <w:sz w:val="21"/>
          <w:szCs w:val="21"/>
          <w:lang w:val="es-ES" w:eastAsia="es-ES"/>
        </w:rPr>
        <w:t xml:space="preserve">QUINTO.- </w:t>
      </w:r>
      <w:r>
        <w:rPr>
          <w:rFonts w:ascii="Verdana" w:hAnsi="Verdana" w:cs="Verdana"/>
          <w:spacing w:val="12"/>
          <w:sz w:val="21"/>
          <w:szCs w:val="21"/>
          <w:lang w:val="es-ES" w:eastAsia="es-ES"/>
        </w:rPr>
        <w:t xml:space="preserve">La Junta Directiva del Consejo de Transporte Público, mediante </w:t>
      </w:r>
      <w:r>
        <w:rPr>
          <w:rFonts w:ascii="Verdana" w:hAnsi="Verdana" w:cs="Verdana"/>
          <w:b/>
          <w:bCs/>
          <w:spacing w:val="12"/>
          <w:sz w:val="21"/>
          <w:szCs w:val="21"/>
          <w:lang w:val="es-ES" w:eastAsia="es-ES"/>
        </w:rPr>
        <w:t xml:space="preserve">acuerdo 7.6.44 de la Sesión Ordinaria 17-2018 de 3 de mayo de </w:t>
      </w:r>
      <w:r>
        <w:rPr>
          <w:rFonts w:ascii="Verdana" w:hAnsi="Verdana" w:cs="Verdana"/>
          <w:spacing w:val="12"/>
          <w:sz w:val="21"/>
          <w:szCs w:val="21"/>
          <w:lang w:val="es-ES" w:eastAsia="es-ES"/>
        </w:rPr>
        <w:t xml:space="preserve">2018,'conoce y avala el informe de la Dirección de Asuntos Jurídicos dado mediante oficio </w:t>
      </w:r>
      <w:r>
        <w:rPr>
          <w:rFonts w:ascii="Verdana" w:hAnsi="Verdana" w:cs="Verdana"/>
          <w:b/>
          <w:bCs/>
          <w:spacing w:val="12"/>
          <w:sz w:val="21"/>
          <w:szCs w:val="21"/>
          <w:lang w:val="es-ES" w:eastAsia="es-ES"/>
        </w:rPr>
        <w:t>DA</w:t>
      </w:r>
      <w:r w:rsidR="00167905">
        <w:rPr>
          <w:rFonts w:ascii="Verdana" w:hAnsi="Verdana" w:cs="Verdana"/>
          <w:b/>
          <w:bCs/>
          <w:spacing w:val="12"/>
          <w:sz w:val="21"/>
          <w:szCs w:val="21"/>
          <w:lang w:val="es-ES" w:eastAsia="es-ES"/>
        </w:rPr>
        <w:t>J</w:t>
      </w:r>
      <w:r>
        <w:rPr>
          <w:rFonts w:ascii="Verdana" w:hAnsi="Verdana" w:cs="Verdana"/>
          <w:b/>
          <w:bCs/>
          <w:spacing w:val="12"/>
          <w:sz w:val="21"/>
          <w:szCs w:val="21"/>
          <w:lang w:val="es-ES" w:eastAsia="es-ES"/>
        </w:rPr>
        <w:t xml:space="preserve">- 2018-000774 de 26 de abril de 2018, </w:t>
      </w:r>
      <w:r>
        <w:rPr>
          <w:rFonts w:ascii="Verdana" w:hAnsi="Verdana" w:cs="Verdana"/>
          <w:spacing w:val="12"/>
          <w:sz w:val="21"/>
          <w:szCs w:val="21"/>
          <w:lang w:val="es-ES" w:eastAsia="es-ES"/>
        </w:rPr>
        <w:t>y rechaza el Recurso de Revocatoria presentado así como la incidencia de nulidad por improcedentes. (Léanse folios del 2 al 25 del expediente administrativo)</w:t>
      </w:r>
    </w:p>
    <w:p w:rsidR="00F833FF" w:rsidRDefault="00B0536B">
      <w:pPr>
        <w:kinsoku w:val="0"/>
        <w:overflowPunct w:val="0"/>
        <w:autoSpaceDE/>
        <w:autoSpaceDN/>
        <w:adjustRightInd/>
        <w:spacing w:before="354" w:line="268" w:lineRule="exact"/>
        <w:ind w:left="144" w:right="144"/>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SEXTO.- </w:t>
      </w:r>
      <w:r>
        <w:rPr>
          <w:rFonts w:ascii="Verdana" w:hAnsi="Verdana" w:cs="Verdana"/>
          <w:spacing w:val="9"/>
          <w:sz w:val="21"/>
          <w:szCs w:val="21"/>
          <w:lang w:val="es-ES" w:eastAsia="es-ES"/>
        </w:rPr>
        <w:t>En los procedimientos se han observado las prescripciones legales.</w:t>
      </w:r>
    </w:p>
    <w:p w:rsidR="00F833FF" w:rsidRDefault="00B0536B">
      <w:pPr>
        <w:kinsoku w:val="0"/>
        <w:overflowPunct w:val="0"/>
        <w:autoSpaceDE/>
        <w:autoSpaceDN/>
        <w:adjustRightInd/>
        <w:spacing w:before="364" w:after="1867" w:line="277" w:lineRule="exact"/>
        <w:ind w:left="144"/>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F833FF" w:rsidRDefault="00F833FF">
      <w:pPr>
        <w:widowControl/>
        <w:rPr>
          <w:sz w:val="24"/>
          <w:szCs w:val="24"/>
        </w:rPr>
        <w:sectPr w:rsidR="00F833FF">
          <w:pgSz w:w="12274" w:h="15763"/>
          <w:pgMar w:top="2140" w:right="1704" w:bottom="171" w:left="1570" w:header="720" w:footer="720" w:gutter="0"/>
          <w:cols w:space="720"/>
          <w:noEndnote/>
        </w:sectPr>
      </w:pPr>
    </w:p>
    <w:p w:rsidR="00F833FF" w:rsidRDefault="00F833FF">
      <w:pPr>
        <w:widowControl/>
        <w:rPr>
          <w:sz w:val="24"/>
          <w:szCs w:val="24"/>
        </w:rPr>
        <w:sectPr w:rsidR="00F833FF">
          <w:type w:val="continuous"/>
          <w:pgSz w:w="12274" w:h="15763"/>
          <w:pgMar w:top="2140" w:right="2588" w:bottom="171" w:left="7666" w:header="720" w:footer="720" w:gutter="0"/>
          <w:cols w:space="720"/>
          <w:noEndnote/>
        </w:sectPr>
      </w:pPr>
    </w:p>
    <w:p w:rsidR="00F833FF" w:rsidRDefault="00B0536B">
      <w:pPr>
        <w:kinsoku w:val="0"/>
        <w:overflowPunct w:val="0"/>
        <w:autoSpaceDE/>
        <w:autoSpaceDN/>
        <w:adjustRightInd/>
        <w:spacing w:before="19" w:line="259" w:lineRule="exact"/>
        <w:jc w:val="center"/>
        <w:textAlignment w:val="baseline"/>
        <w:rPr>
          <w:b/>
          <w:bCs/>
          <w:spacing w:val="8"/>
          <w:sz w:val="24"/>
          <w:szCs w:val="24"/>
          <w:lang w:val="es-ES" w:eastAsia="es-ES"/>
        </w:rPr>
      </w:pPr>
      <w:r>
        <w:rPr>
          <w:b/>
          <w:bCs/>
          <w:spacing w:val="8"/>
          <w:sz w:val="24"/>
          <w:szCs w:val="24"/>
          <w:lang w:val="es-ES" w:eastAsia="es-ES"/>
        </w:rPr>
        <w:lastRenderedPageBreak/>
        <w:t>CONSIDERANDO</w:t>
      </w:r>
    </w:p>
    <w:p w:rsidR="00F833FF" w:rsidRDefault="00B0536B">
      <w:pPr>
        <w:numPr>
          <w:ilvl w:val="0"/>
          <w:numId w:val="12"/>
        </w:numPr>
        <w:kinsoku w:val="0"/>
        <w:overflowPunct w:val="0"/>
        <w:autoSpaceDE/>
        <w:autoSpaceDN/>
        <w:adjustRightInd/>
        <w:spacing w:before="280" w:line="263" w:lineRule="exact"/>
        <w:ind w:right="144"/>
        <w:jc w:val="both"/>
        <w:textAlignment w:val="baseline"/>
        <w:rPr>
          <w:sz w:val="24"/>
          <w:szCs w:val="24"/>
          <w:lang w:eastAsia="en-US"/>
        </w:rPr>
      </w:pPr>
      <w:r>
        <w:rPr>
          <w:b/>
          <w:bCs/>
          <w:sz w:val="24"/>
          <w:szCs w:val="24"/>
          <w:lang w:val="es-ES" w:eastAsia="es-ES"/>
        </w:rPr>
        <w:t xml:space="preserve">SOBRE LA COMPETENCIA: </w:t>
      </w:r>
      <w:r>
        <w:rPr>
          <w:rFonts w:ascii="Verdana" w:hAnsi="Verdana" w:cs="Verdana"/>
          <w:sz w:val="21"/>
          <w:szCs w:val="21"/>
          <w:lang w:val="es-ES" w:eastAsia="es-ES"/>
        </w:rPr>
        <w:t xml:space="preserve">El Tribunal Administrativo de Transporte es el Órgano Competente para conocer y resolver el presente </w:t>
      </w:r>
      <w:r>
        <w:rPr>
          <w:rFonts w:ascii="Verdana" w:hAnsi="Verdana" w:cs="Verdana"/>
          <w:b/>
          <w:bCs/>
          <w:sz w:val="17"/>
          <w:szCs w:val="17"/>
          <w:lang w:val="es-ES" w:eastAsia="es-ES"/>
        </w:rPr>
        <w:t xml:space="preserve">RECURSO DE APELACIÓN </w:t>
      </w:r>
      <w:r>
        <w:rPr>
          <w:rFonts w:ascii="Verdana" w:hAnsi="Verdana" w:cs="Verdana"/>
          <w:sz w:val="21"/>
          <w:szCs w:val="21"/>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z w:val="21"/>
          <w:szCs w:val="21"/>
          <w:lang w:val="es-ES" w:eastAsia="es-ES"/>
        </w:rPr>
        <w:t xml:space="preserve">(Ley No. 8955) </w:t>
      </w:r>
      <w:r>
        <w:rPr>
          <w:rFonts w:ascii="Verdana" w:hAnsi="Verdana" w:cs="Verdana"/>
          <w:sz w:val="21"/>
          <w:szCs w:val="21"/>
          <w:lang w:val="es-ES" w:eastAsia="es-ES"/>
        </w:rPr>
        <w:t xml:space="preserve">y de la </w:t>
      </w:r>
      <w:r>
        <w:rPr>
          <w:b/>
          <w:bCs/>
          <w:sz w:val="24"/>
          <w:szCs w:val="24"/>
          <w:lang w:val="es-ES" w:eastAsia="es-ES"/>
        </w:rPr>
        <w:t xml:space="preserve">NULIDAD ABSOLUTA </w:t>
      </w:r>
      <w:r>
        <w:rPr>
          <w:rFonts w:ascii="Verdana" w:hAnsi="Verdana" w:cs="Verdana"/>
          <w:sz w:val="21"/>
          <w:szCs w:val="21"/>
          <w:lang w:val="es-ES" w:eastAsia="es-ES"/>
        </w:rPr>
        <w:t>correlativa, según los términos de los Artículos 180, ss. y concomitantes la Ley General de la Administración Pública.</w:t>
      </w:r>
      <w:r>
        <w:rPr>
          <w:rFonts w:ascii="Verdana" w:hAnsi="Verdana" w:cs="Verdana"/>
          <w:sz w:val="21"/>
          <w:szCs w:val="21"/>
          <w:lang w:val="es-ES" w:eastAsia="es-ES"/>
        </w:rPr>
        <w:noBreakHyphen/>
      </w:r>
    </w:p>
    <w:p w:rsidR="00F833FF" w:rsidRDefault="00B0536B">
      <w:pPr>
        <w:numPr>
          <w:ilvl w:val="0"/>
          <w:numId w:val="13"/>
        </w:numPr>
        <w:kinsoku w:val="0"/>
        <w:overflowPunct w:val="0"/>
        <w:autoSpaceDE/>
        <w:autoSpaceDN/>
        <w:adjustRightInd/>
        <w:spacing w:before="284" w:line="257" w:lineRule="exact"/>
        <w:ind w:right="144"/>
        <w:jc w:val="both"/>
        <w:textAlignment w:val="baseline"/>
        <w:rPr>
          <w:rFonts w:ascii="Verdana" w:hAnsi="Verdana" w:cs="Verdana"/>
          <w:spacing w:val="1"/>
          <w:sz w:val="21"/>
          <w:szCs w:val="21"/>
          <w:lang w:val="es-ES" w:eastAsia="es-ES"/>
        </w:rPr>
      </w:pPr>
      <w:r>
        <w:rPr>
          <w:b/>
          <w:bCs/>
          <w:spacing w:val="1"/>
          <w:sz w:val="24"/>
          <w:szCs w:val="24"/>
          <w:lang w:val="es-ES" w:eastAsia="es-ES"/>
        </w:rPr>
        <w:t xml:space="preserve">LA ADMISIBILIDAD DEL RECURSO: </w:t>
      </w:r>
      <w:r>
        <w:rPr>
          <w:b/>
          <w:bCs/>
          <w:spacing w:val="1"/>
          <w:sz w:val="24"/>
          <w:szCs w:val="24"/>
          <w:u w:val="single"/>
          <w:lang w:val="es-ES" w:eastAsia="es-ES"/>
        </w:rPr>
        <w:t>En cuanto a la Legitimación en  General:</w:t>
      </w:r>
      <w:r>
        <w:rPr>
          <w:rFonts w:ascii="Verdana" w:hAnsi="Verdana" w:cs="Verdana"/>
          <w:spacing w:val="1"/>
          <w:sz w:val="21"/>
          <w:szCs w:val="21"/>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b/>
          <w:bCs/>
          <w:spacing w:val="1"/>
          <w:sz w:val="24"/>
          <w:szCs w:val="24"/>
          <w:u w:val="single"/>
          <w:lang w:val="es-ES" w:eastAsia="es-ES"/>
        </w:rPr>
        <w:t xml:space="preserve">En cuanto al Plazo:  </w:t>
      </w:r>
      <w:r>
        <w:rPr>
          <w:rFonts w:ascii="Verdana" w:hAnsi="Verdana" w:cs="Verdana"/>
          <w:spacing w:val="1"/>
          <w:sz w:val="21"/>
          <w:szCs w:val="21"/>
          <w:lang w:val="es-ES" w:eastAsia="es-ES"/>
        </w:rPr>
        <w:t>Conforme al estudio efectuado el Recurso de Apelación fue presentado dentro del plazo legal establecido para tal fin, en los términos del artículo 11 de la Ley 7969.</w:t>
      </w:r>
    </w:p>
    <w:p w:rsidR="00F833FF" w:rsidRDefault="00B0536B">
      <w:pPr>
        <w:numPr>
          <w:ilvl w:val="0"/>
          <w:numId w:val="14"/>
        </w:numPr>
        <w:kinsoku w:val="0"/>
        <w:overflowPunct w:val="0"/>
        <w:autoSpaceDE/>
        <w:autoSpaceDN/>
        <w:adjustRightInd/>
        <w:spacing w:before="286" w:line="257" w:lineRule="exact"/>
        <w:ind w:right="144"/>
        <w:jc w:val="both"/>
        <w:textAlignment w:val="baseline"/>
        <w:rPr>
          <w:rFonts w:ascii="Verdana" w:hAnsi="Verdana" w:cs="Verdana"/>
          <w:sz w:val="21"/>
          <w:szCs w:val="21"/>
          <w:lang w:val="es-ES" w:eastAsia="es-ES"/>
        </w:rPr>
      </w:pPr>
      <w:r>
        <w:rPr>
          <w:b/>
          <w:bCs/>
          <w:sz w:val="24"/>
          <w:szCs w:val="24"/>
          <w:lang w:val="es-ES" w:eastAsia="es-ES"/>
        </w:rPr>
        <w:t xml:space="preserve">HECHOS PROBADOS: </w:t>
      </w:r>
      <w:r>
        <w:rPr>
          <w:rFonts w:ascii="Verdana" w:hAnsi="Verdana" w:cs="Verdana"/>
          <w:sz w:val="21"/>
          <w:szCs w:val="21"/>
          <w:lang w:val="es-ES" w:eastAsia="es-ES"/>
        </w:rPr>
        <w:t>De importancia para la Decisión de este Asunto, se estiman como Debidamente Demostrados los siguientes Hechos:</w:t>
      </w:r>
    </w:p>
    <w:p w:rsidR="00F833FF" w:rsidRDefault="00B0536B">
      <w:pPr>
        <w:tabs>
          <w:tab w:val="right" w:pos="8784"/>
        </w:tabs>
        <w:kinsoku w:val="0"/>
        <w:overflowPunct w:val="0"/>
        <w:autoSpaceDE/>
        <w:autoSpaceDN/>
        <w:adjustRightInd/>
        <w:spacing w:before="389" w:line="257" w:lineRule="exact"/>
        <w:ind w:left="216"/>
        <w:jc w:val="both"/>
        <w:textAlignment w:val="baseline"/>
        <w:rPr>
          <w:b/>
          <w:bCs/>
          <w:sz w:val="24"/>
          <w:szCs w:val="24"/>
          <w:lang w:val="es-ES" w:eastAsia="es-ES"/>
        </w:rPr>
      </w:pPr>
      <w:r>
        <w:rPr>
          <w:rFonts w:ascii="Verdana" w:hAnsi="Verdana" w:cs="Verdana"/>
          <w:b/>
          <w:bCs/>
          <w:i/>
          <w:iCs/>
          <w:sz w:val="21"/>
          <w:szCs w:val="21"/>
          <w:lang w:val="es-ES" w:eastAsia="es-ES"/>
        </w:rPr>
        <w:t>A.-</w:t>
      </w:r>
      <w:r>
        <w:rPr>
          <w:rFonts w:ascii="Verdana" w:hAnsi="Verdana" w:cs="Verdana"/>
          <w:b/>
          <w:bCs/>
          <w:i/>
          <w:iCs/>
          <w:sz w:val="21"/>
          <w:szCs w:val="21"/>
          <w:lang w:val="es-ES" w:eastAsia="es-ES"/>
        </w:rPr>
        <w:tab/>
      </w:r>
      <w:r>
        <w:rPr>
          <w:rFonts w:ascii="Verdana" w:hAnsi="Verdana" w:cs="Verdana"/>
          <w:sz w:val="21"/>
          <w:szCs w:val="21"/>
          <w:lang w:val="es-ES" w:eastAsia="es-ES"/>
        </w:rPr>
        <w:t xml:space="preserve">Mediante </w:t>
      </w:r>
      <w:r>
        <w:rPr>
          <w:b/>
          <w:bCs/>
          <w:sz w:val="24"/>
          <w:szCs w:val="24"/>
          <w:lang w:val="es-ES" w:eastAsia="es-ES"/>
        </w:rPr>
        <w:t>acuerdo 8.1 de</w:t>
      </w:r>
      <w:r>
        <w:rPr>
          <w:rFonts w:ascii="Verdana" w:hAnsi="Verdana" w:cs="Verdana"/>
          <w:sz w:val="21"/>
          <w:szCs w:val="21"/>
          <w:lang w:val="es-ES" w:eastAsia="es-ES"/>
        </w:rPr>
        <w:t xml:space="preserve">, </w:t>
      </w:r>
      <w:r>
        <w:rPr>
          <w:b/>
          <w:bCs/>
          <w:sz w:val="24"/>
          <w:szCs w:val="24"/>
          <w:lang w:val="es-ES" w:eastAsia="es-ES"/>
        </w:rPr>
        <w:t>la Sesión Ordinaria No. 42-2016 del</w:t>
      </w:r>
    </w:p>
    <w:p w:rsidR="00F833FF" w:rsidRDefault="00B0536B">
      <w:pPr>
        <w:kinsoku w:val="0"/>
        <w:overflowPunct w:val="0"/>
        <w:autoSpaceDE/>
        <w:autoSpaceDN/>
        <w:adjustRightInd/>
        <w:spacing w:line="295" w:lineRule="exact"/>
        <w:ind w:left="216" w:right="144"/>
        <w:jc w:val="both"/>
        <w:textAlignment w:val="baseline"/>
        <w:rPr>
          <w:rFonts w:ascii="Verdana" w:hAnsi="Verdana" w:cs="Verdana"/>
          <w:spacing w:val="11"/>
          <w:sz w:val="21"/>
          <w:szCs w:val="21"/>
          <w:lang w:val="es-ES" w:eastAsia="es-ES"/>
        </w:rPr>
      </w:pPr>
      <w:r>
        <w:rPr>
          <w:b/>
          <w:bCs/>
          <w:spacing w:val="11"/>
          <w:sz w:val="24"/>
          <w:szCs w:val="24"/>
          <w:lang w:val="es-ES" w:eastAsia="es-ES"/>
        </w:rPr>
        <w:t xml:space="preserve">01 de Setiembre del año 2016, </w:t>
      </w:r>
      <w:r>
        <w:rPr>
          <w:rFonts w:ascii="Verdana" w:hAnsi="Verdana" w:cs="Verdana"/>
          <w:spacing w:val="11"/>
          <w:sz w:val="21"/>
          <w:szCs w:val="21"/>
          <w:lang w:val="es-ES" w:eastAsia="es-ES"/>
        </w:rPr>
        <w:t>la Junta Directiva del Consejo de Transporte Público dispone en lo conducente: ( ver folios 110 vuelto al 112 del expediente administrativo)</w:t>
      </w:r>
    </w:p>
    <w:p w:rsidR="00F833FF" w:rsidRDefault="00B0536B">
      <w:pPr>
        <w:numPr>
          <w:ilvl w:val="0"/>
          <w:numId w:val="15"/>
        </w:numPr>
        <w:kinsoku w:val="0"/>
        <w:overflowPunct w:val="0"/>
        <w:autoSpaceDE/>
        <w:autoSpaceDN/>
        <w:adjustRightInd/>
        <w:spacing w:before="298" w:line="300" w:lineRule="exact"/>
        <w:ind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xml:space="preserve">Aprobar, basados en los fundamentos, motivos y contenidos, desarrollados en los considerandos del oficio </w:t>
      </w:r>
      <w:r>
        <w:rPr>
          <w:rFonts w:ascii="Verdana" w:hAnsi="Verdana" w:cs="Verdana"/>
          <w:b/>
          <w:bCs/>
          <w:i/>
          <w:iCs/>
          <w:spacing w:val="10"/>
          <w:sz w:val="21"/>
          <w:szCs w:val="21"/>
          <w:lang w:val="es-ES" w:eastAsia="es-ES"/>
        </w:rPr>
        <w:t xml:space="preserve">DTE 2016-1153, </w:t>
      </w:r>
      <w:r>
        <w:rPr>
          <w:rFonts w:ascii="Verdana" w:hAnsi="Verdana" w:cs="Verdana"/>
          <w:i/>
          <w:iCs/>
          <w:spacing w:val="10"/>
          <w:sz w:val="21"/>
          <w:szCs w:val="21"/>
          <w:lang w:val="es-ES" w:eastAsia="es-ES"/>
        </w:rPr>
        <w:t>todas las recomendaciones contenidas en el oficio dicho, el cual forma parte integral de este acuerdo.</w:t>
      </w:r>
    </w:p>
    <w:p w:rsidR="00F833FF" w:rsidRDefault="00B0536B">
      <w:pPr>
        <w:numPr>
          <w:ilvl w:val="0"/>
          <w:numId w:val="15"/>
        </w:numPr>
        <w:kinsoku w:val="0"/>
        <w:overflowPunct w:val="0"/>
        <w:autoSpaceDE/>
        <w:autoSpaceDN/>
        <w:adjustRightInd/>
        <w:spacing w:line="296" w:lineRule="exact"/>
        <w:ind w:right="504"/>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Aprobar las Consideraciones Generales para la Contratación de Organismos de Inspección para la evaluación del período 2016, así como el correspondiente Manual para la Evaluación de la Calidad para dicho período.</w:t>
      </w:r>
    </w:p>
    <w:p w:rsidR="00F833FF" w:rsidRDefault="00B0536B">
      <w:pPr>
        <w:numPr>
          <w:ilvl w:val="0"/>
          <w:numId w:val="15"/>
        </w:numPr>
        <w:kinsoku w:val="0"/>
        <w:overflowPunct w:val="0"/>
        <w:autoSpaceDE/>
        <w:autoSpaceDN/>
        <w:adjustRightInd/>
        <w:spacing w:before="30" w:line="300" w:lineRule="exact"/>
        <w:ind w:right="504"/>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F833FF" w:rsidRDefault="00F833FF">
      <w:pPr>
        <w:widowControl/>
        <w:rPr>
          <w:sz w:val="24"/>
          <w:szCs w:val="24"/>
        </w:rPr>
        <w:sectPr w:rsidR="00F833FF">
          <w:pgSz w:w="12274" w:h="15763"/>
          <w:pgMar w:top="1920" w:right="1783" w:bottom="287" w:left="1491" w:header="720" w:footer="720" w:gutter="0"/>
          <w:cols w:space="720"/>
          <w:noEndnote/>
        </w:sectPr>
      </w:pPr>
    </w:p>
    <w:p w:rsidR="00F833FF" w:rsidRDefault="00B0536B">
      <w:pPr>
        <w:numPr>
          <w:ilvl w:val="0"/>
          <w:numId w:val="16"/>
        </w:numPr>
        <w:kinsoku w:val="0"/>
        <w:overflowPunct w:val="0"/>
        <w:autoSpaceDE/>
        <w:autoSpaceDN/>
        <w:adjustRightInd/>
        <w:spacing w:before="15"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Sra. Olga Barran tes Arias, Representante de los Usuarios en la Junta Directiva del Consejo(sic) se transporte Público.</w:t>
      </w:r>
    </w:p>
    <w:p w:rsidR="00F833FF" w:rsidRDefault="00B0536B">
      <w:pPr>
        <w:numPr>
          <w:ilvl w:val="0"/>
          <w:numId w:val="16"/>
        </w:numPr>
        <w:kinsoku w:val="0"/>
        <w:overflowPunct w:val="0"/>
        <w:autoSpaceDE/>
        <w:autoSpaceDN/>
        <w:adjustRightInd/>
        <w:spacing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F833FF" w:rsidRDefault="00B0536B">
      <w:pPr>
        <w:numPr>
          <w:ilvl w:val="0"/>
          <w:numId w:val="16"/>
        </w:numPr>
        <w:kinsoku w:val="0"/>
        <w:overflowPunct w:val="0"/>
        <w:autoSpaceDE/>
        <w:autoSpaceDN/>
        <w:adjustRightInd/>
        <w:spacing w:line="297"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Ana Karina Zeledón Lépiz, Directora de Asuntos Económicos de la Defensoría de (SIC) la Habitantes.</w:t>
      </w:r>
    </w:p>
    <w:p w:rsidR="00F833FF" w:rsidRDefault="00B0536B">
      <w:pPr>
        <w:numPr>
          <w:ilvl w:val="0"/>
          <w:numId w:val="16"/>
        </w:numPr>
        <w:kinsoku w:val="0"/>
        <w:overflowPunct w:val="0"/>
        <w:autoSpaceDE/>
        <w:autoSpaceDN/>
        <w:adjustRightInd/>
        <w:spacing w:before="5"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Msc. Maritza Madriz Picado. Gerente Ente Costarricense' de Acreditación (ECA).</w:t>
      </w:r>
    </w:p>
    <w:p w:rsidR="00F833FF" w:rsidRDefault="00B0536B">
      <w:pPr>
        <w:numPr>
          <w:ilvl w:val="0"/>
          <w:numId w:val="16"/>
        </w:numPr>
        <w:kinsoku w:val="0"/>
        <w:overflowPunct w:val="0"/>
        <w:autoSpaceDE/>
        <w:autoSpaceDN/>
        <w:adjustRightInd/>
        <w:spacing w:before="6" w:line="294"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Cinthya Jiménez Jiménez. Coordinadora Gestoría de Calidad de ECA.</w:t>
      </w:r>
    </w:p>
    <w:p w:rsidR="00F833FF" w:rsidRDefault="00B0536B">
      <w:pPr>
        <w:numPr>
          <w:ilvl w:val="0"/>
          <w:numId w:val="16"/>
        </w:numPr>
        <w:kinsoku w:val="0"/>
        <w:overflowPunct w:val="0"/>
        <w:autoSpaceDE/>
        <w:autoSpaceDN/>
        <w:adjustRightInd/>
        <w:spacing w:before="7"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F833FF" w:rsidRDefault="00B0536B">
      <w:pPr>
        <w:numPr>
          <w:ilvl w:val="0"/>
          <w:numId w:val="16"/>
        </w:numPr>
        <w:kinsoku w:val="0"/>
        <w:overflowPunct w:val="0"/>
        <w:autoSpaceDE/>
        <w:autoSpaceDN/>
        <w:adjustRightInd/>
        <w:spacing w:before="10" w:line="293"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F833FF" w:rsidRDefault="00B0536B">
      <w:pPr>
        <w:numPr>
          <w:ilvl w:val="0"/>
          <w:numId w:val="16"/>
        </w:numPr>
        <w:kinsoku w:val="0"/>
        <w:overflowPunct w:val="0"/>
        <w:autoSpaceDE/>
        <w:autoSpaceDN/>
        <w:adjustRightInd/>
        <w:spacing w:before="17" w:line="293"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F833FF" w:rsidRDefault="00B0536B">
      <w:pPr>
        <w:numPr>
          <w:ilvl w:val="0"/>
          <w:numId w:val="17"/>
        </w:numPr>
        <w:kinsoku w:val="0"/>
        <w:overflowPunct w:val="0"/>
        <w:autoSpaceDE/>
        <w:autoSpaceDN/>
        <w:adjustRightInd/>
        <w:spacing w:before="312" w:line="298" w:lineRule="exact"/>
        <w:ind w:right="288"/>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F833FF" w:rsidRDefault="00B0536B">
      <w:pPr>
        <w:numPr>
          <w:ilvl w:val="0"/>
          <w:numId w:val="17"/>
        </w:numPr>
        <w:kinsoku w:val="0"/>
        <w:overflowPunct w:val="0"/>
        <w:autoSpaceDE/>
        <w:autoSpaceDN/>
        <w:adjustRightInd/>
        <w:spacing w:before="13" w:line="298" w:lineRule="exact"/>
        <w:ind w:right="288"/>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Disponer el reconocimiento del costo del estudio establecido en las </w:t>
      </w:r>
      <w:r>
        <w:rPr>
          <w:rFonts w:ascii="Verdana" w:hAnsi="Verdana" w:cs="Verdana"/>
          <w:b/>
          <w:bCs/>
          <w:i/>
          <w:iCs/>
          <w:spacing w:val="3"/>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vía tarifaría, </w:t>
      </w:r>
      <w:r w:rsidR="009A1524">
        <w:rPr>
          <w:rFonts w:ascii="Verdana" w:hAnsi="Verdana" w:cs="Verdana"/>
          <w:i/>
          <w:iCs/>
          <w:spacing w:val="3"/>
          <w:sz w:val="22"/>
          <w:szCs w:val="22"/>
          <w:lang w:val="es-ES" w:eastAsia="es-ES"/>
        </w:rPr>
        <w:t>e</w:t>
      </w:r>
      <w:r>
        <w:rPr>
          <w:rFonts w:ascii="Verdana" w:hAnsi="Verdana" w:cs="Verdana"/>
          <w:i/>
          <w:iCs/>
          <w:spacing w:val="3"/>
          <w:sz w:val="22"/>
          <w:szCs w:val="22"/>
          <w:lang w:val="es-ES" w:eastAsia="es-ES"/>
        </w:rPr>
        <w:t>n relación con la contratación de organismos de inspección acreditados ante la ECA por parte de los concesionarios y los permisionarios para el cumplimiento de dicho estudio.</w:t>
      </w:r>
    </w:p>
    <w:p w:rsidR="00F833FF" w:rsidRDefault="00B0536B">
      <w:pPr>
        <w:numPr>
          <w:ilvl w:val="0"/>
          <w:numId w:val="17"/>
        </w:numPr>
        <w:kinsoku w:val="0"/>
        <w:overflowPunct w:val="0"/>
        <w:autoSpaceDE/>
        <w:autoSpaceDN/>
        <w:adjustRightInd/>
        <w:spacing w:before="49" w:line="300" w:lineRule="exact"/>
        <w:ind w:right="288"/>
        <w:jc w:val="both"/>
        <w:textAlignment w:val="baseline"/>
        <w:rPr>
          <w:rFonts w:ascii="Verdana" w:hAnsi="Verdana" w:cs="Verdana"/>
          <w:i/>
          <w:iCs/>
          <w:spacing w:val="8"/>
          <w:sz w:val="22"/>
          <w:szCs w:val="22"/>
          <w:lang w:val="es-ES" w:eastAsia="es-ES"/>
        </w:rPr>
      </w:pPr>
      <w:r>
        <w:rPr>
          <w:rFonts w:ascii="Verdana" w:hAnsi="Verdana" w:cs="Verdana"/>
          <w:i/>
          <w:iCs/>
          <w:spacing w:val="8"/>
          <w:sz w:val="22"/>
          <w:szCs w:val="22"/>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 aportando ante el Consejo de Transporte Púbico el documento idóneo emitido</w:t>
      </w:r>
    </w:p>
    <w:p w:rsidR="00F833FF" w:rsidRDefault="00F833FF">
      <w:pPr>
        <w:widowControl/>
        <w:rPr>
          <w:sz w:val="24"/>
          <w:szCs w:val="24"/>
        </w:rPr>
        <w:sectPr w:rsidR="00F833FF">
          <w:pgSz w:w="12283" w:h="15782"/>
          <w:pgMar w:top="2140" w:right="1895" w:bottom="161" w:left="2088" w:header="720" w:footer="720" w:gutter="0"/>
          <w:cols w:space="720"/>
          <w:noEndnote/>
        </w:sectPr>
      </w:pPr>
    </w:p>
    <w:p w:rsidR="00F833FF" w:rsidRDefault="00B0536B" w:rsidP="009A1524">
      <w:pPr>
        <w:kinsoku w:val="0"/>
        <w:overflowPunct w:val="0"/>
        <w:autoSpaceDE/>
        <w:autoSpaceDN/>
        <w:adjustRightInd/>
        <w:spacing w:before="11" w:line="300" w:lineRule="exact"/>
        <w:ind w:left="504" w:right="495"/>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por l</w:t>
      </w:r>
      <w:r w:rsidR="009A1524">
        <w:rPr>
          <w:rFonts w:ascii="Verdana" w:hAnsi="Verdana" w:cs="Verdana"/>
          <w:i/>
          <w:iCs/>
          <w:spacing w:val="10"/>
          <w:sz w:val="21"/>
          <w:szCs w:val="21"/>
          <w:lang w:val="es-ES" w:eastAsia="es-ES"/>
        </w:rPr>
        <w:t>a</w:t>
      </w:r>
      <w:r>
        <w:rPr>
          <w:rFonts w:ascii="Verdana" w:hAnsi="Verdana" w:cs="Verdana"/>
          <w:i/>
          <w:iCs/>
          <w:spacing w:val="10"/>
          <w:sz w:val="21"/>
          <w:szCs w:val="21"/>
          <w:lang w:val="es-ES" w:eastAsia="es-ES"/>
        </w:rPr>
        <w:t xml:space="preserve"> ECA, tal y como se expresa en el considerando sétimo del presente acuerdo. Asimismo, el reconocimiento del costo de dicho estudio, se hará considerando el arancel establecido por el Colegio Profesional que corresponda."...</w:t>
      </w:r>
    </w:p>
    <w:p w:rsidR="00F833FF" w:rsidRPr="009A1524" w:rsidRDefault="00B0536B" w:rsidP="009A1524">
      <w:pPr>
        <w:numPr>
          <w:ilvl w:val="0"/>
          <w:numId w:val="18"/>
        </w:numPr>
        <w:kinsoku w:val="0"/>
        <w:overflowPunct w:val="0"/>
        <w:autoSpaceDE/>
        <w:autoSpaceDN/>
        <w:adjustRightInd/>
        <w:spacing w:before="21" w:line="289" w:lineRule="exact"/>
        <w:ind w:right="216"/>
        <w:jc w:val="both"/>
        <w:textAlignment w:val="baseline"/>
        <w:rPr>
          <w:rFonts w:ascii="Verdana" w:hAnsi="Verdana" w:cs="Verdana"/>
          <w:sz w:val="21"/>
          <w:szCs w:val="21"/>
          <w:lang w:val="es-ES" w:eastAsia="es-ES"/>
        </w:rPr>
      </w:pPr>
      <w:r w:rsidRPr="009A1524">
        <w:rPr>
          <w:rFonts w:ascii="Verdana" w:hAnsi="Verdana" w:cs="Verdana"/>
          <w:sz w:val="21"/>
          <w:szCs w:val="21"/>
          <w:lang w:val="es-ES" w:eastAsia="es-ES"/>
        </w:rPr>
        <w:t xml:space="preserve">La Junta Directiva del Consejo de Transporte. Público, mediante </w:t>
      </w:r>
      <w:r w:rsidRPr="009A1524">
        <w:rPr>
          <w:rFonts w:ascii="Verdana" w:hAnsi="Verdana" w:cs="Verdana"/>
          <w:b/>
          <w:bCs/>
          <w:sz w:val="21"/>
          <w:szCs w:val="21"/>
          <w:lang w:val="es-ES" w:eastAsia="es-ES"/>
        </w:rPr>
        <w:t>acuerdo 8.1 de la Sesión Ordinaria 45-2016 del 22 de Setiembre del</w:t>
      </w:r>
      <w:r w:rsidR="009A1524" w:rsidRPr="009A1524">
        <w:rPr>
          <w:rFonts w:ascii="Verdana" w:hAnsi="Verdana" w:cs="Verdana"/>
          <w:b/>
          <w:bCs/>
          <w:sz w:val="21"/>
          <w:szCs w:val="21"/>
          <w:lang w:val="es-ES" w:eastAsia="es-ES"/>
        </w:rPr>
        <w:t xml:space="preserve"> </w:t>
      </w:r>
      <w:r w:rsidRPr="009A1524">
        <w:rPr>
          <w:rFonts w:ascii="Verdana" w:hAnsi="Verdana" w:cs="Verdana"/>
          <w:b/>
          <w:bCs/>
          <w:sz w:val="21"/>
          <w:szCs w:val="21"/>
          <w:lang w:val="es-ES" w:eastAsia="es-ES"/>
        </w:rPr>
        <w:t xml:space="preserve">2016, </w:t>
      </w:r>
      <w:r w:rsidRPr="009A1524">
        <w:rPr>
          <w:rFonts w:ascii="Verdana" w:hAnsi="Verdana" w:cs="Verdana"/>
          <w:sz w:val="21"/>
          <w:szCs w:val="21"/>
          <w:lang w:val="es-ES" w:eastAsia="es-ES"/>
        </w:rPr>
        <w:t>determinó: ( ver folios 113 vuelto al 116</w:t>
      </w:r>
      <w:r w:rsidR="009A1524">
        <w:rPr>
          <w:rFonts w:ascii="Verdana" w:hAnsi="Verdana" w:cs="Verdana"/>
          <w:sz w:val="21"/>
          <w:szCs w:val="21"/>
          <w:lang w:val="es-ES" w:eastAsia="es-ES"/>
        </w:rPr>
        <w:t xml:space="preserve"> </w:t>
      </w:r>
      <w:r w:rsidRPr="009A1524">
        <w:rPr>
          <w:rFonts w:ascii="Verdana" w:hAnsi="Verdana" w:cs="Verdana"/>
          <w:sz w:val="21"/>
          <w:szCs w:val="21"/>
          <w:lang w:val="es-ES" w:eastAsia="es-ES"/>
        </w:rPr>
        <w:t>del</w:t>
      </w:r>
      <w:r w:rsidR="009A1524">
        <w:rPr>
          <w:rFonts w:ascii="Verdana" w:hAnsi="Verdana" w:cs="Verdana"/>
          <w:sz w:val="21"/>
          <w:szCs w:val="21"/>
          <w:lang w:val="es-ES" w:eastAsia="es-ES"/>
        </w:rPr>
        <w:t xml:space="preserve"> </w:t>
      </w:r>
      <w:r w:rsidRPr="009A1524">
        <w:rPr>
          <w:rFonts w:ascii="Verdana" w:hAnsi="Verdana" w:cs="Verdana"/>
          <w:sz w:val="21"/>
          <w:szCs w:val="21"/>
          <w:lang w:val="es-ES" w:eastAsia="es-ES"/>
        </w:rPr>
        <w:t>expediente</w:t>
      </w:r>
      <w:r w:rsidRPr="009A1524">
        <w:rPr>
          <w:rFonts w:ascii="Verdana" w:hAnsi="Verdana" w:cs="Verdana"/>
          <w:sz w:val="21"/>
          <w:szCs w:val="21"/>
          <w:lang w:val="es-ES" w:eastAsia="es-ES"/>
        </w:rPr>
        <w:br/>
        <w:t>administrativo)</w:t>
      </w:r>
    </w:p>
    <w:p w:rsidR="00F833FF" w:rsidRDefault="00B0536B">
      <w:pPr>
        <w:kinsoku w:val="0"/>
        <w:overflowPunct w:val="0"/>
        <w:autoSpaceDE/>
        <w:autoSpaceDN/>
        <w:adjustRightInd/>
        <w:spacing w:before="304" w:line="300" w:lineRule="exact"/>
        <w:ind w:left="504" w:right="504"/>
        <w:jc w:val="both"/>
        <w:textAlignment w:val="baseline"/>
        <w:rPr>
          <w:rFonts w:ascii="Verdana" w:hAnsi="Verdana" w:cs="Verdana"/>
          <w:i/>
          <w:iCs/>
          <w:sz w:val="21"/>
          <w:szCs w:val="21"/>
          <w:lang w:val="es-ES" w:eastAsia="es-ES"/>
        </w:rPr>
      </w:pPr>
      <w:r w:rsidRPr="009A1524">
        <w:rPr>
          <w:rFonts w:ascii="Verdana" w:hAnsi="Verdana" w:cs="Verdana"/>
          <w:b/>
          <w:i/>
          <w:iCs/>
          <w:sz w:val="21"/>
          <w:szCs w:val="21"/>
          <w:lang w:val="es-ES" w:eastAsia="es-ES"/>
        </w:rPr>
        <w:t>..."3.</w:t>
      </w:r>
      <w:r>
        <w:rPr>
          <w:rFonts w:ascii="Verdana" w:hAnsi="Verdana" w:cs="Verdana"/>
          <w:i/>
          <w:iCs/>
          <w:sz w:val="21"/>
          <w:szCs w:val="21"/>
          <w:lang w:val="es-ES" w:eastAsia="es-ES"/>
        </w:rPr>
        <w:t xml:space="preserve"> En lo relativo al "Requisito obligatorio para la contratación de organismos de inspección a partir del año 2017", establecido en las Disposiciones Generales debe leerse correctamente lo siguiente:</w:t>
      </w:r>
    </w:p>
    <w:p w:rsidR="00F833FF" w:rsidRDefault="00B0536B">
      <w:pPr>
        <w:kinsoku w:val="0"/>
        <w:overflowPunct w:val="0"/>
        <w:autoSpaceDE/>
        <w:autoSpaceDN/>
        <w:adjustRightInd/>
        <w:spacing w:before="303" w:line="300" w:lineRule="exact"/>
        <w:ind w:left="50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F833FF" w:rsidRDefault="00B0536B">
      <w:pPr>
        <w:tabs>
          <w:tab w:val="left" w:pos="936"/>
        </w:tabs>
        <w:kinsoku w:val="0"/>
        <w:overflowPunct w:val="0"/>
        <w:autoSpaceDE/>
        <w:autoSpaceDN/>
        <w:adjustRightInd/>
        <w:spacing w:before="312" w:line="300" w:lineRule="exact"/>
        <w:ind w:left="504" w:right="43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Adicionar el íte</w:t>
      </w:r>
      <w:r w:rsidR="009A1524">
        <w:rPr>
          <w:rFonts w:ascii="Verdana" w:hAnsi="Verdana" w:cs="Verdana"/>
          <w:i/>
          <w:iCs/>
          <w:sz w:val="21"/>
          <w:szCs w:val="21"/>
          <w:lang w:val="es-ES" w:eastAsia="es-ES"/>
        </w:rPr>
        <w:t>m</w:t>
      </w:r>
      <w:r>
        <w:rPr>
          <w:rFonts w:ascii="Verdana" w:hAnsi="Verdana" w:cs="Verdana"/>
          <w:i/>
          <w:iCs/>
          <w:sz w:val="21"/>
          <w:szCs w:val="21"/>
          <w:lang w:val="es-ES" w:eastAsia="es-ES"/>
        </w:rPr>
        <w:t xml:space="preserve"> 6 de la parte dispositiva del artículo 8.1 dé la Sesión Ordinaria 42-2016, para que cuando no exista capacidad instalada por parte de </w:t>
      </w:r>
      <w:r w:rsidR="009A1524">
        <w:rPr>
          <w:rFonts w:ascii="Verdana" w:hAnsi="Verdana" w:cs="Verdana"/>
          <w:i/>
          <w:iCs/>
          <w:sz w:val="21"/>
          <w:szCs w:val="21"/>
          <w:lang w:val="es-ES" w:eastAsia="es-ES"/>
        </w:rPr>
        <w:t>l</w:t>
      </w:r>
      <w:r>
        <w:rPr>
          <w:rFonts w:ascii="Verdana" w:hAnsi="Verdana" w:cs="Verdana"/>
          <w:i/>
          <w:iCs/>
          <w:sz w:val="21"/>
          <w:szCs w:val="21"/>
          <w:lang w:val="es-ES" w:eastAsia="es-ES"/>
        </w:rPr>
        <w:t>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F833FF" w:rsidRDefault="00B0536B">
      <w:pPr>
        <w:numPr>
          <w:ilvl w:val="0"/>
          <w:numId w:val="19"/>
        </w:numPr>
        <w:kinsoku w:val="0"/>
        <w:overflowPunct w:val="0"/>
        <w:autoSpaceDE/>
        <w:autoSpaceDN/>
        <w:adjustRightInd/>
        <w:spacing w:before="304" w:line="304" w:lineRule="exact"/>
        <w:ind w:right="216"/>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La Junta Directiva del Consejo de Transporte Público, mediante el acto impugnado el </w:t>
      </w:r>
      <w:r>
        <w:rPr>
          <w:rFonts w:ascii="Verdana" w:hAnsi="Verdana" w:cs="Verdana"/>
          <w:b/>
          <w:bCs/>
          <w:sz w:val="21"/>
          <w:szCs w:val="21"/>
          <w:lang w:val="es-ES" w:eastAsia="es-ES"/>
        </w:rPr>
        <w:t>acuerdo 7.18 de la Sesión Ordinaria 23-2017 del</w:t>
      </w:r>
    </w:p>
    <w:p w:rsidR="00F833FF" w:rsidRDefault="00F833FF">
      <w:pPr>
        <w:widowControl/>
        <w:rPr>
          <w:sz w:val="24"/>
          <w:szCs w:val="24"/>
        </w:rPr>
        <w:sectPr w:rsidR="00F833FF">
          <w:pgSz w:w="12283" w:h="15782"/>
          <w:pgMar w:top="1880" w:right="1783" w:bottom="306" w:left="1500" w:header="720" w:footer="720" w:gutter="0"/>
          <w:cols w:space="720"/>
          <w:noEndnote/>
        </w:sectPr>
      </w:pPr>
    </w:p>
    <w:p w:rsidR="00F833FF" w:rsidRDefault="00B0536B">
      <w:pPr>
        <w:kinsoku w:val="0"/>
        <w:overflowPunct w:val="0"/>
        <w:autoSpaceDE/>
        <w:autoSpaceDN/>
        <w:adjustRightInd/>
        <w:spacing w:before="62" w:line="308" w:lineRule="exact"/>
        <w:ind w:left="144"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07 de Junio</w:t>
      </w:r>
      <w:r>
        <w:rPr>
          <w:rFonts w:ascii="Verdana" w:hAnsi="Verdana" w:cs="Verdana"/>
          <w:b/>
          <w:bCs/>
          <w:sz w:val="22"/>
          <w:szCs w:val="22"/>
          <w:vertAlign w:val="superscript"/>
          <w:lang w:val="es-ES" w:eastAsia="es-ES"/>
        </w:rPr>
        <w:t>-</w:t>
      </w:r>
      <w:r>
        <w:rPr>
          <w:rFonts w:ascii="Verdana" w:hAnsi="Verdana" w:cs="Verdana"/>
          <w:b/>
          <w:bCs/>
          <w:sz w:val="22"/>
          <w:szCs w:val="22"/>
          <w:lang w:val="es-ES" w:eastAsia="es-ES"/>
        </w:rPr>
        <w:t xml:space="preserve">del 2017, </w:t>
      </w:r>
      <w:r>
        <w:rPr>
          <w:rFonts w:ascii="Verdana" w:hAnsi="Verdana" w:cs="Verdana"/>
          <w:sz w:val="22"/>
          <w:szCs w:val="22"/>
          <w:lang w:val="es-ES" w:eastAsia="es-ES"/>
        </w:rPr>
        <w:t xml:space="preserve">conoce el informe de la Dirección Técnica el </w:t>
      </w:r>
      <w:r>
        <w:rPr>
          <w:rFonts w:ascii="Verdana" w:hAnsi="Verdana" w:cs="Verdana"/>
          <w:b/>
          <w:bCs/>
          <w:sz w:val="22"/>
          <w:szCs w:val="22"/>
          <w:lang w:val="es-ES" w:eastAsia="es-ES"/>
        </w:rPr>
        <w:t xml:space="preserve">DTE 2017-0317, </w:t>
      </w:r>
      <w:r>
        <w:rPr>
          <w:rFonts w:ascii="Verdana" w:hAnsi="Verdana" w:cs="Verdana"/>
          <w:sz w:val="22"/>
          <w:szCs w:val="22"/>
          <w:lang w:val="es-ES" w:eastAsia="es-ES"/>
        </w:rPr>
        <w:t>y determina lo siguiente: ( Ver folios 43 y 44 del expediente administrativo)</w:t>
      </w:r>
    </w:p>
    <w:p w:rsidR="00F833FF" w:rsidRDefault="00B0536B">
      <w:pPr>
        <w:kinsoku w:val="0"/>
        <w:overflowPunct w:val="0"/>
        <w:autoSpaceDE/>
        <w:autoSpaceDN/>
        <w:adjustRightInd/>
        <w:spacing w:before="298" w:line="300" w:lineRule="exact"/>
        <w:ind w:left="576" w:right="504"/>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..."1. </w:t>
      </w:r>
      <w:r>
        <w:rPr>
          <w:rFonts w:ascii="Verdana" w:hAnsi="Verdana" w:cs="Verdana"/>
          <w:i/>
          <w:iCs/>
          <w:sz w:val="22"/>
          <w:szCs w:val="22"/>
          <w:lang w:val="es-ES" w:eastAsia="es-ES"/>
        </w:rPr>
        <w:t>Aprobar, basados en los</w:t>
      </w:r>
      <w:r w:rsidR="009A1524">
        <w:rPr>
          <w:rFonts w:ascii="Verdana" w:hAnsi="Verdana" w:cs="Verdana"/>
          <w:i/>
          <w:iCs/>
          <w:sz w:val="22"/>
          <w:szCs w:val="22"/>
          <w:lang w:val="es-ES" w:eastAsia="es-ES"/>
        </w:rPr>
        <w:t xml:space="preserve"> </w:t>
      </w:r>
      <w:r>
        <w:rPr>
          <w:rFonts w:ascii="Verdana" w:hAnsi="Verdana" w:cs="Verdana"/>
          <w:i/>
          <w:iCs/>
          <w:sz w:val="22"/>
          <w:szCs w:val="22"/>
          <w:lang w:val="es-ES" w:eastAsia="es-ES"/>
        </w:rPr>
        <w:t xml:space="preserve">fundamentos, motivos y contenidos, desarrollados en los considerandos del oficio </w:t>
      </w:r>
      <w:r>
        <w:rPr>
          <w:rFonts w:ascii="Verdana" w:hAnsi="Verdana" w:cs="Verdana"/>
          <w:b/>
          <w:bCs/>
          <w:i/>
          <w:iCs/>
          <w:sz w:val="22"/>
          <w:szCs w:val="22"/>
          <w:lang w:val="es-ES" w:eastAsia="es-ES"/>
        </w:rPr>
        <w:t xml:space="preserve">DTE 2017-0317, </w:t>
      </w:r>
      <w:r>
        <w:rPr>
          <w:rFonts w:ascii="Verdana" w:hAnsi="Verdana" w:cs="Verdana"/>
          <w:i/>
          <w:iCs/>
          <w:sz w:val="22"/>
          <w:szCs w:val="22"/>
          <w:lang w:val="es-ES" w:eastAsia="es-ES"/>
        </w:rPr>
        <w:t>todas las recomendaciones contenidas en el oficio dicho, el cual forma parte integral de este acuerdo.</w:t>
      </w:r>
    </w:p>
    <w:p w:rsidR="00F833FF" w:rsidRDefault="00B0536B">
      <w:pPr>
        <w:numPr>
          <w:ilvl w:val="0"/>
          <w:numId w:val="20"/>
        </w:numPr>
        <w:kinsoku w:val="0"/>
        <w:overflowPunct w:val="0"/>
        <w:autoSpaceDE/>
        <w:autoSpaceDN/>
        <w:adjustRightInd/>
        <w:spacing w:before="3" w:line="300"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F833FF" w:rsidRDefault="00B0536B">
      <w:pPr>
        <w:numPr>
          <w:ilvl w:val="0"/>
          <w:numId w:val="20"/>
        </w:numPr>
        <w:kinsoku w:val="0"/>
        <w:overflowPunct w:val="0"/>
        <w:autoSpaceDE/>
        <w:autoSpaceDN/>
        <w:adjustRightInd/>
        <w:spacing w:line="299"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Aprobar las Consideraciones Generales para la Contratación de Organismos de Inspección para la evaluación del período 2017, en su totalidad.</w:t>
      </w:r>
    </w:p>
    <w:p w:rsidR="00F833FF" w:rsidRDefault="00B0536B">
      <w:pPr>
        <w:numPr>
          <w:ilvl w:val="0"/>
          <w:numId w:val="20"/>
        </w:numPr>
        <w:kinsoku w:val="0"/>
        <w:overflowPunct w:val="0"/>
        <w:autoSpaceDE/>
        <w:autoSpaceDN/>
        <w:adjustRightInd/>
        <w:spacing w:before="2" w:line="299" w:lineRule="exact"/>
        <w:ind w:right="504"/>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xml:space="preserve">Aprobar la recomendación dada por la Comisión revisión del </w:t>
      </w:r>
      <w:r>
        <w:rPr>
          <w:rFonts w:ascii="Verdana" w:hAnsi="Verdana" w:cs="Verdana"/>
          <w:b/>
          <w:bCs/>
          <w:i/>
          <w:iCs/>
          <w:spacing w:val="-4"/>
          <w:sz w:val="22"/>
          <w:szCs w:val="22"/>
          <w:lang w:val="es-ES" w:eastAsia="es-ES"/>
        </w:rPr>
        <w:t xml:space="preserve">Manual para la Evaluación y Calificación de la Calidad del Servicio Público de Transporte Remunerado de Personas, </w:t>
      </w:r>
      <w:r>
        <w:rPr>
          <w:rFonts w:ascii="Verdana" w:hAnsi="Verdana" w:cs="Verdana"/>
          <w:i/>
          <w:iCs/>
          <w:spacing w:val="-4"/>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4"/>
          <w:sz w:val="22"/>
          <w:szCs w:val="22"/>
          <w:lang w:val="es-ES" w:eastAsia="es-ES"/>
        </w:rPr>
        <w:t xml:space="preserve">operativo, </w:t>
      </w:r>
      <w:r>
        <w:rPr>
          <w:rFonts w:ascii="Verdana" w:hAnsi="Verdana" w:cs="Verdana"/>
          <w:i/>
          <w:iCs/>
          <w:spacing w:val="-4"/>
          <w:sz w:val="22"/>
          <w:szCs w:val="22"/>
          <w:lang w:val="es-ES" w:eastAsia="es-ES"/>
        </w:rPr>
        <w:t xml:space="preserve">un 45%; el "Criterio A" que es el de la </w:t>
      </w:r>
      <w:r>
        <w:rPr>
          <w:rFonts w:ascii="Verdana" w:hAnsi="Verdana" w:cs="Verdana"/>
          <w:b/>
          <w:bCs/>
          <w:i/>
          <w:iCs/>
          <w:spacing w:val="-4"/>
          <w:sz w:val="22"/>
          <w:szCs w:val="22"/>
          <w:lang w:val="es-ES" w:eastAsia="es-ES"/>
        </w:rPr>
        <w:t xml:space="preserve">Administración, </w:t>
      </w:r>
      <w:r>
        <w:rPr>
          <w:rFonts w:ascii="Verdana" w:hAnsi="Verdana" w:cs="Verdana"/>
          <w:i/>
          <w:iCs/>
          <w:spacing w:val="-4"/>
          <w:sz w:val="22"/>
          <w:szCs w:val="22"/>
          <w:lang w:val="es-ES" w:eastAsia="es-ES"/>
        </w:rPr>
        <w:t xml:space="preserve">un 10%; y el "Criterio U" que es el del </w:t>
      </w:r>
      <w:r>
        <w:rPr>
          <w:rFonts w:ascii="Verdana" w:hAnsi="Verdana" w:cs="Verdana"/>
          <w:b/>
          <w:bCs/>
          <w:i/>
          <w:iCs/>
          <w:spacing w:val="-4"/>
          <w:sz w:val="22"/>
          <w:szCs w:val="22"/>
          <w:lang w:val="es-ES" w:eastAsia="es-ES"/>
        </w:rPr>
        <w:t xml:space="preserve">usuario, </w:t>
      </w:r>
      <w:r>
        <w:rPr>
          <w:rFonts w:ascii="Verdana" w:hAnsi="Verdana" w:cs="Verdana"/>
          <w:i/>
          <w:iCs/>
          <w:spacing w:val="-4"/>
          <w:sz w:val="22"/>
          <w:szCs w:val="22"/>
          <w:lang w:val="es-ES" w:eastAsia="es-ES"/>
        </w:rPr>
        <w:t>el restante 45%.</w:t>
      </w:r>
    </w:p>
    <w:p w:rsidR="00F833FF" w:rsidRDefault="00B0536B">
      <w:pPr>
        <w:numPr>
          <w:ilvl w:val="0"/>
          <w:numId w:val="20"/>
        </w:numPr>
        <w:kinsoku w:val="0"/>
        <w:overflowPunct w:val="0"/>
        <w:autoSpaceDE/>
        <w:autoSpaceDN/>
        <w:adjustRightInd/>
        <w:spacing w:line="299" w:lineRule="exact"/>
        <w:ind w:right="504"/>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F833FF" w:rsidRDefault="00B0536B">
      <w:pPr>
        <w:numPr>
          <w:ilvl w:val="0"/>
          <w:numId w:val="20"/>
        </w:numPr>
        <w:kinsoku w:val="0"/>
        <w:overflowPunct w:val="0"/>
        <w:autoSpaceDE/>
        <w:autoSpaceDN/>
        <w:adjustRightInd/>
        <w:spacing w:before="60" w:line="300" w:lineRule="exact"/>
        <w:ind w:right="504"/>
        <w:jc w:val="both"/>
        <w:textAlignment w:val="baseline"/>
        <w:rPr>
          <w:rFonts w:ascii="Verdana" w:hAnsi="Verdana" w:cs="Verdana"/>
          <w:i/>
          <w:iCs/>
          <w:spacing w:val="-5"/>
          <w:sz w:val="22"/>
          <w:szCs w:val="22"/>
          <w:lang w:val="es-ES" w:eastAsia="es-ES"/>
        </w:rPr>
      </w:pPr>
      <w:r>
        <w:rPr>
          <w:rFonts w:ascii="Verdana" w:hAnsi="Verdana" w:cs="Verdana"/>
          <w:i/>
          <w:iCs/>
          <w:spacing w:val="-5"/>
          <w:sz w:val="22"/>
          <w:szCs w:val="22"/>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5"/>
          <w:sz w:val="22"/>
          <w:szCs w:val="22"/>
          <w:lang w:val="es-ES" w:eastAsia="es-ES"/>
        </w:rPr>
        <w:t xml:space="preserve">debe realizarse en un plazo de 3 meses calendario, </w:t>
      </w:r>
      <w:r>
        <w:rPr>
          <w:rFonts w:ascii="Verdana" w:hAnsi="Verdana" w:cs="Verdana"/>
          <w:i/>
          <w:iCs/>
          <w:spacing w:val="-5"/>
          <w:sz w:val="22"/>
          <w:szCs w:val="22"/>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5"/>
          <w:sz w:val="22"/>
          <w:szCs w:val="22"/>
          <w:u w:val="single"/>
          <w:lang w:val="es-ES" w:eastAsia="es-ES"/>
        </w:rPr>
        <w:t>comunicar por escrito</w:t>
      </w:r>
      <w:r>
        <w:rPr>
          <w:rFonts w:ascii="Verdana" w:hAnsi="Verdana" w:cs="Verdana"/>
          <w:i/>
          <w:iCs/>
          <w:spacing w:val="-5"/>
          <w:sz w:val="22"/>
          <w:szCs w:val="22"/>
          <w:lang w:val="es-ES" w:eastAsia="es-ES"/>
        </w:rPr>
        <w:t xml:space="preserve"> al CTP, el inicio del proceso de evaluación de la conformidad, con una antelación de </w:t>
      </w:r>
      <w:r>
        <w:rPr>
          <w:rFonts w:ascii="Verdana" w:hAnsi="Verdana" w:cs="Verdana"/>
          <w:b/>
          <w:bCs/>
          <w:i/>
          <w:iCs/>
          <w:spacing w:val="-5"/>
          <w:sz w:val="22"/>
          <w:szCs w:val="22"/>
          <w:u w:val="single"/>
          <w:lang w:val="es-ES" w:eastAsia="es-ES"/>
        </w:rPr>
        <w:t>diez días hábiles</w:t>
      </w:r>
      <w:r>
        <w:rPr>
          <w:rFonts w:ascii="Verdana" w:hAnsi="Verdana" w:cs="Verdana"/>
          <w:i/>
          <w:iCs/>
          <w:spacing w:val="-5"/>
          <w:sz w:val="22"/>
          <w:szCs w:val="22"/>
          <w:lang w:val="es-ES" w:eastAsia="es-ES"/>
        </w:rPr>
        <w:t xml:space="preserve"> previo al inicio del estudio. La evaluación indicada, corresponde al año 2017. Por ende, la labor de recolección y</w:t>
      </w:r>
    </w:p>
    <w:p w:rsidR="00F833FF" w:rsidRDefault="00F833FF">
      <w:pPr>
        <w:widowControl/>
        <w:rPr>
          <w:sz w:val="24"/>
          <w:szCs w:val="24"/>
        </w:rPr>
        <w:sectPr w:rsidR="00F833FF">
          <w:pgSz w:w="12274" w:h="15782"/>
          <w:pgMar w:top="2080" w:right="1692" w:bottom="171" w:left="1582" w:header="720" w:footer="720" w:gutter="0"/>
          <w:cols w:space="720"/>
          <w:noEndnote/>
        </w:sectPr>
      </w:pPr>
    </w:p>
    <w:p w:rsidR="00F833FF" w:rsidRDefault="00B0536B">
      <w:pPr>
        <w:kinsoku w:val="0"/>
        <w:overflowPunct w:val="0"/>
        <w:autoSpaceDE/>
        <w:autoSpaceDN/>
        <w:adjustRightInd/>
        <w:spacing w:line="298" w:lineRule="exact"/>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t xml:space="preserve">procesamiento de la información necesaria para la realización del informe de evaluación de la calidad del servicio de transporte público, para el presente periodo, </w:t>
      </w:r>
      <w:r>
        <w:rPr>
          <w:rFonts w:ascii="Verdana" w:hAnsi="Verdana" w:cs="Verdana"/>
          <w:b/>
          <w:bCs/>
          <w:i/>
          <w:iCs/>
          <w:sz w:val="21"/>
          <w:szCs w:val="21"/>
          <w:u w:val="single"/>
          <w:lang w:val="es-ES" w:eastAsia="es-ES"/>
        </w:rPr>
        <w:t xml:space="preserve">se debe muestrear antes del 31 de Diciembre del </w:t>
      </w:r>
      <w:r>
        <w:rPr>
          <w:rFonts w:ascii="Verdana" w:hAnsi="Verdana" w:cs="Verdana"/>
          <w:b/>
          <w:bCs/>
          <w:i/>
          <w:iCs/>
          <w:sz w:val="21"/>
          <w:szCs w:val="21"/>
          <w:lang w:val="es-ES" w:eastAsia="es-ES"/>
        </w:rPr>
        <w:t>2017.</w:t>
      </w:r>
    </w:p>
    <w:p w:rsidR="00F833FF" w:rsidRDefault="00B0536B">
      <w:pPr>
        <w:kinsoku w:val="0"/>
        <w:overflowPunct w:val="0"/>
        <w:autoSpaceDE/>
        <w:autoSpaceDN/>
        <w:adjustRightInd/>
        <w:spacing w:before="42" w:line="299"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y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w:t>
      </w:r>
      <w:r w:rsidR="009A1524">
        <w:rPr>
          <w:rFonts w:ascii="Verdana" w:hAnsi="Verdana" w:cs="Verdana"/>
          <w:i/>
          <w:iCs/>
          <w:sz w:val="21"/>
          <w:szCs w:val="21"/>
          <w:lang w:val="es-ES" w:eastAsia="es-ES"/>
        </w:rPr>
        <w:t>s</w:t>
      </w:r>
      <w:r>
        <w:rPr>
          <w:rFonts w:ascii="Verdana" w:hAnsi="Verdana" w:cs="Verdana"/>
          <w:i/>
          <w:iCs/>
          <w:sz w:val="21"/>
          <w:szCs w:val="21"/>
          <w:lang w:val="es-ES" w:eastAsia="es-ES"/>
        </w:rPr>
        <w:t xml:space="preserve">,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F833FF" w:rsidRDefault="00B0536B">
      <w:pPr>
        <w:kinsoku w:val="0"/>
        <w:overflowPunct w:val="0"/>
        <w:autoSpaceDE/>
        <w:autoSpaceDN/>
        <w:adjustRightInd/>
        <w:spacing w:before="292" w:line="299"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Solicitud formal debidamente motivada de la dispensa requerida, firmada por el representante legal de la compañía prestataria, acompañada de la personería jurídica de la empresa concesionaria y/o permisionaria.</w:t>
      </w:r>
    </w:p>
    <w:p w:rsidR="00F833FF" w:rsidRDefault="00B0536B">
      <w:pPr>
        <w:kinsoku w:val="0"/>
        <w:overflowPunct w:val="0"/>
        <w:autoSpaceDE/>
        <w:autoSpaceDN/>
        <w:adjustRightInd/>
        <w:spacing w:line="297"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F833FF" w:rsidRDefault="00B0536B">
      <w:pPr>
        <w:kinsoku w:val="0"/>
        <w:overflowPunct w:val="0"/>
        <w:autoSpaceDE/>
        <w:autoSpaceDN/>
        <w:adjustRightInd/>
        <w:spacing w:before="19" w:line="299"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F833FF" w:rsidRDefault="00B0536B">
      <w:pPr>
        <w:kinsoku w:val="0"/>
        <w:overflowPunct w:val="0"/>
        <w:autoSpaceDE/>
        <w:autoSpaceDN/>
        <w:adjustRightInd/>
        <w:spacing w:before="296" w:after="894" w:line="306"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F833FF" w:rsidRDefault="00F833FF">
      <w:pPr>
        <w:widowControl/>
        <w:rPr>
          <w:sz w:val="24"/>
          <w:szCs w:val="24"/>
        </w:rPr>
        <w:sectPr w:rsidR="00F833FF">
          <w:pgSz w:w="12274" w:h="15782"/>
          <w:pgMar w:top="1880" w:right="2276" w:bottom="306" w:left="1978" w:header="720" w:footer="720" w:gutter="0"/>
          <w:cols w:space="720"/>
          <w:noEndnote/>
        </w:sectPr>
      </w:pPr>
    </w:p>
    <w:p w:rsidR="00F833FF" w:rsidRDefault="00B0536B">
      <w:pPr>
        <w:tabs>
          <w:tab w:val="right" w:pos="2808"/>
        </w:tabs>
        <w:kinsoku w:val="0"/>
        <w:overflowPunct w:val="0"/>
        <w:autoSpaceDE/>
        <w:autoSpaceDN/>
        <w:adjustRightInd/>
        <w:spacing w:before="24" w:line="232" w:lineRule="exact"/>
        <w:textAlignment w:val="baseline"/>
        <w:rPr>
          <w:rFonts w:ascii="Garamond" w:hAnsi="Garamond" w:cs="Garamond"/>
          <w:i/>
          <w:iCs/>
          <w:sz w:val="21"/>
          <w:szCs w:val="21"/>
          <w:lang w:val="es-ES" w:eastAsia="es-ES"/>
        </w:rPr>
      </w:pPr>
      <w:r>
        <w:rPr>
          <w:rFonts w:ascii="Garamond" w:hAnsi="Garamond" w:cs="Garamond"/>
          <w:i/>
          <w:iCs/>
          <w:sz w:val="21"/>
          <w:szCs w:val="21"/>
          <w:lang w:val="es-ES" w:eastAsia="es-ES"/>
        </w:rPr>
        <w:tab/>
      </w:r>
    </w:p>
    <w:p w:rsidR="00F833FF" w:rsidRDefault="00F833FF">
      <w:pPr>
        <w:widowControl/>
        <w:rPr>
          <w:sz w:val="24"/>
          <w:szCs w:val="24"/>
        </w:rPr>
        <w:sectPr w:rsidR="00F833FF">
          <w:type w:val="continuous"/>
          <w:pgSz w:w="12274" w:h="15782"/>
          <w:pgMar w:top="1880" w:right="1882" w:bottom="306" w:left="7512" w:header="720" w:footer="720" w:gutter="0"/>
          <w:cols w:space="720"/>
          <w:noEndnote/>
        </w:sectPr>
      </w:pPr>
    </w:p>
    <w:p w:rsidR="00F833FF" w:rsidRDefault="00B0536B">
      <w:pPr>
        <w:kinsoku w:val="0"/>
        <w:overflowPunct w:val="0"/>
        <w:autoSpaceDE/>
        <w:autoSpaceDN/>
        <w:adjustRightInd/>
        <w:spacing w:before="20" w:line="301" w:lineRule="exact"/>
        <w:ind w:left="50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r>
        <w:rPr>
          <w:rFonts w:ascii="Verdana" w:hAnsi="Verdana" w:cs="Verdana"/>
          <w:b/>
          <w:bCs/>
          <w:i/>
          <w:iCs/>
          <w:sz w:val="21"/>
          <w:szCs w:val="21"/>
          <w:u w:val="single"/>
          <w:lang w:val="es-ES" w:eastAsia="es-ES"/>
        </w:rPr>
        <w:t>plazo máximo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F833FF" w:rsidRDefault="00B0536B">
      <w:pPr>
        <w:kinsoku w:val="0"/>
        <w:overflowPunct w:val="0"/>
        <w:autoSpaceDE/>
        <w:autoSpaceDN/>
        <w:adjustRightInd/>
        <w:spacing w:before="307" w:line="301"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Los estudios que sean presentados, fuera de los parámetros contenidos tanto en el Manual, como en las Disposiciones Generales para el período 2017 y el presente acuerdo, no será susceptible de reconocimiento técnico</w:t>
      </w:r>
    </w:p>
    <w:p w:rsidR="00F833FF" w:rsidRDefault="009A1524">
      <w:pPr>
        <w:kinsoku w:val="0"/>
        <w:overflowPunct w:val="0"/>
        <w:autoSpaceDE/>
        <w:autoSpaceDN/>
        <w:adjustRightInd/>
        <w:spacing w:line="300" w:lineRule="exact"/>
        <w:ind w:left="504" w:right="504" w:hanging="14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 </w:t>
      </w:r>
      <w:r w:rsidR="00B0536B">
        <w:rPr>
          <w:rFonts w:ascii="Verdana" w:hAnsi="Verdana" w:cs="Verdana"/>
          <w:i/>
          <w:iCs/>
          <w:sz w:val="21"/>
          <w:szCs w:val="21"/>
          <w:lang w:val="es-ES" w:eastAsia="es-ES"/>
        </w:rPr>
        <w:t xml:space="preserve"> ni tarifario, ni de ponderación o evaluación alguna, y la Junta Directiva someterá estos casos, </w:t>
      </w:r>
      <w:r w:rsidR="00B0536B">
        <w:rPr>
          <w:rFonts w:ascii="Verdana" w:hAnsi="Verdana" w:cs="Verdana"/>
          <w:i/>
          <w:iCs/>
          <w:sz w:val="21"/>
          <w:szCs w:val="21"/>
          <w:u w:val="single"/>
          <w:lang w:val="es-ES" w:eastAsia="es-ES"/>
        </w:rPr>
        <w:t>sin excepción alguna,</w:t>
      </w:r>
      <w:r w:rsidR="00B0536B">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F833FF" w:rsidRDefault="009A1524" w:rsidP="009A1524">
      <w:pPr>
        <w:kinsoku w:val="0"/>
        <w:overflowPunct w:val="0"/>
        <w:autoSpaceDE/>
        <w:autoSpaceDN/>
        <w:adjustRightInd/>
        <w:spacing w:before="309" w:line="300" w:lineRule="exact"/>
        <w:ind w:left="144" w:right="216"/>
        <w:jc w:val="both"/>
        <w:textAlignment w:val="baseline"/>
        <w:rPr>
          <w:rFonts w:ascii="Verdana" w:hAnsi="Verdana" w:cs="Verdana"/>
          <w:sz w:val="21"/>
          <w:szCs w:val="21"/>
          <w:lang w:val="es-ES" w:eastAsia="es-ES"/>
        </w:rPr>
      </w:pPr>
      <w:r w:rsidRPr="009A1524">
        <w:rPr>
          <w:rFonts w:ascii="Verdana" w:hAnsi="Verdana" w:cs="Verdana"/>
          <w:b/>
          <w:spacing w:val="22"/>
          <w:sz w:val="21"/>
          <w:szCs w:val="21"/>
          <w:lang w:val="es-ES" w:eastAsia="es-ES"/>
        </w:rPr>
        <w:t>D</w:t>
      </w:r>
      <w:r>
        <w:rPr>
          <w:rFonts w:ascii="Verdana" w:hAnsi="Verdana" w:cs="Verdana"/>
          <w:b/>
          <w:spacing w:val="22"/>
          <w:sz w:val="21"/>
          <w:szCs w:val="21"/>
          <w:lang w:val="es-ES" w:eastAsia="es-ES"/>
        </w:rPr>
        <w:t>.</w:t>
      </w:r>
      <w:r w:rsidR="00B0536B" w:rsidRPr="009A1524">
        <w:rPr>
          <w:rFonts w:ascii="Verdana" w:hAnsi="Verdana" w:cs="Verdana"/>
          <w:b/>
          <w:spacing w:val="22"/>
          <w:sz w:val="21"/>
          <w:szCs w:val="21"/>
          <w:lang w:val="es-ES" w:eastAsia="es-ES"/>
        </w:rPr>
        <w:t>-</w:t>
      </w:r>
      <w:r w:rsidR="00B0536B">
        <w:rPr>
          <w:rFonts w:ascii="Verdana" w:hAnsi="Verdana" w:cs="Verdana"/>
          <w:spacing w:val="22"/>
          <w:sz w:val="21"/>
          <w:szCs w:val="21"/>
          <w:lang w:val="es-ES" w:eastAsia="es-ES"/>
        </w:rPr>
        <w:t xml:space="preserve"> La recurrente </w:t>
      </w:r>
      <w:r w:rsidR="00B0536B">
        <w:rPr>
          <w:rFonts w:ascii="Verdana" w:hAnsi="Verdana" w:cs="Verdana"/>
          <w:b/>
          <w:bCs/>
          <w:spacing w:val="22"/>
          <w:sz w:val="21"/>
          <w:szCs w:val="21"/>
          <w:lang w:val="es-ES" w:eastAsia="es-ES"/>
        </w:rPr>
        <w:t>E</w:t>
      </w:r>
      <w:r>
        <w:rPr>
          <w:rFonts w:ascii="Verdana" w:hAnsi="Verdana" w:cs="Verdana"/>
          <w:b/>
          <w:bCs/>
          <w:spacing w:val="22"/>
          <w:sz w:val="21"/>
          <w:szCs w:val="21"/>
          <w:lang w:val="es-ES" w:eastAsia="es-ES"/>
        </w:rPr>
        <w:t>.S.A.</w:t>
      </w:r>
      <w:r w:rsidR="00B0536B">
        <w:rPr>
          <w:rFonts w:ascii="Verdana" w:hAnsi="Verdana" w:cs="Verdana"/>
          <w:b/>
          <w:bCs/>
          <w:spacing w:val="22"/>
          <w:sz w:val="21"/>
          <w:szCs w:val="21"/>
          <w:lang w:val="es-ES" w:eastAsia="es-ES"/>
        </w:rPr>
        <w:t xml:space="preserve">, </w:t>
      </w:r>
      <w:r w:rsidR="00B0536B">
        <w:rPr>
          <w:rFonts w:ascii="Verdana" w:hAnsi="Verdana" w:cs="Verdana"/>
          <w:spacing w:val="22"/>
          <w:sz w:val="21"/>
          <w:szCs w:val="21"/>
          <w:lang w:val="es-ES" w:eastAsia="es-ES"/>
        </w:rPr>
        <w:t xml:space="preserve">recurre el </w:t>
      </w:r>
      <w:r w:rsidR="00B0536B">
        <w:rPr>
          <w:rFonts w:ascii="Verdana" w:hAnsi="Verdana" w:cs="Verdana"/>
          <w:b/>
          <w:bCs/>
          <w:spacing w:val="22"/>
          <w:sz w:val="21"/>
          <w:szCs w:val="21"/>
          <w:lang w:val="es-ES" w:eastAsia="es-ES"/>
        </w:rPr>
        <w:t xml:space="preserve">acuerdo 7.18 de la Sesión Ordinaria 23-2017 del 07 de Junio del 2017, </w:t>
      </w:r>
      <w:r w:rsidR="00B0536B">
        <w:rPr>
          <w:rFonts w:ascii="Verdana" w:hAnsi="Verdana" w:cs="Verdana"/>
          <w:spacing w:val="22"/>
          <w:sz w:val="21"/>
          <w:szCs w:val="21"/>
          <w:lang w:val="es-ES" w:eastAsia="es-ES"/>
        </w:rPr>
        <w:t>mediante líbelo presentado el 15 de Junio' del 2017, y en lo atinente al caso</w:t>
      </w:r>
      <w:r>
        <w:rPr>
          <w:rFonts w:ascii="Verdana" w:hAnsi="Verdana" w:cs="Verdana"/>
          <w:spacing w:val="22"/>
          <w:sz w:val="21"/>
          <w:szCs w:val="21"/>
          <w:lang w:val="es-ES" w:eastAsia="es-ES"/>
        </w:rPr>
        <w:t xml:space="preserve"> </w:t>
      </w:r>
      <w:r w:rsidR="00B0536B">
        <w:rPr>
          <w:rFonts w:ascii="Verdana" w:hAnsi="Verdana" w:cs="Verdana"/>
          <w:sz w:val="21"/>
          <w:szCs w:val="21"/>
          <w:lang w:val="es-ES" w:eastAsia="es-ES"/>
        </w:rPr>
        <w:t>manifiesta:(Léanse folios</w:t>
      </w:r>
      <w:r w:rsidR="00B0536B">
        <w:rPr>
          <w:rFonts w:ascii="Verdana" w:hAnsi="Verdana" w:cs="Verdana"/>
          <w:sz w:val="21"/>
          <w:szCs w:val="21"/>
          <w:lang w:val="es-ES" w:eastAsia="es-ES"/>
        </w:rPr>
        <w:tab/>
        <w:t>del 26 vuelto al 37 del expediente</w:t>
      </w:r>
      <w:r>
        <w:rPr>
          <w:rFonts w:ascii="Verdana" w:hAnsi="Verdana" w:cs="Verdana"/>
          <w:sz w:val="21"/>
          <w:szCs w:val="21"/>
          <w:lang w:val="es-ES" w:eastAsia="es-ES"/>
        </w:rPr>
        <w:t xml:space="preserve"> </w:t>
      </w:r>
      <w:r w:rsidR="00B0536B">
        <w:rPr>
          <w:rFonts w:ascii="Verdana" w:hAnsi="Verdana" w:cs="Verdana"/>
          <w:sz w:val="21"/>
          <w:szCs w:val="21"/>
          <w:lang w:val="es-ES" w:eastAsia="es-ES"/>
        </w:rPr>
        <w:t>administrativo)</w:t>
      </w:r>
    </w:p>
    <w:p w:rsidR="00F833FF" w:rsidRDefault="009A1524">
      <w:pPr>
        <w:kinsoku w:val="0"/>
        <w:overflowPunct w:val="0"/>
        <w:autoSpaceDE/>
        <w:autoSpaceDN/>
        <w:adjustRightInd/>
        <w:spacing w:line="298" w:lineRule="exact"/>
        <w:ind w:left="864"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 </w:t>
      </w:r>
      <w:r w:rsidR="00B0536B">
        <w:rPr>
          <w:rFonts w:ascii="Verdana" w:hAnsi="Verdana" w:cs="Verdana"/>
          <w:spacing w:val="9"/>
          <w:sz w:val="21"/>
          <w:szCs w:val="21"/>
          <w:lang w:val="es-ES" w:eastAsia="es-ES"/>
        </w:rPr>
        <w:t>Que ha habido una actuación</w:t>
      </w:r>
      <w:r w:rsidR="00B0536B">
        <w:rPr>
          <w:rFonts w:ascii="Verdana" w:hAnsi="Verdana" w:cs="Verdana"/>
          <w:spacing w:val="9"/>
          <w:sz w:val="21"/>
          <w:szCs w:val="21"/>
          <w:vertAlign w:val="superscript"/>
          <w:lang w:val="es-ES" w:eastAsia="es-ES"/>
        </w:rPr>
        <w:t>-</w:t>
      </w:r>
      <w:r w:rsidR="00B0536B">
        <w:rPr>
          <w:rFonts w:ascii="Verdana" w:hAnsi="Verdana" w:cs="Verdana"/>
          <w:spacing w:val="9"/>
          <w:sz w:val="21"/>
          <w:szCs w:val="21"/>
          <w:lang w:val="es-ES" w:eastAsia="es-ES"/>
        </w:rPr>
        <w:t>improcedente en rigor de una gestión indebida de la comisión permanente de revisión y actualización del Manual y del Modelo de Verificación de Calidad del Servicio Público de Transp</w:t>
      </w:r>
      <w:r w:rsidR="00372F3C">
        <w:rPr>
          <w:rFonts w:ascii="Verdana" w:hAnsi="Verdana" w:cs="Verdana"/>
          <w:spacing w:val="9"/>
          <w:sz w:val="21"/>
          <w:szCs w:val="21"/>
          <w:lang w:val="es-ES" w:eastAsia="es-ES"/>
        </w:rPr>
        <w:t>o</w:t>
      </w:r>
      <w:r w:rsidR="00B0536B">
        <w:rPr>
          <w:rFonts w:ascii="Verdana" w:hAnsi="Verdana" w:cs="Verdana"/>
          <w:spacing w:val="9"/>
          <w:sz w:val="21"/>
          <w:szCs w:val="21"/>
          <w:lang w:val="es-ES" w:eastAsia="es-ES"/>
        </w:rPr>
        <w:t>rte Público Remunerado de Personas, Modalidad Autobús; por haberse integrado la misma contra las determinaciones del numeral 30 del decreto ejecutivo no. 28833-MOPT;</w:t>
      </w:r>
    </w:p>
    <w:p w:rsidR="00F833FF" w:rsidRDefault="009A1524">
      <w:pPr>
        <w:kinsoku w:val="0"/>
        <w:overflowPunct w:val="0"/>
        <w:autoSpaceDE/>
        <w:autoSpaceDN/>
        <w:adjustRightInd/>
        <w:spacing w:before="8" w:line="300" w:lineRule="exact"/>
        <w:ind w:left="864"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 </w:t>
      </w:r>
      <w:r w:rsidR="00B0536B">
        <w:rPr>
          <w:rFonts w:ascii="Verdana" w:hAnsi="Verdana" w:cs="Verdana"/>
          <w:spacing w:val="9"/>
          <w:sz w:val="21"/>
          <w:szCs w:val="21"/>
          <w:lang w:val="es-ES" w:eastAsia="es-ES"/>
        </w:rPr>
        <w:t>Que no existe obligación legal meritoria a efecto de que los estudios o verificaciones de calidad del servicio público dé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F833FF" w:rsidRDefault="00372F3C">
      <w:pPr>
        <w:kinsoku w:val="0"/>
        <w:overflowPunct w:val="0"/>
        <w:autoSpaceDE/>
        <w:autoSpaceDN/>
        <w:adjustRightInd/>
        <w:spacing w:before="30" w:line="313" w:lineRule="exact"/>
        <w:ind w:left="864" w:right="216"/>
        <w:jc w:val="both"/>
        <w:textAlignment w:val="baseline"/>
        <w:rPr>
          <w:spacing w:val="10"/>
          <w:sz w:val="25"/>
          <w:szCs w:val="25"/>
          <w:lang w:val="es-ES" w:eastAsia="es-ES"/>
        </w:rPr>
      </w:pPr>
      <w:r>
        <w:rPr>
          <w:rFonts w:ascii="Verdana" w:hAnsi="Verdana" w:cs="Verdana"/>
          <w:spacing w:val="10"/>
          <w:sz w:val="21"/>
          <w:szCs w:val="21"/>
          <w:lang w:val="es-ES" w:eastAsia="es-ES"/>
        </w:rPr>
        <w:t xml:space="preserve">- </w:t>
      </w:r>
      <w:r w:rsidR="00B0536B">
        <w:rPr>
          <w:rFonts w:ascii="Verdana" w:hAnsi="Verdana" w:cs="Verdana"/>
          <w:spacing w:val="10"/>
          <w:sz w:val="21"/>
          <w:szCs w:val="21"/>
          <w:lang w:val="es-ES" w:eastAsia="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B0536B">
        <w:rPr>
          <w:spacing w:val="10"/>
          <w:sz w:val="25"/>
          <w:szCs w:val="25"/>
          <w:lang w:val="es-ES" w:eastAsia="es-ES"/>
        </w:rPr>
        <w:t>Ello máxime lo que señala el Oficio ECA-G-2017-100 (sic) de la Gerencia del ECA;</w:t>
      </w:r>
    </w:p>
    <w:p w:rsidR="00F833FF" w:rsidRDefault="00F833FF">
      <w:pPr>
        <w:widowControl/>
        <w:rPr>
          <w:sz w:val="24"/>
          <w:szCs w:val="24"/>
        </w:rPr>
        <w:sectPr w:rsidR="00F833FF">
          <w:pgSz w:w="12283" w:h="15802"/>
          <w:pgMar w:top="2140" w:right="1694" w:bottom="171" w:left="1589" w:header="720" w:footer="720" w:gutter="0"/>
          <w:cols w:space="720"/>
          <w:noEndnote/>
        </w:sectPr>
      </w:pPr>
    </w:p>
    <w:p w:rsidR="00F833FF" w:rsidRDefault="00B0536B" w:rsidP="002E665D">
      <w:pPr>
        <w:numPr>
          <w:ilvl w:val="0"/>
          <w:numId w:val="32"/>
        </w:numPr>
        <w:kinsoku w:val="0"/>
        <w:overflowPunct w:val="0"/>
        <w:autoSpaceDE/>
        <w:autoSpaceDN/>
        <w:adjustRightInd/>
        <w:spacing w:before="10" w:line="300" w:lineRule="exact"/>
        <w:ind w:right="216"/>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w:t>
      </w:r>
      <w:r w:rsidR="002E665D">
        <w:rPr>
          <w:rFonts w:ascii="Verdana" w:hAnsi="Verdana" w:cs="Verdana"/>
          <w:spacing w:val="11"/>
          <w:sz w:val="21"/>
          <w:szCs w:val="21"/>
          <w:lang w:val="es-ES" w:eastAsia="es-ES"/>
        </w:rPr>
        <w:t xml:space="preserve"> </w:t>
      </w:r>
      <w:r>
        <w:rPr>
          <w:rFonts w:ascii="Verdana" w:hAnsi="Verdana" w:cs="Verdana"/>
          <w:spacing w:val="11"/>
          <w:sz w:val="21"/>
          <w:szCs w:val="21"/>
          <w:lang w:val="es-ES" w:eastAsia="es-ES"/>
        </w:rPr>
        <w:t>sus acreditaciones específicas.</w:t>
      </w:r>
    </w:p>
    <w:p w:rsidR="00F833FF" w:rsidRDefault="002E665D" w:rsidP="002E665D">
      <w:pPr>
        <w:kinsoku w:val="0"/>
        <w:overflowPunct w:val="0"/>
        <w:autoSpaceDE/>
        <w:autoSpaceDN/>
        <w:adjustRightInd/>
        <w:spacing w:before="269" w:line="300" w:lineRule="exact"/>
        <w:ind w:left="993"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 </w:t>
      </w:r>
      <w:r w:rsidR="00B0536B">
        <w:rPr>
          <w:rFonts w:ascii="Verdana" w:hAnsi="Verdana" w:cs="Verdana"/>
          <w:spacing w:val="9"/>
          <w:sz w:val="21"/>
          <w:szCs w:val="21"/>
          <w:lang w:val="es-ES" w:eastAsia="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w:t>
      </w:r>
      <w:r w:rsidR="00B0536B">
        <w:rPr>
          <w:rFonts w:ascii="Verdana" w:hAnsi="Verdana" w:cs="Verdana"/>
          <w:spacing w:val="9"/>
          <w:sz w:val="21"/>
          <w:szCs w:val="21"/>
          <w:lang w:val="es-ES" w:eastAsia="es-ES"/>
        </w:rPr>
        <w:softHyphen/>
        <w:t>2017, todos de la Junta Directiva del Consejo de Transporte Público.</w:t>
      </w:r>
    </w:p>
    <w:p w:rsidR="00F833FF" w:rsidRDefault="00B0536B" w:rsidP="002E665D">
      <w:pPr>
        <w:tabs>
          <w:tab w:val="right" w:pos="8784"/>
        </w:tabs>
        <w:kinsoku w:val="0"/>
        <w:overflowPunct w:val="0"/>
        <w:autoSpaceDE/>
        <w:autoSpaceDN/>
        <w:adjustRightInd/>
        <w:spacing w:before="341" w:line="259" w:lineRule="exact"/>
        <w:ind w:left="144"/>
        <w:jc w:val="both"/>
        <w:textAlignment w:val="baseline"/>
        <w:rPr>
          <w:rFonts w:ascii="Verdana" w:hAnsi="Verdana" w:cs="Verdana"/>
          <w:spacing w:val="11"/>
          <w:sz w:val="21"/>
          <w:szCs w:val="21"/>
          <w:lang w:val="es-ES" w:eastAsia="es-ES"/>
        </w:rPr>
      </w:pPr>
      <w:r>
        <w:rPr>
          <w:rFonts w:ascii="Verdana" w:hAnsi="Verdana" w:cs="Verdana"/>
          <w:b/>
          <w:bCs/>
          <w:i/>
          <w:iCs/>
          <w:sz w:val="21"/>
          <w:szCs w:val="21"/>
          <w:lang w:val="es-ES" w:eastAsia="es-ES"/>
        </w:rPr>
        <w:t>E.-</w:t>
      </w:r>
      <w:r w:rsidR="002E665D">
        <w:rPr>
          <w:rFonts w:ascii="Verdana" w:hAnsi="Verdana" w:cs="Verdana"/>
          <w:b/>
          <w:bCs/>
          <w:i/>
          <w:iCs/>
          <w:sz w:val="21"/>
          <w:szCs w:val="21"/>
          <w:lang w:val="es-ES" w:eastAsia="es-ES"/>
        </w:rPr>
        <w:t xml:space="preserve"> </w:t>
      </w:r>
      <w:r>
        <w:rPr>
          <w:rFonts w:ascii="Verdana" w:hAnsi="Verdana" w:cs="Verdana"/>
          <w:sz w:val="21"/>
          <w:szCs w:val="21"/>
          <w:lang w:val="es-ES" w:eastAsia="es-ES"/>
        </w:rPr>
        <w:t>La Junta Directiva del Consejo de Transporte Público, mediante</w:t>
      </w:r>
      <w:r w:rsidR="002E665D">
        <w:rPr>
          <w:rFonts w:ascii="Verdana" w:hAnsi="Verdana" w:cs="Verdana"/>
          <w:sz w:val="21"/>
          <w:szCs w:val="21"/>
          <w:lang w:val="es-ES" w:eastAsia="es-ES"/>
        </w:rPr>
        <w:t xml:space="preserve"> </w:t>
      </w:r>
      <w:r>
        <w:rPr>
          <w:rFonts w:ascii="Verdana" w:hAnsi="Verdana" w:cs="Verdana"/>
          <w:b/>
          <w:bCs/>
          <w:spacing w:val="11"/>
          <w:sz w:val="21"/>
          <w:szCs w:val="21"/>
          <w:lang w:val="es-ES" w:eastAsia="es-ES"/>
        </w:rPr>
        <w:t xml:space="preserve">acuerdo 7.6.44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 xml:space="preserve">DA3- 2018-000774 de 26 de abril de 2018, </w:t>
      </w:r>
      <w:r>
        <w:rPr>
          <w:rFonts w:ascii="Verdana" w:hAnsi="Verdana" w:cs="Verdana"/>
          <w:spacing w:val="11"/>
          <w:sz w:val="21"/>
          <w:szCs w:val="21"/>
          <w:lang w:val="es-ES" w:eastAsia="es-ES"/>
        </w:rPr>
        <w:t>y rechaza el Recurso de Revocatoria presentado así como la incidencia de nulidad por improcedentes. (Léanse folios del 2 al 25 del expediente administrativo)</w:t>
      </w:r>
    </w:p>
    <w:p w:rsidR="00F833FF" w:rsidRDefault="00B0536B">
      <w:pPr>
        <w:numPr>
          <w:ilvl w:val="0"/>
          <w:numId w:val="21"/>
        </w:numPr>
        <w:kinsoku w:val="0"/>
        <w:overflowPunct w:val="0"/>
        <w:autoSpaceDE/>
        <w:autoSpaceDN/>
        <w:adjustRightInd/>
        <w:spacing w:before="643" w:line="254" w:lineRule="exact"/>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HECHOS NO PROBADOS:</w:t>
      </w:r>
    </w:p>
    <w:p w:rsidR="00F833FF" w:rsidRDefault="00B0536B">
      <w:pPr>
        <w:kinsoku w:val="0"/>
        <w:overflowPunct w:val="0"/>
        <w:autoSpaceDE/>
        <w:autoSpaceDN/>
        <w:adjustRightInd/>
        <w:spacing w:before="124" w:line="254" w:lineRule="exact"/>
        <w:jc w:val="center"/>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No se tiene como demostrado que la actuación objetada produzca algún daño o</w:t>
      </w:r>
    </w:p>
    <w:p w:rsidR="00F833FF" w:rsidRDefault="00B0536B">
      <w:pPr>
        <w:kinsoku w:val="0"/>
        <w:overflowPunct w:val="0"/>
        <w:autoSpaceDE/>
        <w:autoSpaceDN/>
        <w:adjustRightInd/>
        <w:spacing w:line="256" w:lineRule="exact"/>
        <w:ind w:left="144" w:right="216"/>
        <w:textAlignment w:val="baseline"/>
        <w:rPr>
          <w:rFonts w:ascii="Verdana" w:hAnsi="Verdana" w:cs="Verdana"/>
          <w:sz w:val="21"/>
          <w:szCs w:val="21"/>
          <w:lang w:val="es-ES" w:eastAsia="es-ES"/>
        </w:rPr>
      </w:pPr>
      <w:r>
        <w:rPr>
          <w:rFonts w:ascii="Verdana" w:hAnsi="Verdana" w:cs="Verdana"/>
          <w:sz w:val="21"/>
          <w:szCs w:val="21"/>
          <w:lang w:val="es-ES" w:eastAsia="es-ES"/>
        </w:rPr>
        <w:t>perjuicio; o alguna amenaza cierta o afectación real a los Derechos Subjetivos o Intereses Legítimos de la Recurrente.</w:t>
      </w:r>
    </w:p>
    <w:p w:rsidR="00F833FF" w:rsidRDefault="00B0536B">
      <w:pPr>
        <w:numPr>
          <w:ilvl w:val="0"/>
          <w:numId w:val="22"/>
        </w:numPr>
        <w:kinsoku w:val="0"/>
        <w:overflowPunct w:val="0"/>
        <w:autoSpaceDE/>
        <w:autoSpaceDN/>
        <w:adjustRightInd/>
        <w:spacing w:before="712" w:line="254" w:lineRule="exact"/>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SOBRE EL FONDO DEL CASO:</w:t>
      </w:r>
    </w:p>
    <w:p w:rsidR="00F833FF" w:rsidRDefault="00B0536B">
      <w:pPr>
        <w:kinsoku w:val="0"/>
        <w:overflowPunct w:val="0"/>
        <w:autoSpaceDE/>
        <w:autoSpaceDN/>
        <w:adjustRightInd/>
        <w:spacing w:before="279" w:line="315" w:lineRule="exact"/>
        <w:ind w:left="144" w:right="216"/>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En adelante se define lo atinente a los puntos de objeción planteados en la especie. </w:t>
      </w:r>
      <w:r>
        <w:rPr>
          <w:rFonts w:ascii="Verdana" w:hAnsi="Verdana" w:cs="Verdana"/>
          <w:b/>
          <w:bCs/>
          <w:i/>
          <w:iCs/>
          <w:sz w:val="21"/>
          <w:szCs w:val="21"/>
          <w:lang w:val="es-ES" w:eastAsia="es-ES"/>
        </w:rPr>
        <w:t>veamos:</w:t>
      </w:r>
    </w:p>
    <w:p w:rsidR="00F833FF" w:rsidRDefault="00B0536B">
      <w:pPr>
        <w:kinsoku w:val="0"/>
        <w:overflowPunct w:val="0"/>
        <w:autoSpaceDE/>
        <w:autoSpaceDN/>
        <w:adjustRightInd/>
        <w:spacing w:before="292" w:line="308" w:lineRule="exact"/>
        <w:ind w:left="144" w:right="216"/>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1.- CUESTIONAMIENTOS SOBRE LA INTEGRACIÓN DE LA COMISIÓN PERMANENTE DE REVISIÓN DEL MODELO Y DEL MANUAL DE CALIDAD:</w:t>
      </w:r>
    </w:p>
    <w:p w:rsidR="00F833FF" w:rsidRDefault="00B0536B" w:rsidP="002E665D">
      <w:pPr>
        <w:kinsoku w:val="0"/>
        <w:overflowPunct w:val="0"/>
        <w:autoSpaceDE/>
        <w:autoSpaceDN/>
        <w:adjustRightInd/>
        <w:spacing w:before="295" w:line="305" w:lineRule="exact"/>
        <w:ind w:left="144" w:right="69"/>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La existencia y conformación general de la comisión en cuestión se consigna en el numeral 30 del </w:t>
      </w:r>
      <w:r>
        <w:rPr>
          <w:rFonts w:ascii="Verdana" w:hAnsi="Verdana" w:cs="Verdana"/>
          <w:b/>
          <w:bCs/>
          <w:spacing w:val="8"/>
          <w:sz w:val="21"/>
          <w:szCs w:val="21"/>
          <w:lang w:val="es-ES" w:eastAsia="es-ES"/>
        </w:rPr>
        <w:t xml:space="preserve">Reglamento para la Evaluación y Calificación de la Calidad del Servicio Público de Transporte Remunerado de Personas </w:t>
      </w:r>
      <w:r>
        <w:rPr>
          <w:rFonts w:ascii="Verdana" w:hAnsi="Verdana" w:cs="Verdana"/>
          <w:b/>
          <w:bCs/>
          <w:i/>
          <w:iCs/>
          <w:spacing w:val="8"/>
          <w:sz w:val="21"/>
          <w:szCs w:val="21"/>
          <w:lang w:val="es-ES" w:eastAsia="es-ES"/>
        </w:rPr>
        <w:t xml:space="preserve">(No. 28833-MOPT), </w:t>
      </w:r>
      <w:r>
        <w:rPr>
          <w:rFonts w:ascii="Verdana" w:hAnsi="Verdana" w:cs="Verdana"/>
          <w:spacing w:val="8"/>
          <w:sz w:val="21"/>
          <w:szCs w:val="21"/>
          <w:lang w:val="es-ES" w:eastAsia="es-ES"/>
        </w:rPr>
        <w:t>el cual señala:</w:t>
      </w:r>
    </w:p>
    <w:p w:rsidR="00F833FF" w:rsidRDefault="00F833FF">
      <w:pPr>
        <w:widowControl/>
        <w:rPr>
          <w:sz w:val="24"/>
          <w:szCs w:val="24"/>
        </w:rPr>
        <w:sectPr w:rsidR="00F833FF">
          <w:pgSz w:w="12283" w:h="15802"/>
          <w:pgMar w:top="1900" w:right="1778" w:bottom="306" w:left="1505" w:header="720" w:footer="720" w:gutter="0"/>
          <w:cols w:space="720"/>
          <w:noEndnote/>
        </w:sectPr>
      </w:pPr>
    </w:p>
    <w:p w:rsidR="00F833FF" w:rsidRDefault="00B0536B">
      <w:pPr>
        <w:kinsoku w:val="0"/>
        <w:overflowPunct w:val="0"/>
        <w:autoSpaceDE/>
        <w:autoSpaceDN/>
        <w:adjustRightInd/>
        <w:spacing w:before="28" w:line="302" w:lineRule="exact"/>
        <w:ind w:left="720" w:right="79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30.—Revisión del Modelo, y del Manual. El </w:t>
      </w:r>
      <w:r>
        <w:rPr>
          <w:rFonts w:ascii="Verdana" w:hAnsi="Verdana" w:cs="Verdana"/>
          <w:sz w:val="21"/>
          <w:szCs w:val="21"/>
          <w:lang w:val="es-ES" w:eastAsia="es-ES"/>
        </w:rPr>
        <w:t>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F833FF" w:rsidRDefault="00B0536B">
      <w:pPr>
        <w:kinsoku w:val="0"/>
        <w:overflowPunct w:val="0"/>
        <w:autoSpaceDE/>
        <w:autoSpaceDN/>
        <w:adjustRightInd/>
        <w:spacing w:before="262" w:line="302"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F833FF" w:rsidRDefault="00B0536B">
      <w:pPr>
        <w:kinsoku w:val="0"/>
        <w:overflowPunct w:val="0"/>
        <w:autoSpaceDE/>
        <w:autoSpaceDN/>
        <w:adjustRightInd/>
        <w:spacing w:before="266" w:line="302"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F833FF" w:rsidRDefault="00B0536B">
      <w:pPr>
        <w:kinsoku w:val="0"/>
        <w:overflowPunct w:val="0"/>
        <w:autoSpaceDE/>
        <w:autoSpaceDN/>
        <w:adjustRightInd/>
        <w:spacing w:before="258" w:line="305" w:lineRule="exact"/>
        <w:ind w:left="720"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(Así reformado su párrafo primero por el artículo 1 del Decreto ejecutivo N° 29760 de 20 de agosto del 2001)</w:t>
      </w:r>
    </w:p>
    <w:p w:rsidR="00F833FF" w:rsidRDefault="00B0536B">
      <w:pPr>
        <w:kinsoku w:val="0"/>
        <w:overflowPunct w:val="0"/>
        <w:autoSpaceDE/>
        <w:autoSpaceDN/>
        <w:adjustRightInd/>
        <w:spacing w:before="562" w:line="299" w:lineRule="exact"/>
        <w:ind w:left="144"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Y en atención a dicho precepto normativo, el Consejo de Transporte Público, definió la integració</w:t>
      </w:r>
      <w:r w:rsidR="002E665D">
        <w:rPr>
          <w:rFonts w:ascii="Verdana" w:hAnsi="Verdana" w:cs="Verdana"/>
          <w:spacing w:val="8"/>
          <w:sz w:val="21"/>
          <w:szCs w:val="21"/>
          <w:lang w:val="es-ES" w:eastAsia="es-ES"/>
        </w:rPr>
        <w:t>n</w:t>
      </w:r>
      <w:r>
        <w:rPr>
          <w:rFonts w:ascii="Verdana" w:hAnsi="Verdana" w:cs="Verdana"/>
          <w:spacing w:val="8"/>
          <w:sz w:val="21"/>
          <w:szCs w:val="21"/>
          <w:lang w:val="es-ES" w:eastAsia="es-ES"/>
        </w:rPr>
        <w:t xml:space="preserve"> de dicha comisión mediante su acuerdo no. </w:t>
      </w:r>
      <w:r>
        <w:rPr>
          <w:rFonts w:ascii="Verdana" w:hAnsi="Verdana" w:cs="Verdana"/>
          <w:b/>
          <w:bCs/>
          <w:spacing w:val="8"/>
          <w:sz w:val="21"/>
          <w:szCs w:val="21"/>
          <w:lang w:val="es-ES" w:eastAsia="es-ES"/>
        </w:rPr>
        <w:t xml:space="preserve">8.2 de su sesión ordinaria no. 41-2016, del 24 de agosto del 2016, </w:t>
      </w:r>
      <w:r>
        <w:rPr>
          <w:rFonts w:ascii="Verdana" w:hAnsi="Verdana" w:cs="Verdana"/>
          <w:spacing w:val="8"/>
          <w:sz w:val="21"/>
          <w:szCs w:val="21"/>
          <w:lang w:val="es-ES" w:eastAsia="es-ES"/>
        </w:rPr>
        <w:t>disponiendo:</w:t>
      </w:r>
    </w:p>
    <w:p w:rsidR="00F833FF" w:rsidRDefault="00B0536B">
      <w:pPr>
        <w:kinsoku w:val="0"/>
        <w:overflowPunct w:val="0"/>
        <w:autoSpaceDE/>
        <w:autoSpaceDN/>
        <w:adjustRightInd/>
        <w:spacing w:before="314" w:line="286" w:lineRule="exact"/>
        <w:ind w:left="720" w:right="79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r w:rsidR="002E665D">
        <w:rPr>
          <w:rFonts w:ascii="Verdana" w:hAnsi="Verdana" w:cs="Verdana"/>
          <w:b/>
          <w:bCs/>
          <w:sz w:val="21"/>
          <w:szCs w:val="21"/>
          <w:lang w:val="es-ES" w:eastAsia="es-ES"/>
        </w:rPr>
        <w:t>:</w:t>
      </w:r>
    </w:p>
    <w:p w:rsidR="00F833FF" w:rsidRDefault="00B0536B">
      <w:pPr>
        <w:kinsoku w:val="0"/>
        <w:overflowPunct w:val="0"/>
        <w:autoSpaceDE/>
        <w:autoSpaceDN/>
        <w:adjustRightInd/>
        <w:spacing w:before="325" w:line="302"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1. Adicionar el artículo 7.12 </w:t>
      </w:r>
      <w:r>
        <w:rPr>
          <w:rFonts w:ascii="Verdana" w:hAnsi="Verdana" w:cs="Verdana"/>
          <w:sz w:val="21"/>
          <w:szCs w:val="21"/>
          <w:vertAlign w:val="subscript"/>
          <w:lang w:val="es-ES" w:eastAsia="es-ES"/>
        </w:rPr>
        <w:t>\</w:t>
      </w:r>
      <w:r>
        <w:rPr>
          <w:rFonts w:ascii="Verdana" w:hAnsi="Verdana" w:cs="Verdana"/>
          <w:sz w:val="21"/>
          <w:szCs w:val="21"/>
          <w:lang w:val="es-ES" w:eastAsia="es-ES"/>
        </w:rPr>
        <w:t xml:space="preserve">de la Sesión Ordinaria 39-2016 e integrar dentro de la conformación de la </w:t>
      </w:r>
      <w:r>
        <w:rPr>
          <w:rFonts w:ascii="Verdana" w:hAnsi="Verdana" w:cs="Verdana"/>
          <w:b/>
          <w:bCs/>
          <w:sz w:val="21"/>
          <w:szCs w:val="21"/>
          <w:lang w:val="es-ES" w:eastAsia="es-ES"/>
        </w:rPr>
        <w:t xml:space="preserve">Comisión encargada de la Revisión del Modelo y Manual de Calidad, </w:t>
      </w:r>
      <w:r>
        <w:rPr>
          <w:rFonts w:ascii="Verdana" w:hAnsi="Verdana" w:cs="Verdana"/>
          <w:sz w:val="21"/>
          <w:szCs w:val="21"/>
          <w:lang w:val="es-ES" w:eastAsia="es-ES"/>
        </w:rPr>
        <w:t>a representantes del Ente de Acreditación Costarricense (ECA), quedando dicha Comisión integrada finalmente por las siguientes personas:</w:t>
      </w:r>
    </w:p>
    <w:p w:rsidR="00F833FF" w:rsidRDefault="00B0536B">
      <w:pPr>
        <w:numPr>
          <w:ilvl w:val="0"/>
          <w:numId w:val="23"/>
        </w:numPr>
        <w:kinsoku w:val="0"/>
        <w:overflowPunct w:val="0"/>
        <w:autoSpaceDE/>
        <w:autoSpaceDN/>
        <w:adjustRightInd/>
        <w:spacing w:before="343" w:line="254"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Ing. Aura Alvarez Orozco, Dirección Técnica del CTP.</w:t>
      </w:r>
    </w:p>
    <w:p w:rsidR="00F833FF" w:rsidRDefault="00B0536B">
      <w:pPr>
        <w:numPr>
          <w:ilvl w:val="0"/>
          <w:numId w:val="23"/>
        </w:numPr>
        <w:kinsoku w:val="0"/>
        <w:overflowPunct w:val="0"/>
        <w:autoSpaceDE/>
        <w:autoSpaceDN/>
        <w:adjustRightInd/>
        <w:spacing w:before="41" w:after="730" w:line="283"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Ronny Rodriguez Cháves, Miembro de la Junta Directiva del CTP.</w:t>
      </w:r>
    </w:p>
    <w:p w:rsidR="00F833FF" w:rsidRDefault="00F833FF">
      <w:pPr>
        <w:widowControl/>
        <w:rPr>
          <w:sz w:val="24"/>
          <w:szCs w:val="24"/>
        </w:rPr>
        <w:sectPr w:rsidR="00F833FF">
          <w:pgSz w:w="12278" w:h="15763"/>
          <w:pgMar w:top="2120" w:right="1718" w:bottom="161" w:left="1560" w:header="720" w:footer="720" w:gutter="0"/>
          <w:cols w:space="720"/>
          <w:noEndnote/>
        </w:sectPr>
      </w:pPr>
    </w:p>
    <w:p w:rsidR="00F833FF" w:rsidRDefault="00F833FF">
      <w:pPr>
        <w:widowControl/>
        <w:rPr>
          <w:sz w:val="24"/>
          <w:szCs w:val="24"/>
        </w:rPr>
        <w:sectPr w:rsidR="00F833FF">
          <w:type w:val="continuous"/>
          <w:pgSz w:w="12278" w:h="15763"/>
          <w:pgMar w:top="2120" w:right="1828" w:bottom="161" w:left="7570" w:header="720" w:footer="720" w:gutter="0"/>
          <w:cols w:space="720"/>
          <w:noEndnote/>
        </w:sectPr>
      </w:pPr>
    </w:p>
    <w:p w:rsidR="00F833FF" w:rsidRDefault="00B0536B">
      <w:pPr>
        <w:numPr>
          <w:ilvl w:val="0"/>
          <w:numId w:val="24"/>
        </w:numPr>
        <w:kinsoku w:val="0"/>
        <w:overflowPunct w:val="0"/>
        <w:autoSpaceDE/>
        <w:autoSpaceDN/>
        <w:adjustRightInd/>
        <w:spacing w:line="289" w:lineRule="exact"/>
        <w:ind w:right="93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Licda. Kareen Brenes Villalta en representación del Sector Empresarial de Transporte Remunerado de Personas en Vehículos Automotores, Buses, Microbuses o Busetas, según acuerdo entre Canabus y Canatrans.</w:t>
      </w:r>
    </w:p>
    <w:p w:rsidR="00F833FF" w:rsidRDefault="00B0536B">
      <w:pPr>
        <w:numPr>
          <w:ilvl w:val="0"/>
          <w:numId w:val="24"/>
        </w:numPr>
        <w:kinsoku w:val="0"/>
        <w:overflowPunct w:val="0"/>
        <w:autoSpaceDE/>
        <w:autoSpaceDN/>
        <w:adjustRightInd/>
        <w:spacing w:before="46" w:line="289" w:lineRule="exact"/>
        <w:ind w:right="93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F833FF" w:rsidRDefault="00B0536B">
      <w:pPr>
        <w:numPr>
          <w:ilvl w:val="0"/>
          <w:numId w:val="25"/>
        </w:numPr>
        <w:kinsoku w:val="0"/>
        <w:overflowPunct w:val="0"/>
        <w:autoSpaceDE/>
        <w:autoSpaceDN/>
        <w:adjustRightInd/>
        <w:spacing w:before="41" w:line="296" w:lineRule="exact"/>
        <w:ind w:right="936"/>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Licda. Ana Karina Zeledón Lépiz, Directora de Asuntos Económicos quien representaría a la Defensoría de (sic) la Habitantes.</w:t>
      </w:r>
    </w:p>
    <w:p w:rsidR="00F833FF" w:rsidRDefault="00B0536B">
      <w:pPr>
        <w:numPr>
          <w:ilvl w:val="0"/>
          <w:numId w:val="24"/>
        </w:numPr>
        <w:kinsoku w:val="0"/>
        <w:overflowPunct w:val="0"/>
        <w:autoSpaceDE/>
        <w:autoSpaceDN/>
        <w:adjustRightInd/>
        <w:spacing w:before="34" w:line="281" w:lineRule="exact"/>
        <w:ind w:right="93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Msc. Maritza Madriz Picado. Gerente Ente Costarricense de Acreditación (ECA).</w:t>
      </w:r>
    </w:p>
    <w:p w:rsidR="00F833FF" w:rsidRDefault="00B0536B">
      <w:pPr>
        <w:numPr>
          <w:ilvl w:val="0"/>
          <w:numId w:val="25"/>
        </w:numPr>
        <w:kinsoku w:val="0"/>
        <w:overflowPunct w:val="0"/>
        <w:autoSpaceDE/>
        <w:autoSpaceDN/>
        <w:adjustRightInd/>
        <w:spacing w:before="50" w:line="279" w:lineRule="exact"/>
        <w:ind w:right="93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Cinthya Jiménez Jiménez. Coordinadora Gestoría de Calidad de ECA.</w:t>
      </w:r>
    </w:p>
    <w:p w:rsidR="00F833FF" w:rsidRDefault="00B0536B">
      <w:pPr>
        <w:kinsoku w:val="0"/>
        <w:overflowPunct w:val="0"/>
        <w:autoSpaceDE/>
        <w:autoSpaceDN/>
        <w:adjustRightInd/>
        <w:spacing w:before="322" w:line="293" w:lineRule="exact"/>
        <w:ind w:left="720" w:right="936"/>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Tahoma" w:hAnsi="Tahoma" w:cs="Tahoma"/>
          <w:sz w:val="22"/>
          <w:szCs w:val="22"/>
          <w:lang w:val="es-ES" w:eastAsia="es-ES"/>
        </w:rPr>
        <w:t>subdirectora Jurídica del Consejo de Transporte Público."...</w:t>
      </w:r>
    </w:p>
    <w:p w:rsidR="00F833FF" w:rsidRDefault="00B0536B">
      <w:pPr>
        <w:kinsoku w:val="0"/>
        <w:overflowPunct w:val="0"/>
        <w:autoSpaceDE/>
        <w:autoSpaceDN/>
        <w:adjustRightInd/>
        <w:spacing w:before="305" w:line="297" w:lineRule="exact"/>
        <w:ind w:left="144" w:right="144"/>
        <w:jc w:val="both"/>
        <w:textAlignment w:val="baseline"/>
        <w:rPr>
          <w:rFonts w:ascii="Verdana" w:hAnsi="Verdana" w:cs="Verdana"/>
          <w:b/>
          <w:bCs/>
          <w:spacing w:val="14"/>
          <w:sz w:val="21"/>
          <w:szCs w:val="21"/>
          <w:lang w:val="es-ES" w:eastAsia="es-ES"/>
        </w:rPr>
      </w:pPr>
      <w:r>
        <w:rPr>
          <w:rFonts w:ascii="Tahoma" w:hAnsi="Tahoma" w:cs="Tahoma"/>
          <w:spacing w:val="14"/>
          <w:sz w:val="22"/>
          <w:szCs w:val="22"/>
          <w:lang w:val="es-ES" w:eastAsia="es-ES"/>
        </w:rPr>
        <w:t xml:space="preserve">Evidentemente el texto del Artículo 30 </w:t>
      </w:r>
      <w:r>
        <w:rPr>
          <w:rFonts w:ascii="Verdana" w:hAnsi="Verdana" w:cs="Verdana"/>
          <w:i/>
          <w:iCs/>
          <w:spacing w:val="14"/>
          <w:sz w:val="21"/>
          <w:szCs w:val="21"/>
          <w:lang w:val="es-ES" w:eastAsia="es-ES"/>
        </w:rPr>
        <w:t xml:space="preserve">supra </w:t>
      </w:r>
      <w:r>
        <w:rPr>
          <w:rFonts w:ascii="Tahoma" w:hAnsi="Tahoma" w:cs="Tahoma"/>
          <w:spacing w:val="14"/>
          <w:sz w:val="22"/>
          <w:szCs w:val="22"/>
          <w:lang w:val="es-ES" w:eastAsia="es-ES"/>
        </w:rPr>
        <w:t xml:space="preserve">citado es abierto y además de los miembros que específicamente se señalan, </w:t>
      </w:r>
      <w:r>
        <w:rPr>
          <w:rFonts w:ascii="Verdana" w:hAnsi="Verdana" w:cs="Verdana"/>
          <w:b/>
          <w:bCs/>
          <w:spacing w:val="14"/>
          <w:sz w:val="21"/>
          <w:szCs w:val="21"/>
          <w:lang w:val="es-ES" w:eastAsia="es-ES"/>
        </w:rPr>
        <w:t>SE DETERMINA LA POSIBLE INTEGRACIÓN ABIERTA Y AMPLIA DE OTROS MIEMBROS, SIN RESTRICCIÓN ALGUNA.</w:t>
      </w:r>
    </w:p>
    <w:p w:rsidR="00F833FF" w:rsidRDefault="00B0536B">
      <w:pPr>
        <w:kinsoku w:val="0"/>
        <w:overflowPunct w:val="0"/>
        <w:autoSpaceDE/>
        <w:autoSpaceDN/>
        <w:adjustRightInd/>
        <w:spacing w:before="328" w:line="296" w:lineRule="exact"/>
        <w:ind w:left="144" w:right="144"/>
        <w:jc w:val="both"/>
        <w:textAlignment w:val="baseline"/>
        <w:rPr>
          <w:rFonts w:ascii="Verdana" w:hAnsi="Verdana" w:cs="Verdana"/>
          <w:b/>
          <w:bCs/>
          <w:i/>
          <w:iCs/>
          <w:spacing w:val="15"/>
          <w:sz w:val="21"/>
          <w:szCs w:val="21"/>
          <w:lang w:val="es-ES" w:eastAsia="es-ES"/>
        </w:rPr>
      </w:pPr>
      <w:r>
        <w:rPr>
          <w:rFonts w:ascii="Tahoma" w:hAnsi="Tahoma" w:cs="Tahoma"/>
          <w:spacing w:val="15"/>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objeta-fue aprobada </w:t>
      </w:r>
      <w:r>
        <w:rPr>
          <w:rFonts w:ascii="Verdana" w:hAnsi="Verdana" w:cs="Verdana"/>
          <w:i/>
          <w:iCs/>
          <w:spacing w:val="15"/>
          <w:sz w:val="21"/>
          <w:szCs w:val="21"/>
          <w:lang w:val="es-ES" w:eastAsia="es-ES"/>
        </w:rPr>
        <w:t xml:space="preserve">(cuando menos) </w:t>
      </w:r>
      <w:r>
        <w:rPr>
          <w:rFonts w:ascii="Tahoma" w:hAnsi="Tahoma" w:cs="Tahoma"/>
          <w:spacing w:val="15"/>
          <w:sz w:val="22"/>
          <w:szCs w:val="22"/>
          <w:lang w:val="es-ES" w:eastAsia="es-ES"/>
        </w:rPr>
        <w:t xml:space="preserve">por cinco de los miembros y/o participantes de la Comisión </w:t>
      </w:r>
      <w:r>
        <w:rPr>
          <w:rFonts w:ascii="Verdana" w:hAnsi="Verdana" w:cs="Verdana"/>
          <w:i/>
          <w:iCs/>
          <w:spacing w:val="15"/>
          <w:sz w:val="21"/>
          <w:szCs w:val="21"/>
          <w:lang w:val="es-ES" w:eastAsia="es-ES"/>
        </w:rPr>
        <w:t xml:space="preserve">(Ver Oficio DTE-2017-0317 del 05 de Junio del 2017 de la Dirección Técnica del CTP, al Folio 45 del Expediente de este Caso); </w:t>
      </w:r>
      <w:r>
        <w:rPr>
          <w:rFonts w:ascii="Tahoma" w:hAnsi="Tahoma" w:cs="Tahoma"/>
          <w:spacing w:val="15"/>
          <w:sz w:val="22"/>
          <w:szCs w:val="22"/>
          <w:lang w:val="es-ES" w:eastAsia="es-ES"/>
        </w:rPr>
        <w:t xml:space="preserve">todos participantes e integrantes conducentes de la misma, según los términos del </w:t>
      </w:r>
      <w:r>
        <w:rPr>
          <w:rFonts w:ascii="Verdana" w:hAnsi="Verdana" w:cs="Verdana"/>
          <w:b/>
          <w:bCs/>
          <w:i/>
          <w:iCs/>
          <w:spacing w:val="15"/>
          <w:sz w:val="21"/>
          <w:szCs w:val="21"/>
          <w:lang w:val="es-ES" w:eastAsia="es-ES"/>
        </w:rPr>
        <w:t>Artículo 30 del Reglamento para la Evaluación y Calificación de la Calidad del Servicio Público de Transporte Remunerado de Personas (No. 28833-MOPT).</w:t>
      </w:r>
    </w:p>
    <w:p w:rsidR="00F833FF" w:rsidRDefault="00B0536B">
      <w:pPr>
        <w:kinsoku w:val="0"/>
        <w:overflowPunct w:val="0"/>
        <w:autoSpaceDE/>
        <w:autoSpaceDN/>
        <w:adjustRightInd/>
        <w:spacing w:before="320" w:line="306" w:lineRule="exact"/>
        <w:ind w:left="144"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Por ende, los argumentos sobre supuestos o posibles vicios en su integración que esboza la firma recurrente, carecen de razón </w:t>
      </w:r>
      <w:r>
        <w:rPr>
          <w:rFonts w:ascii="Verdana" w:hAnsi="Verdana" w:cs="Verdana"/>
          <w:i/>
          <w:iCs/>
          <w:spacing w:val="17"/>
          <w:sz w:val="21"/>
          <w:szCs w:val="21"/>
          <w:lang w:val="es-ES" w:eastAsia="es-ES"/>
        </w:rPr>
        <w:t xml:space="preserve">y, per se, </w:t>
      </w:r>
      <w:r>
        <w:rPr>
          <w:rFonts w:ascii="Tahoma" w:hAnsi="Tahoma" w:cs="Tahoma"/>
          <w:spacing w:val="17"/>
          <w:sz w:val="22"/>
          <w:szCs w:val="22"/>
          <w:lang w:val="es-ES" w:eastAsia="es-ES"/>
        </w:rPr>
        <w:t>de derecho, debiendo ser rechazados en cuanto a lo que nos ocupa e interesa.</w:t>
      </w:r>
    </w:p>
    <w:p w:rsidR="00F833FF" w:rsidRDefault="00B0536B">
      <w:pPr>
        <w:kinsoku w:val="0"/>
        <w:overflowPunct w:val="0"/>
        <w:autoSpaceDE/>
        <w:autoSpaceDN/>
        <w:adjustRightInd/>
        <w:spacing w:before="295" w:line="303"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2.- SOBRE LA REALIZACIÓN DE LOS ESTUDIOS DE CONTROL DE CALIDAD A CARGO DE LOS MISMOS OPERADORES DEL SERVICIO:</w:t>
      </w:r>
    </w:p>
    <w:p w:rsidR="00F833FF" w:rsidRDefault="00B0536B">
      <w:pPr>
        <w:kinsoku w:val="0"/>
        <w:overflowPunct w:val="0"/>
        <w:autoSpaceDE/>
        <w:autoSpaceDN/>
        <w:adjustRightInd/>
        <w:spacing w:before="302" w:line="300" w:lineRule="exact"/>
        <w:ind w:left="144"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Se cuestiona en este sentido el que el CTP haya, por así decirlo, trasladado la obligación de los Estudios de Control de Calidad a cada uno de los</w:t>
      </w:r>
    </w:p>
    <w:p w:rsidR="00F833FF" w:rsidRDefault="00F833FF">
      <w:pPr>
        <w:widowControl/>
        <w:rPr>
          <w:sz w:val="24"/>
          <w:szCs w:val="24"/>
        </w:rPr>
        <w:sectPr w:rsidR="00F833FF">
          <w:pgSz w:w="12278" w:h="15763"/>
          <w:pgMar w:top="1920" w:right="1787" w:bottom="287" w:left="1491" w:header="720" w:footer="720" w:gutter="0"/>
          <w:cols w:space="720"/>
          <w:noEndnote/>
        </w:sectPr>
      </w:pPr>
    </w:p>
    <w:p w:rsidR="00F833FF" w:rsidRDefault="00B0536B">
      <w:pPr>
        <w:kinsoku w:val="0"/>
        <w:overflowPunct w:val="0"/>
        <w:autoSpaceDE/>
        <w:autoSpaceDN/>
        <w:adjustRightInd/>
        <w:spacing w:line="307" w:lineRule="exact"/>
        <w:ind w:left="144" w:right="216"/>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operadores del servicio, considerándose que es una labor propia de ese Consejo y no de los mismos, operadores.</w:t>
      </w:r>
    </w:p>
    <w:p w:rsidR="00F833FF" w:rsidRDefault="00B0536B">
      <w:pPr>
        <w:kinsoku w:val="0"/>
        <w:overflowPunct w:val="0"/>
        <w:autoSpaceDE/>
        <w:autoSpaceDN/>
        <w:adjustRightInd/>
        <w:spacing w:before="288" w:line="300" w:lineRule="exact"/>
        <w:ind w:left="144" w:right="216"/>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En cuanto a ello, en lo amplio, este Tribunal en sus Resoluciones </w:t>
      </w:r>
      <w:r>
        <w:rPr>
          <w:rFonts w:ascii="Tahoma" w:hAnsi="Tahoma" w:cs="Tahoma"/>
          <w:b/>
          <w:bCs/>
          <w:spacing w:val="19"/>
          <w:sz w:val="22"/>
          <w:szCs w:val="22"/>
          <w:lang w:val="es-ES" w:eastAsia="es-ES"/>
        </w:rPr>
        <w:t xml:space="preserve">Nos. TAT-2989-2016 a TAT-2912-2016, todas del 31 de Marzo del 2016, </w:t>
      </w:r>
      <w:r>
        <w:rPr>
          <w:rFonts w:ascii="Tahoma" w:hAnsi="Tahoma" w:cs="Tahoma"/>
          <w:spacing w:val="19"/>
          <w:sz w:val="22"/>
          <w:szCs w:val="22"/>
          <w:lang w:val="es-ES" w:eastAsia="es-ES"/>
        </w:rPr>
        <w:t>como bien lo señala el CTP; dispuso:</w:t>
      </w:r>
    </w:p>
    <w:p w:rsidR="00F833FF" w:rsidRDefault="00B0536B">
      <w:pPr>
        <w:kinsoku w:val="0"/>
        <w:overflowPunct w:val="0"/>
        <w:autoSpaceDE/>
        <w:autoSpaceDN/>
        <w:adjustRightInd/>
        <w:spacing w:before="272" w:line="300" w:lineRule="exact"/>
        <w:ind w:left="720" w:right="79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9"/>
          <w:sz w:val="21"/>
          <w:szCs w:val="21"/>
          <w:lang w:val="es-ES" w:eastAsia="es-ES"/>
        </w:rPr>
        <w:t xml:space="preserve">-de ser de su aceptación- </w:t>
      </w:r>
      <w:r>
        <w:rPr>
          <w:rFonts w:ascii="Tahoma" w:hAnsi="Tahoma" w:cs="Tahoma"/>
          <w:spacing w:val="9"/>
          <w:sz w:val="22"/>
          <w:szCs w:val="22"/>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9"/>
          <w:sz w:val="21"/>
          <w:szCs w:val="21"/>
          <w:lang w:val="es-ES" w:eastAsia="es-ES"/>
        </w:rPr>
        <w:t xml:space="preserve">supra, </w:t>
      </w:r>
      <w:r>
        <w:rPr>
          <w:rFonts w:ascii="Tahoma" w:hAnsi="Tahoma" w:cs="Tahoma"/>
          <w:spacing w:val="9"/>
          <w:sz w:val="22"/>
          <w:szCs w:val="22"/>
          <w:lang w:val="es-ES" w:eastAsia="es-ES"/>
        </w:rPr>
        <w:t>su Reclamo en el sentido apuntado es Improcedente y Falto de Derecho y de Razón."...</w:t>
      </w:r>
    </w:p>
    <w:p w:rsidR="00F833FF" w:rsidRDefault="00B0536B">
      <w:pPr>
        <w:kinsoku w:val="0"/>
        <w:overflowPunct w:val="0"/>
        <w:autoSpaceDE/>
        <w:autoSpaceDN/>
        <w:adjustRightInd/>
        <w:spacing w:before="326" w:line="300" w:lineRule="exact"/>
        <w:ind w:left="144" w:right="216"/>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Aunado a lo anterior, el te</w:t>
      </w:r>
      <w:r w:rsidR="007D02B6">
        <w:rPr>
          <w:rFonts w:ascii="Tahoma" w:hAnsi="Tahoma" w:cs="Tahoma"/>
          <w:spacing w:val="10"/>
          <w:sz w:val="22"/>
          <w:szCs w:val="22"/>
          <w:lang w:val="es-ES" w:eastAsia="es-ES"/>
        </w:rPr>
        <w:t>m</w:t>
      </w:r>
      <w:r>
        <w:rPr>
          <w:rFonts w:ascii="Tahoma" w:hAnsi="Tahoma" w:cs="Tahoma"/>
          <w:spacing w:val="10"/>
          <w:sz w:val="22"/>
          <w:szCs w:val="22"/>
          <w:lang w:val="es-ES" w:eastAsia="es-ES"/>
        </w:rPr>
        <w:t>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F833FF" w:rsidRDefault="00B0536B">
      <w:pPr>
        <w:kinsoku w:val="0"/>
        <w:overflowPunct w:val="0"/>
        <w:autoSpaceDE/>
        <w:autoSpaceDN/>
        <w:adjustRightInd/>
        <w:spacing w:before="362" w:line="300" w:lineRule="exact"/>
        <w:ind w:left="144" w:right="216"/>
        <w:jc w:val="both"/>
        <w:textAlignment w:val="baseline"/>
        <w:rPr>
          <w:rFonts w:ascii="Tahoma" w:hAnsi="Tahoma" w:cs="Tahoma"/>
          <w:b/>
          <w:bCs/>
          <w:spacing w:val="9"/>
          <w:sz w:val="22"/>
          <w:szCs w:val="22"/>
          <w:lang w:val="es-ES" w:eastAsia="es-ES"/>
        </w:rPr>
      </w:pPr>
      <w:r>
        <w:rPr>
          <w:rFonts w:ascii="Tahoma" w:hAnsi="Tahoma" w:cs="Tahoma"/>
          <w:spacing w:val="9"/>
          <w:sz w:val="22"/>
          <w:szCs w:val="22"/>
          <w:lang w:val="es-ES" w:eastAsia="es-ES"/>
        </w:rPr>
        <w:t xml:space="preserve">Además, según las determinaciones de los </w:t>
      </w:r>
      <w:r>
        <w:rPr>
          <w:rFonts w:ascii="Tahoma" w:hAnsi="Tahoma" w:cs="Tahoma"/>
          <w:b/>
          <w:bCs/>
          <w:spacing w:val="9"/>
          <w:sz w:val="22"/>
          <w:szCs w:val="22"/>
          <w:lang w:val="es-ES" w:eastAsia="es-ES"/>
        </w:rPr>
        <w:t xml:space="preserve">numerales 13, 16 y 18 del Reglamento para la Evaluación y Calificación de la Calidad del Servicio Público de Transporte Remunerado de Personas </w:t>
      </w:r>
      <w:r>
        <w:rPr>
          <w:rFonts w:ascii="Verdana" w:hAnsi="Verdana" w:cs="Verdana"/>
          <w:b/>
          <w:bCs/>
          <w:i/>
          <w:iCs/>
          <w:spacing w:val="9"/>
          <w:sz w:val="21"/>
          <w:szCs w:val="21"/>
          <w:lang w:val="es-ES" w:eastAsia="es-ES"/>
        </w:rPr>
        <w:t xml:space="preserve">(No. 28833-MOPT), </w:t>
      </w:r>
      <w:r>
        <w:rPr>
          <w:rFonts w:ascii="Tahoma" w:hAnsi="Tahoma" w:cs="Tahoma"/>
          <w:b/>
          <w:bCs/>
          <w:spacing w:val="9"/>
          <w:sz w:val="22"/>
          <w:szCs w:val="22"/>
          <w:lang w:val="es-ES" w:eastAsia="es-ES"/>
        </w:rPr>
        <w:t>ES</w:t>
      </w:r>
    </w:p>
    <w:p w:rsidR="00F833FF" w:rsidRDefault="00F833FF">
      <w:pPr>
        <w:widowControl/>
        <w:rPr>
          <w:sz w:val="24"/>
          <w:szCs w:val="24"/>
        </w:rPr>
        <w:sectPr w:rsidR="00F833FF">
          <w:pgSz w:w="12269" w:h="15782"/>
          <w:pgMar w:top="2140" w:right="1685" w:bottom="171" w:left="1584" w:header="720" w:footer="720" w:gutter="0"/>
          <w:cols w:space="720"/>
          <w:noEndnote/>
        </w:sectPr>
      </w:pPr>
    </w:p>
    <w:p w:rsidR="00F833FF" w:rsidRDefault="00B0536B">
      <w:pPr>
        <w:kinsoku w:val="0"/>
        <w:overflowPunct w:val="0"/>
        <w:autoSpaceDE/>
        <w:autoSpaceDN/>
        <w:adjustRightInd/>
        <w:spacing w:before="9" w:line="299" w:lineRule="exact"/>
        <w:ind w:left="216" w:right="216"/>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ABSOLUTAMENTE FACTIBLE Y LEGAL QUE ESOS ESTUDIOS SE ENCARGUEN A LOS PRESTADORES DEL SERVICIO. Máxime que se ha dispuesto que su valor o costo sea cubierto tarifariamente.</w:t>
      </w:r>
    </w:p>
    <w:p w:rsidR="00F833FF" w:rsidRDefault="00B0536B">
      <w:pPr>
        <w:kinsoku w:val="0"/>
        <w:overflowPunct w:val="0"/>
        <w:autoSpaceDE/>
        <w:autoSpaceDN/>
        <w:adjustRightInd/>
        <w:spacing w:before="301" w:line="302" w:lineRule="exact"/>
        <w:ind w:left="216" w:right="21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 EMPRESAS ACREDITADAS ANTE EL ENTE COSTARRICENSE DE ACREDITACIÓN (ECA):</w:t>
      </w:r>
    </w:p>
    <w:p w:rsidR="00F833FF" w:rsidRDefault="00B0536B">
      <w:pPr>
        <w:kinsoku w:val="0"/>
        <w:overflowPunct w:val="0"/>
        <w:autoSpaceDE/>
        <w:autoSpaceDN/>
        <w:adjustRightInd/>
        <w:spacing w:before="305" w:line="300" w:lineRule="exact"/>
        <w:ind w:left="216" w:right="216"/>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 xml:space="preserve">En cuanto a este punto y tal como se ha dicho </w:t>
      </w:r>
      <w:r>
        <w:rPr>
          <w:rFonts w:ascii="Verdana" w:hAnsi="Verdana" w:cs="Verdana"/>
          <w:i/>
          <w:iCs/>
          <w:spacing w:val="15"/>
          <w:sz w:val="21"/>
          <w:szCs w:val="21"/>
          <w:lang w:val="es-ES" w:eastAsia="es-ES"/>
        </w:rPr>
        <w:t xml:space="preserve">supra, </w:t>
      </w:r>
      <w:r>
        <w:rPr>
          <w:rFonts w:ascii="Tahoma" w:hAnsi="Tahoma" w:cs="Tahoma"/>
          <w:spacing w:val="15"/>
          <w:sz w:val="22"/>
          <w:szCs w:val="22"/>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F833FF" w:rsidRDefault="00B0536B">
      <w:pPr>
        <w:kinsoku w:val="0"/>
        <w:overflowPunct w:val="0"/>
        <w:autoSpaceDE/>
        <w:autoSpaceDN/>
        <w:adjustRightInd/>
        <w:spacing w:before="298" w:line="299" w:lineRule="exact"/>
        <w:ind w:left="216" w:right="216"/>
        <w:jc w:val="both"/>
        <w:textAlignment w:val="baseline"/>
        <w:rPr>
          <w:rFonts w:ascii="Verdana" w:hAnsi="Verdana" w:cs="Verdana"/>
          <w:b/>
          <w:bCs/>
          <w:spacing w:val="3"/>
          <w:sz w:val="21"/>
          <w:szCs w:val="21"/>
          <w:lang w:val="es-ES" w:eastAsia="es-ES"/>
        </w:rPr>
      </w:pPr>
      <w:r>
        <w:rPr>
          <w:rFonts w:ascii="Tahoma" w:hAnsi="Tahoma" w:cs="Tahoma"/>
          <w:spacing w:val="3"/>
          <w:sz w:val="22"/>
          <w:szCs w:val="22"/>
          <w:lang w:val="es-ES" w:eastAsia="es-ES"/>
        </w:rPr>
        <w:t xml:space="preserve">Además y conforme ya se dijo: según las determinaciones de los numerales 13, 16 y 18 del Reglamento para la Evaluación y Calificación de la Calidad del Servicio Público de Transporte Remunerado de Personas </w:t>
      </w:r>
      <w:r>
        <w:rPr>
          <w:rFonts w:ascii="Verdana" w:hAnsi="Verdana" w:cs="Verdana"/>
          <w:i/>
          <w:iCs/>
          <w:spacing w:val="3"/>
          <w:sz w:val="21"/>
          <w:szCs w:val="21"/>
          <w:lang w:val="es-ES" w:eastAsia="es-ES"/>
        </w:rPr>
        <w:t xml:space="preserve">(No. 28833-MOPT), </w:t>
      </w:r>
      <w:r>
        <w:rPr>
          <w:rFonts w:ascii="Verdana" w:hAnsi="Verdana" w:cs="Verdana"/>
          <w:b/>
          <w:bCs/>
          <w:spacing w:val="3"/>
          <w:sz w:val="21"/>
          <w:szCs w:val="21"/>
          <w:lang w:val="es-ES" w:eastAsia="es-ES"/>
        </w:rPr>
        <w:t>ES ABSOLUTAMENTE FACTIBLE Y LEGAL QUE ESOS ESTUDIOS SE ENCARGUEN A LOS PRESTADORES DEL SERVICIO.</w:t>
      </w:r>
    </w:p>
    <w:p w:rsidR="00F833FF" w:rsidRDefault="00B0536B">
      <w:pPr>
        <w:kinsoku w:val="0"/>
        <w:overflowPunct w:val="0"/>
        <w:autoSpaceDE/>
        <w:autoSpaceDN/>
        <w:adjustRightInd/>
        <w:spacing w:before="307" w:line="299" w:lineRule="exact"/>
        <w:ind w:left="216" w:right="216"/>
        <w:jc w:val="both"/>
        <w:textAlignment w:val="baseline"/>
        <w:rPr>
          <w:rFonts w:ascii="Verdana" w:hAnsi="Verdana" w:cs="Verdana"/>
          <w:b/>
          <w:bCs/>
          <w:spacing w:val="4"/>
          <w:sz w:val="21"/>
          <w:szCs w:val="21"/>
          <w:lang w:val="es-ES" w:eastAsia="es-ES"/>
        </w:rPr>
      </w:pPr>
      <w:r>
        <w:rPr>
          <w:rFonts w:ascii="Tahoma" w:hAnsi="Tahoma" w:cs="Tahoma"/>
          <w:spacing w:val="4"/>
          <w:sz w:val="22"/>
          <w:szCs w:val="22"/>
          <w:lang w:val="es-ES" w:eastAsia="es-ES"/>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Pr>
          <w:rFonts w:ascii="Verdana" w:hAnsi="Verdana" w:cs="Verdana"/>
          <w:b/>
          <w:bCs/>
          <w:spacing w:val="4"/>
          <w:sz w:val="21"/>
          <w:szCs w:val="21"/>
          <w:lang w:val="es-ES" w:eastAsia="es-ES"/>
        </w:rPr>
        <w:t>Ley del Sistema Nacional para la Calidad, que establece en su Artículo 34 lo siguiente:</w:t>
      </w:r>
    </w:p>
    <w:p w:rsidR="00F833FF" w:rsidRDefault="00B0536B">
      <w:pPr>
        <w:kinsoku w:val="0"/>
        <w:overflowPunct w:val="0"/>
        <w:autoSpaceDE/>
        <w:autoSpaceDN/>
        <w:adjustRightInd/>
        <w:spacing w:before="268" w:line="302"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F833FF" w:rsidRDefault="00B0536B">
      <w:pPr>
        <w:kinsoku w:val="0"/>
        <w:overflowPunct w:val="0"/>
        <w:autoSpaceDE/>
        <w:autoSpaceDN/>
        <w:adjustRightInd/>
        <w:spacing w:before="317" w:line="302"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Los laboratorios estatales deberán </w:t>
      </w:r>
      <w:r w:rsidR="007D02B6">
        <w:rPr>
          <w:rFonts w:ascii="Verdana" w:hAnsi="Verdana" w:cs="Verdana"/>
          <w:b/>
          <w:bCs/>
          <w:i/>
          <w:iCs/>
          <w:sz w:val="21"/>
          <w:szCs w:val="21"/>
          <w:lang w:val="es-ES" w:eastAsia="es-ES"/>
        </w:rPr>
        <w:t>acreditarse</w:t>
      </w:r>
      <w:r>
        <w:rPr>
          <w:rFonts w:ascii="Verdana" w:hAnsi="Verdana" w:cs="Verdana"/>
          <w:b/>
          <w:bCs/>
          <w:i/>
          <w:iCs/>
          <w:sz w:val="21"/>
          <w:szCs w:val="21"/>
          <w:lang w:val="es-ES" w:eastAsia="es-ES"/>
        </w:rPr>
        <w:t xml:space="preserve"> ante el ECA, de conformidad con el reglamento respectivo".</w:t>
      </w:r>
    </w:p>
    <w:p w:rsidR="00F833FF" w:rsidRDefault="00B0536B">
      <w:pPr>
        <w:kinsoku w:val="0"/>
        <w:overflowPunct w:val="0"/>
        <w:autoSpaceDE/>
        <w:autoSpaceDN/>
        <w:adjustRightInd/>
        <w:spacing w:before="607" w:line="300" w:lineRule="exact"/>
        <w:ind w:left="216" w:right="216"/>
        <w:jc w:val="both"/>
        <w:textAlignment w:val="baseline"/>
        <w:rPr>
          <w:rFonts w:ascii="Tahoma" w:hAnsi="Tahoma" w:cs="Tahoma"/>
          <w:spacing w:val="7"/>
          <w:sz w:val="22"/>
          <w:szCs w:val="22"/>
          <w:lang w:val="es-ES" w:eastAsia="es-ES"/>
        </w:rPr>
      </w:pPr>
      <w:r>
        <w:rPr>
          <w:rFonts w:ascii="Tahoma" w:hAnsi="Tahoma" w:cs="Tahoma"/>
          <w:spacing w:val="7"/>
          <w:sz w:val="22"/>
          <w:szCs w:val="22"/>
          <w:lang w:val="es-ES" w:eastAsia="es-ES"/>
        </w:rPr>
        <w:t>Unido y en refuerzo de lo anterior, se tiene que el Consejo de Transporte Público realizó una consulta ante la Procuraduría General de la República, y mediante el Dictamen No. C-200-2016 del 28 de Setiembre del 2016, la misma señaló que</w:t>
      </w:r>
    </w:p>
    <w:p w:rsidR="00F833FF" w:rsidRDefault="00F833FF">
      <w:pPr>
        <w:widowControl/>
        <w:rPr>
          <w:sz w:val="24"/>
          <w:szCs w:val="24"/>
        </w:rPr>
        <w:sectPr w:rsidR="00F833FF">
          <w:pgSz w:w="12269" w:h="15782"/>
          <w:pgMar w:top="1900" w:right="1776" w:bottom="286" w:left="1493" w:header="720" w:footer="720" w:gutter="0"/>
          <w:cols w:space="720"/>
          <w:noEndnote/>
        </w:sectPr>
      </w:pPr>
    </w:p>
    <w:p w:rsidR="00F833FF" w:rsidRDefault="00B0536B">
      <w:pPr>
        <w:kinsoku w:val="0"/>
        <w:overflowPunct w:val="0"/>
        <w:autoSpaceDE/>
        <w:autoSpaceDN/>
        <w:adjustRightInd/>
        <w:spacing w:before="19" w:line="298" w:lineRule="exact"/>
        <w:ind w:left="144" w:right="216"/>
        <w:jc w:val="both"/>
        <w:textAlignment w:val="baseline"/>
        <w:rPr>
          <w:rFonts w:ascii="Verdana" w:hAnsi="Verdana" w:cs="Verdana"/>
          <w:b/>
          <w:bCs/>
          <w:i/>
          <w:iCs/>
          <w:spacing w:val="4"/>
          <w:sz w:val="21"/>
          <w:szCs w:val="21"/>
          <w:lang w:val="es-ES" w:eastAsia="es-ES"/>
        </w:rPr>
      </w:pPr>
      <w:r>
        <w:rPr>
          <w:rFonts w:ascii="Verdana" w:hAnsi="Verdana" w:cs="Verdana"/>
          <w:b/>
          <w:bCs/>
          <w:i/>
          <w:iCs/>
          <w:spacing w:val="4"/>
          <w:sz w:val="21"/>
          <w:szCs w:val="21"/>
          <w:lang w:val="es-ES" w:eastAsia="es-ES"/>
        </w:rPr>
        <w:t>"el artículo 34 de la Ley del Sistema Nacional de Calidad, N° 8279 de 2 de mayo dé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p>
    <w:p w:rsidR="00F833FF" w:rsidRDefault="00B0536B">
      <w:pPr>
        <w:kinsoku w:val="0"/>
        <w:overflowPunct w:val="0"/>
        <w:autoSpaceDE/>
        <w:autoSpaceDN/>
        <w:adjustRightInd/>
        <w:spacing w:before="307" w:line="298" w:lineRule="exact"/>
        <w:ind w:left="144" w:right="144"/>
        <w:jc w:val="both"/>
        <w:textAlignment w:val="baseline"/>
        <w:rPr>
          <w:rFonts w:ascii="Verdana" w:hAnsi="Verdana" w:cs="Verdana"/>
          <w:b/>
          <w:bCs/>
          <w:i/>
          <w:iCs/>
          <w:spacing w:val="2"/>
          <w:sz w:val="21"/>
          <w:szCs w:val="21"/>
          <w:lang w:val="es-ES" w:eastAsia="es-ES"/>
        </w:rPr>
      </w:pPr>
      <w:r>
        <w:rPr>
          <w:rFonts w:ascii="Tahoma" w:hAnsi="Tahoma" w:cs="Tahoma"/>
          <w:spacing w:val="2"/>
          <w:sz w:val="22"/>
          <w:szCs w:val="22"/>
          <w:lang w:val="es-ES" w:eastAsia="es-ES"/>
        </w:rPr>
        <w:t xml:space="preserve">También indicó la Procuraduría General de la República que: </w:t>
      </w:r>
      <w:r>
        <w:rPr>
          <w:rFonts w:ascii="Verdana" w:hAnsi="Verdana" w:cs="Verdana"/>
          <w:b/>
          <w:bCs/>
          <w:i/>
          <w:iCs/>
          <w:spacing w:val="2"/>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F833FF" w:rsidRDefault="00B0536B">
      <w:pPr>
        <w:kinsoku w:val="0"/>
        <w:overflowPunct w:val="0"/>
        <w:autoSpaceDE/>
        <w:autoSpaceDN/>
        <w:adjustRightInd/>
        <w:spacing w:before="326" w:line="298" w:lineRule="exact"/>
        <w:ind w:left="144"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Y, finalmente en lo que particularmente nos ocupa, por </w:t>
      </w:r>
      <w:r>
        <w:rPr>
          <w:rFonts w:ascii="Verdana" w:hAnsi="Verdana" w:cs="Verdana"/>
          <w:b/>
          <w:bCs/>
          <w:i/>
          <w:iCs/>
          <w:spacing w:val="8"/>
          <w:sz w:val="21"/>
          <w:szCs w:val="21"/>
          <w:lang w:val="es-ES" w:eastAsia="es-ES"/>
        </w:rPr>
        <w:t xml:space="preserve">Resolución No. TAT-3203-2017 de las 10:40 horas del 02 de Marzo del 2017, </w:t>
      </w:r>
      <w:r>
        <w:rPr>
          <w:rFonts w:ascii="Tahoma" w:hAnsi="Tahoma" w:cs="Tahoma"/>
          <w:spacing w:val="8"/>
          <w:sz w:val="22"/>
          <w:szCs w:val="22"/>
          <w:lang w:val="es-ES" w:eastAsia="es-ES"/>
        </w:rPr>
        <w:t>este Tribunal señaló en cuanto a una Acción Recursiva como la que nos ocupa, que:</w:t>
      </w:r>
    </w:p>
    <w:p w:rsidR="00F833FF" w:rsidRDefault="00B0536B" w:rsidP="007D02B6">
      <w:pPr>
        <w:kinsoku w:val="0"/>
        <w:overflowPunct w:val="0"/>
        <w:autoSpaceDE/>
        <w:autoSpaceDN/>
        <w:adjustRightInd/>
        <w:spacing w:before="296" w:line="300" w:lineRule="exact"/>
        <w:ind w:left="720" w:right="792"/>
        <w:jc w:val="both"/>
        <w:textAlignment w:val="baseline"/>
        <w:rPr>
          <w:rFonts w:ascii="Tahoma" w:hAnsi="Tahoma" w:cs="Tahoma"/>
          <w:spacing w:val="8"/>
          <w:sz w:val="22"/>
          <w:szCs w:val="22"/>
          <w:lang w:val="es-ES" w:eastAsia="es-ES"/>
        </w:rPr>
      </w:pPr>
      <w:r w:rsidRPr="007D02B6">
        <w:rPr>
          <w:rFonts w:ascii="Tahoma" w:hAnsi="Tahoma" w:cs="Tahoma"/>
          <w:spacing w:val="9"/>
          <w:sz w:val="22"/>
          <w:szCs w:val="22"/>
          <w:lang w:val="es-ES" w:eastAsia="es-ES"/>
        </w:rPr>
        <w:t xml:space="preserve">..."recurso debe declararse sin lugar, ya que, la actuación del Consejo de Transporte Público se encuentra enmarcada dentro del Principio de Legalidad y el acto que acoge el Informe </w:t>
      </w:r>
      <w:r w:rsidRPr="007D02B6">
        <w:rPr>
          <w:rFonts w:ascii="Verdana" w:hAnsi="Verdana" w:cs="Verdana"/>
          <w:b/>
          <w:bCs/>
          <w:spacing w:val="9"/>
          <w:sz w:val="21"/>
          <w:szCs w:val="21"/>
          <w:lang w:val="es-ES" w:eastAsia="es-ES"/>
        </w:rPr>
        <w:t xml:space="preserve">DTE-2016-1153 de 1 de setiembre de 2016 de la Dirección Técnica, </w:t>
      </w:r>
      <w:r w:rsidRPr="007D02B6">
        <w:rPr>
          <w:rFonts w:ascii="Tahoma" w:hAnsi="Tahoma" w:cs="Tahoma"/>
          <w:spacing w:val="9"/>
          <w:sz w:val="22"/>
          <w:szCs w:val="22"/>
          <w:lang w:val="es-ES" w:eastAsia="es-ES"/>
        </w:rPr>
        <w:t>se encuentra conforme en todos sus elementos esenciales y adecuadamente</w:t>
      </w:r>
      <w:r w:rsidR="007D02B6">
        <w:rPr>
          <w:rFonts w:ascii="Tahoma" w:hAnsi="Tahoma" w:cs="Tahoma"/>
          <w:spacing w:val="9"/>
          <w:sz w:val="22"/>
          <w:szCs w:val="22"/>
          <w:lang w:val="es-ES" w:eastAsia="es-ES"/>
        </w:rPr>
        <w:t xml:space="preserve"> </w:t>
      </w:r>
      <w:r w:rsidRPr="007D02B6">
        <w:rPr>
          <w:rFonts w:ascii="Tahoma" w:hAnsi="Tahoma" w:cs="Tahoma"/>
          <w:spacing w:val="1"/>
          <w:sz w:val="22"/>
          <w:szCs w:val="22"/>
          <w:lang w:val="es-ES" w:eastAsia="es-ES"/>
        </w:rPr>
        <w:t>motivado, pues la decisión tomada, no constituye un acto discrecional</w:t>
      </w:r>
      <w:r w:rsidR="007D02B6">
        <w:rPr>
          <w:rFonts w:ascii="Tahoma" w:hAnsi="Tahoma" w:cs="Tahoma"/>
          <w:spacing w:val="1"/>
          <w:sz w:val="22"/>
          <w:szCs w:val="22"/>
          <w:lang w:val="es-ES" w:eastAsia="es-ES"/>
        </w:rPr>
        <w:t xml:space="preserve"> </w:t>
      </w:r>
      <w:r w:rsidRPr="007D02B6">
        <w:rPr>
          <w:rFonts w:ascii="Tahoma" w:hAnsi="Tahoma" w:cs="Tahoma"/>
          <w:spacing w:val="8"/>
          <w:sz w:val="22"/>
          <w:szCs w:val="22"/>
          <w:lang w:val="es-ES" w:eastAsia="es-ES"/>
        </w:rPr>
        <w:t>de la Administración sino un mandato de Ley que debe el CTP cumplir.</w:t>
      </w:r>
    </w:p>
    <w:p w:rsidR="00F833FF" w:rsidRDefault="00B0536B">
      <w:pPr>
        <w:kinsoku w:val="0"/>
        <w:overflowPunct w:val="0"/>
        <w:autoSpaceDE/>
        <w:autoSpaceDN/>
        <w:adjustRightInd/>
        <w:spacing w:before="299" w:line="287" w:lineRule="exact"/>
        <w:ind w:left="720" w:right="792"/>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La Ley N° 8279, Ley del "Sistema Nacional para la Calidad" </w:t>
      </w:r>
      <w:r>
        <w:rPr>
          <w:rFonts w:ascii="Tahoma" w:hAnsi="Tahoma" w:cs="Tahoma"/>
          <w:sz w:val="22"/>
          <w:szCs w:val="22"/>
          <w:lang w:val="es-ES" w:eastAsia="es-ES"/>
        </w:rPr>
        <w:t>establece en su artículo 32 lo siguiente:</w:t>
      </w:r>
    </w:p>
    <w:p w:rsidR="00F833FF" w:rsidRDefault="00B0536B">
      <w:pPr>
        <w:kinsoku w:val="0"/>
        <w:overflowPunct w:val="0"/>
        <w:autoSpaceDE/>
        <w:autoSpaceDN/>
        <w:adjustRightInd/>
        <w:spacing w:before="304" w:line="301" w:lineRule="exact"/>
        <w:ind w:left="1008" w:right="792"/>
        <w:jc w:val="both"/>
        <w:textAlignment w:val="baseline"/>
        <w:rPr>
          <w:rFonts w:ascii="Tahoma" w:hAnsi="Tahoma" w:cs="Tahoma"/>
          <w:spacing w:val="8"/>
          <w:sz w:val="22"/>
          <w:szCs w:val="22"/>
          <w:lang w:val="es-ES" w:eastAsia="es-ES"/>
        </w:rPr>
      </w:pPr>
      <w:r>
        <w:rPr>
          <w:rFonts w:ascii="Verdana" w:hAnsi="Verdana" w:cs="Verdana"/>
          <w:b/>
          <w:bCs/>
          <w:spacing w:val="8"/>
          <w:sz w:val="21"/>
          <w:szCs w:val="21"/>
          <w:lang w:val="es-ES" w:eastAsia="es-ES"/>
        </w:rPr>
        <w:t xml:space="preserve">"Artículo 34.- Servicios a las Entidades Públicas: </w:t>
      </w:r>
      <w:r>
        <w:rPr>
          <w:rFonts w:ascii="Tahoma" w:hAnsi="Tahoma" w:cs="Tahoma"/>
          <w:spacing w:val="8"/>
          <w:sz w:val="22"/>
          <w:szCs w:val="22"/>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F833FF" w:rsidRDefault="00B0536B">
      <w:pPr>
        <w:kinsoku w:val="0"/>
        <w:overflowPunct w:val="0"/>
        <w:autoSpaceDE/>
        <w:autoSpaceDN/>
        <w:adjustRightInd/>
        <w:spacing w:before="378" w:line="288" w:lineRule="exact"/>
        <w:ind w:left="1008"/>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Los laboratorios estatales deberán acreditarse ante el ECA, de</w:t>
      </w:r>
    </w:p>
    <w:p w:rsidR="00F833FF" w:rsidRDefault="00F833FF">
      <w:pPr>
        <w:widowControl/>
        <w:rPr>
          <w:sz w:val="24"/>
          <w:szCs w:val="24"/>
        </w:rPr>
        <w:sectPr w:rsidR="00F833FF">
          <w:pgSz w:w="12274" w:h="15725"/>
          <w:pgMar w:top="2100" w:right="1709" w:bottom="162" w:left="1565" w:header="720" w:footer="720" w:gutter="0"/>
          <w:cols w:space="720"/>
          <w:noEndnote/>
        </w:sectPr>
      </w:pPr>
    </w:p>
    <w:p w:rsidR="00F833FF" w:rsidRDefault="00B0536B">
      <w:pPr>
        <w:kinsoku w:val="0"/>
        <w:overflowPunct w:val="0"/>
        <w:autoSpaceDE/>
        <w:autoSpaceDN/>
        <w:adjustRightInd/>
        <w:spacing w:before="8" w:line="266" w:lineRule="exact"/>
        <w:ind w:left="1008"/>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conformidad con el reglamento respectivo".</w:t>
      </w:r>
    </w:p>
    <w:p w:rsidR="00F833FF" w:rsidRDefault="00B0536B">
      <w:pPr>
        <w:kinsoku w:val="0"/>
        <w:overflowPunct w:val="0"/>
        <w:autoSpaceDE/>
        <w:autoSpaceDN/>
        <w:adjustRightInd/>
        <w:spacing w:before="288" w:line="300" w:lineRule="exact"/>
        <w:ind w:left="720" w:right="79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1"/>
          <w:sz w:val="21"/>
          <w:szCs w:val="21"/>
          <w:lang w:val="es-ES" w:eastAsia="es-ES"/>
        </w:rPr>
        <w:t xml:space="preserve">POR TANTO sexto </w:t>
      </w:r>
      <w:r>
        <w:rPr>
          <w:rFonts w:ascii="Tahoma" w:hAnsi="Tahoma" w:cs="Tahoma"/>
          <w:spacing w:val="11"/>
          <w:sz w:val="22"/>
          <w:szCs w:val="22"/>
          <w:lang w:val="es-ES" w:eastAsia="es-ES"/>
        </w:rPr>
        <w:t>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F833FF" w:rsidRDefault="00B0536B">
      <w:pPr>
        <w:kinsoku w:val="0"/>
        <w:overflowPunct w:val="0"/>
        <w:autoSpaceDE/>
        <w:autoSpaceDN/>
        <w:adjustRightInd/>
        <w:spacing w:before="300" w:line="300" w:lineRule="exact"/>
        <w:ind w:left="144" w:right="14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Así las cosas, según lo referido, la actuación administrativa reprochada, se encuentra ajustada en un todo en el ordenamiento jurídico, y persisten razones de legalidad y de interés público para su aplicación.</w:t>
      </w:r>
    </w:p>
    <w:p w:rsidR="00F833FF" w:rsidRDefault="00B0536B">
      <w:pPr>
        <w:kinsoku w:val="0"/>
        <w:overflowPunct w:val="0"/>
        <w:autoSpaceDE/>
        <w:autoSpaceDN/>
        <w:adjustRightInd/>
        <w:spacing w:before="587" w:line="300"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F833FF" w:rsidRDefault="00B0536B">
      <w:pPr>
        <w:kinsoku w:val="0"/>
        <w:overflowPunct w:val="0"/>
        <w:autoSpaceDE/>
        <w:autoSpaceDN/>
        <w:adjustRightInd/>
        <w:spacing w:before="321" w:line="300"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Según el devenir del tema relativo a la utilización de organismos acreditados ante el ECA a efecto de la realización de los estudios de control de calidad de las empresas </w:t>
      </w:r>
      <w:r>
        <w:rPr>
          <w:rFonts w:ascii="Tahoma" w:hAnsi="Tahoma" w:cs="Tahoma"/>
          <w:i/>
          <w:iCs/>
          <w:spacing w:val="18"/>
          <w:sz w:val="22"/>
          <w:szCs w:val="22"/>
          <w:lang w:val="es-ES" w:eastAsia="es-ES"/>
        </w:rPr>
        <w:t xml:space="preserve">(sentido laxo) </w:t>
      </w:r>
      <w:r>
        <w:rPr>
          <w:rFonts w:ascii="Tahoma" w:hAnsi="Tahoma" w:cs="Tahoma"/>
          <w:spacing w:val="18"/>
          <w:sz w:val="22"/>
          <w:szCs w:val="22"/>
          <w:lang w:val="es-ES" w:eastAsia="es-ES"/>
        </w:rPr>
        <w:t xml:space="preserve">operadoras del Servicio Público de Transporte Remunerado de Personas, en su Modalidad de Autobuses, y </w:t>
      </w:r>
      <w:r>
        <w:rPr>
          <w:rFonts w:ascii="Verdana" w:hAnsi="Verdana" w:cs="Verdana"/>
          <w:b/>
          <w:bCs/>
          <w:i/>
          <w:iCs/>
          <w:spacing w:val="18"/>
          <w:sz w:val="21"/>
          <w:szCs w:val="21"/>
          <w:lang w:val="es-ES" w:eastAsia="es-ES"/>
        </w:rPr>
        <w:t xml:space="preserve">SOBRE EL TIPO DE ACREDITACIÓN QUE LOS MISMOS DEBERÍAN DE TENER. </w:t>
      </w:r>
      <w:r>
        <w:rPr>
          <w:rFonts w:ascii="Tahoma" w:hAnsi="Tahoma" w:cs="Tahoma"/>
          <w:spacing w:val="18"/>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F833FF" w:rsidRDefault="00B0536B">
      <w:pPr>
        <w:kinsoku w:val="0"/>
        <w:overflowPunct w:val="0"/>
        <w:autoSpaceDE/>
        <w:autoSpaceDN/>
        <w:adjustRightInd/>
        <w:spacing w:before="307" w:line="300"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w:t>
      </w:r>
    </w:p>
    <w:p w:rsidR="00F833FF" w:rsidRDefault="00F833FF">
      <w:pPr>
        <w:widowControl/>
        <w:rPr>
          <w:sz w:val="24"/>
          <w:szCs w:val="24"/>
        </w:rPr>
        <w:sectPr w:rsidR="00F833FF">
          <w:pgSz w:w="12274" w:h="15725"/>
          <w:pgMar w:top="1900" w:right="1769" w:bottom="289" w:left="1505" w:header="720" w:footer="720" w:gutter="0"/>
          <w:cols w:space="720"/>
          <w:noEndnote/>
        </w:sectPr>
      </w:pPr>
    </w:p>
    <w:p w:rsidR="00F833FF" w:rsidRDefault="00B0536B">
      <w:pPr>
        <w:kinsoku w:val="0"/>
        <w:overflowPunct w:val="0"/>
        <w:autoSpaceDE/>
        <w:autoSpaceDN/>
        <w:adjustRightInd/>
        <w:spacing w:line="291" w:lineRule="exact"/>
        <w:ind w:left="144" w:right="216"/>
        <w:jc w:val="both"/>
        <w:textAlignment w:val="baseline"/>
        <w:rPr>
          <w:rFonts w:ascii="Verdana" w:hAnsi="Verdana" w:cs="Verdana"/>
          <w:b/>
          <w:bCs/>
          <w:sz w:val="21"/>
          <w:szCs w:val="21"/>
          <w:lang w:val="es-ES" w:eastAsia="es-ES"/>
        </w:rPr>
      </w:pPr>
      <w:r>
        <w:rPr>
          <w:rFonts w:ascii="Tahoma" w:hAnsi="Tahoma" w:cs="Tahoma"/>
          <w:sz w:val="22"/>
          <w:szCs w:val="22"/>
          <w:lang w:val="es-ES" w:eastAsia="es-ES"/>
        </w:rPr>
        <w:t xml:space="preserve">estudios o verificaciones de control de calidad los pudieran hacer empresas </w:t>
      </w:r>
      <w:r>
        <w:rPr>
          <w:rFonts w:ascii="Verdana" w:hAnsi="Verdana" w:cs="Verdana"/>
          <w:b/>
          <w:bCs/>
          <w:sz w:val="21"/>
          <w:szCs w:val="21"/>
          <w:lang w:val="es-ES" w:eastAsia="es-ES"/>
        </w:rPr>
        <w:t xml:space="preserve">ACREDITADAS ANTE EL ECA EN LA NORMA INTE-ISO/IEC 17020 </w:t>
      </w:r>
      <w:r>
        <w:rPr>
          <w:rFonts w:ascii="Verdana" w:hAnsi="Verdana" w:cs="Verdana"/>
          <w:b/>
          <w:bCs/>
          <w:i/>
          <w:iCs/>
          <w:sz w:val="21"/>
          <w:szCs w:val="21"/>
          <w:lang w:val="es-ES" w:eastAsia="es-ES"/>
        </w:rPr>
        <w:t xml:space="preserve">(Ver el Artículo 7 18 de la Sesión Ordinaria 23-2017 del 07 de junio del 2017 de la Junta Directiva del CTP). </w:t>
      </w:r>
      <w:r>
        <w:rPr>
          <w:rFonts w:ascii="Verdana" w:hAnsi="Verdana" w:cs="Verdana"/>
          <w:b/>
          <w:bCs/>
          <w:sz w:val="21"/>
          <w:szCs w:val="21"/>
          <w:lang w:val="es-ES" w:eastAsia="es-ES"/>
        </w:rPr>
        <w:t>Aspecto que hoy se Cuestiona.</w:t>
      </w:r>
    </w:p>
    <w:p w:rsidR="00F833FF" w:rsidRDefault="00B0536B">
      <w:pPr>
        <w:kinsoku w:val="0"/>
        <w:overflowPunct w:val="0"/>
        <w:autoSpaceDE/>
        <w:autoSpaceDN/>
        <w:adjustRightInd/>
        <w:spacing w:before="291" w:line="303" w:lineRule="exact"/>
        <w:ind w:left="144" w:right="216"/>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Han habido diversos criterios y posiciones sobre este aspecto y la gerencia del Ente Costarricense de Acreditación (ECA) emitió diversos juicios. Así como su Junta Directiva y su Presidencia.</w:t>
      </w:r>
    </w:p>
    <w:p w:rsidR="00F833FF" w:rsidRDefault="00B0536B">
      <w:pPr>
        <w:kinsoku w:val="0"/>
        <w:overflowPunct w:val="0"/>
        <w:autoSpaceDE/>
        <w:autoSpaceDN/>
        <w:adjustRightInd/>
        <w:spacing w:before="285" w:line="303" w:lineRule="exact"/>
        <w:ind w:left="144" w:right="216"/>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w:t>
      </w:r>
      <w:r>
        <w:rPr>
          <w:rFonts w:ascii="Arial" w:hAnsi="Arial" w:cs="Arial"/>
          <w:spacing w:val="18"/>
          <w:sz w:val="22"/>
          <w:szCs w:val="22"/>
          <w:vertAlign w:val="superscript"/>
          <w:lang w:val="es-ES" w:eastAsia="es-ES"/>
        </w:rPr>
        <w:t>.</w:t>
      </w:r>
      <w:r>
        <w:rPr>
          <w:rFonts w:ascii="Tahoma" w:hAnsi="Tahoma" w:cs="Tahoma"/>
          <w:spacing w:val="18"/>
          <w:sz w:val="22"/>
          <w:szCs w:val="22"/>
          <w:lang w:val="es-ES" w:eastAsia="es-ES"/>
        </w:rPr>
        <w:t xml:space="preserve"> Público como base para emitir la actuación que se objeta, bien se ha referido a la temática y se ha explicado:</w:t>
      </w:r>
    </w:p>
    <w:p w:rsidR="00F833FF" w:rsidRDefault="00B0536B">
      <w:pPr>
        <w:kinsoku w:val="0"/>
        <w:overflowPunct w:val="0"/>
        <w:autoSpaceDE/>
        <w:autoSpaceDN/>
        <w:adjustRightInd/>
        <w:spacing w:before="309" w:line="299" w:lineRule="exact"/>
        <w:ind w:left="720" w:right="792"/>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este sentido, consta tal y como se dijo antes, la respuesta del Ente Costarricense de Acreditación, en cuanto a que los </w:t>
      </w:r>
      <w:r>
        <w:rPr>
          <w:rFonts w:ascii="Verdana" w:hAnsi="Verdana" w:cs="Verdana"/>
          <w:b/>
          <w:bCs/>
          <w:i/>
          <w:iCs/>
          <w:sz w:val="21"/>
          <w:szCs w:val="21"/>
          <w:lang w:val="es-ES" w:eastAsia="es-ES"/>
        </w:rPr>
        <w:t>"organismos de inspección acreditados ante el ECA pueden utilizar la plataforma de su sistema de gestión basado en,la norma INTE-ISO/IEC 17020 y adaptarlo a otros servicios de inspección, dependiendo de los requerimientos de cada cliente.</w:t>
      </w:r>
    </w:p>
    <w:p w:rsidR="00F833FF" w:rsidRDefault="00B0536B">
      <w:pPr>
        <w:kinsoku w:val="0"/>
        <w:overflowPunct w:val="0"/>
        <w:autoSpaceDE/>
        <w:autoSpaceDN/>
        <w:adjustRightInd/>
        <w:spacing w:before="288" w:line="298" w:lineRule="exact"/>
        <w:ind w:left="720"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F833FF" w:rsidRDefault="00B0536B">
      <w:pPr>
        <w:kinsoku w:val="0"/>
        <w:overflowPunct w:val="0"/>
        <w:autoSpaceDE/>
        <w:autoSpaceDN/>
        <w:adjustRightInd/>
        <w:spacing w:before="340" w:line="303" w:lineRule="exact"/>
        <w:ind w:left="720" w:right="79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w:t>
      </w:r>
    </w:p>
    <w:p w:rsidR="00F833FF" w:rsidRDefault="00F833FF">
      <w:pPr>
        <w:widowControl/>
        <w:rPr>
          <w:sz w:val="24"/>
          <w:szCs w:val="24"/>
        </w:rPr>
        <w:sectPr w:rsidR="00F833FF">
          <w:pgSz w:w="12274" w:h="15744"/>
          <w:pgMar w:top="2180" w:right="1704" w:bottom="162" w:left="1570" w:header="720" w:footer="720" w:gutter="0"/>
          <w:cols w:space="720"/>
          <w:noEndnote/>
        </w:sectPr>
      </w:pPr>
    </w:p>
    <w:p w:rsidR="00F833FF" w:rsidRDefault="00B0536B">
      <w:pPr>
        <w:kinsoku w:val="0"/>
        <w:overflowPunct w:val="0"/>
        <w:autoSpaceDE/>
        <w:autoSpaceDN/>
        <w:adjustRightInd/>
        <w:spacing w:line="299"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F833FF" w:rsidRDefault="00B0536B">
      <w:pPr>
        <w:kinsoku w:val="0"/>
        <w:overflowPunct w:val="0"/>
        <w:autoSpaceDE/>
        <w:autoSpaceDN/>
        <w:adjustRightInd/>
        <w:spacing w:before="300" w:line="300" w:lineRule="exact"/>
        <w:ind w:left="144" w:right="144"/>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Unido a lo anterior, el Consejo de Transporte Público mediante el oficio No. </w:t>
      </w:r>
      <w:r>
        <w:rPr>
          <w:rFonts w:ascii="Verdana" w:hAnsi="Verdana" w:cs="Verdana"/>
          <w:b/>
          <w:bCs/>
          <w:sz w:val="21"/>
          <w:szCs w:val="21"/>
          <w:lang w:val="es-ES" w:eastAsia="es-ES"/>
        </w:rPr>
        <w:t xml:space="preserve">DE-2016-2863 del 07 de octubre del 2016, </w:t>
      </w:r>
      <w:r>
        <w:rPr>
          <w:rFonts w:ascii="Verdana" w:hAnsi="Verdana" w:cs="Verdana"/>
          <w:sz w:val="21"/>
          <w:szCs w:val="21"/>
          <w:lang w:val="es-ES" w:eastAsia="es-ES"/>
        </w:rPr>
        <w:t xml:space="preserve">consultó expresamente al Ente Costarricense de Acreditación (ECA), entre varios aspectos, </w:t>
      </w:r>
      <w:r>
        <w:rPr>
          <w:rFonts w:ascii="Verdana" w:hAnsi="Verdana" w:cs="Verdana"/>
          <w:b/>
          <w:bCs/>
          <w:sz w:val="21"/>
          <w:szCs w:val="21"/>
          <w:u w:val="single"/>
          <w:lang w:val="es-ES" w:eastAsia="es-ES"/>
        </w:rPr>
        <w:t xml:space="preserve">que sí tratándose  de la materia de transporte público es posible </w:t>
      </w:r>
      <w:r w:rsidR="007D02B6">
        <w:rPr>
          <w:rFonts w:ascii="Verdana" w:hAnsi="Verdana" w:cs="Verdana"/>
          <w:b/>
          <w:bCs/>
          <w:sz w:val="21"/>
          <w:szCs w:val="21"/>
          <w:u w:val="single"/>
          <w:lang w:val="es-ES" w:eastAsia="es-ES"/>
        </w:rPr>
        <w:t>q</w:t>
      </w:r>
      <w:r>
        <w:rPr>
          <w:rFonts w:ascii="Verdana" w:hAnsi="Verdana" w:cs="Verdana"/>
          <w:b/>
          <w:bCs/>
          <w:sz w:val="21"/>
          <w:szCs w:val="21"/>
          <w:u w:val="single"/>
          <w:lang w:val="es-ES" w:eastAsia="es-ES"/>
        </w:rPr>
        <w:t xml:space="preserve">ue un organismo de  inspección acreditado, realice los estudios de conformidad, a partir de  la aplicación del Manual v Disposiciones Generales aue constituyen las Políticas v guía para evaluar la calidad? v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Verdana" w:hAnsi="Verdana" w:cs="Verdana"/>
          <w:sz w:val="21"/>
          <w:szCs w:val="21"/>
          <w:lang w:val="es-ES" w:eastAsia="es-ES"/>
        </w:rPr>
        <w:t xml:space="preserve"> Ante dicha consulta, con el oficio No. </w:t>
      </w:r>
      <w:r>
        <w:rPr>
          <w:rFonts w:ascii="Verdana" w:hAnsi="Verdana" w:cs="Verdana"/>
          <w:b/>
          <w:bCs/>
          <w:sz w:val="21"/>
          <w:szCs w:val="21"/>
          <w:lang w:val="es-ES" w:eastAsia="es-ES"/>
        </w:rPr>
        <w:t xml:space="preserve">ECA-G-2016-235 del 11 de octubre del 2016; </w:t>
      </w:r>
      <w:r>
        <w:rPr>
          <w:rFonts w:ascii="Verdana" w:hAnsi="Verdana" w:cs="Verdana"/>
          <w:sz w:val="21"/>
          <w:szCs w:val="21"/>
          <w:lang w:val="es-ES" w:eastAsia="es-ES"/>
        </w:rPr>
        <w:t xml:space="preserve">la Gerencia de dicho ente, expresó que; </w:t>
      </w:r>
      <w:r>
        <w:rPr>
          <w:rFonts w:ascii="Verdana" w:hAnsi="Verdana" w:cs="Verdana"/>
          <w:b/>
          <w:bCs/>
          <w:i/>
          <w:iCs/>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Verdana" w:hAnsi="Verdana" w:cs="Verdana"/>
          <w:sz w:val="21"/>
          <w:szCs w:val="21"/>
          <w:lang w:val="es-ES" w:eastAsia="es-ES"/>
        </w:rPr>
        <w:t xml:space="preserve">Y también, agregó el ECA, que; </w:t>
      </w:r>
      <w:r>
        <w:rPr>
          <w:rFonts w:ascii="Verdana" w:hAnsi="Verdana" w:cs="Verdana"/>
          <w:b/>
          <w:bCs/>
          <w:i/>
          <w:iCs/>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F833FF" w:rsidRDefault="00B0536B">
      <w:pPr>
        <w:kinsoku w:val="0"/>
        <w:overflowPunct w:val="0"/>
        <w:autoSpaceDE/>
        <w:autoSpaceDN/>
        <w:adjustRightInd/>
        <w:spacing w:before="317" w:line="300" w:lineRule="exact"/>
        <w:ind w:left="144"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 xml:space="preserve">Y como corolario a lo antes expresado, mediante </w:t>
      </w:r>
      <w:r>
        <w:rPr>
          <w:rFonts w:ascii="Verdana" w:hAnsi="Verdana" w:cs="Verdana"/>
          <w:b/>
          <w:bCs/>
          <w:spacing w:val="10"/>
          <w:sz w:val="21"/>
          <w:szCs w:val="21"/>
          <w:lang w:val="es-ES" w:eastAsia="es-ES"/>
        </w:rPr>
        <w:t xml:space="preserve">Oficio No. ECA-PJD-OF-006-2017 del 11 de Agosto del 2017, </w:t>
      </w:r>
      <w:r>
        <w:rPr>
          <w:rFonts w:ascii="Verdana" w:hAnsi="Verdana" w:cs="Verdana"/>
          <w:spacing w:val="10"/>
          <w:sz w:val="21"/>
          <w:szCs w:val="21"/>
          <w:lang w:val="es-ES" w:eastAsia="es-ES"/>
        </w:rPr>
        <w:t xml:space="preserve">firmado por la presidenta de la Junta Directiva del </w:t>
      </w:r>
      <w:r>
        <w:rPr>
          <w:rFonts w:ascii="Verdana" w:hAnsi="Verdana" w:cs="Verdana"/>
          <w:b/>
          <w:bCs/>
          <w:spacing w:val="10"/>
          <w:sz w:val="21"/>
          <w:szCs w:val="21"/>
          <w:lang w:val="es-ES" w:eastAsia="es-ES"/>
        </w:rPr>
        <w:t xml:space="preserve">ECA </w:t>
      </w:r>
      <w:r>
        <w:rPr>
          <w:rFonts w:ascii="Verdana" w:hAnsi="Verdana" w:cs="Verdana"/>
          <w:spacing w:val="10"/>
          <w:sz w:val="21"/>
          <w:szCs w:val="21"/>
          <w:lang w:val="es-ES" w:eastAsia="es-ES"/>
        </w:rPr>
        <w:t>y comunicando un acuerdo de su Sesión No. JDE-008-2017 del 10 de Agosto del 2017, señaló lo siguiente:</w:t>
      </w:r>
    </w:p>
    <w:p w:rsidR="00F833FF" w:rsidRDefault="00F833FF">
      <w:pPr>
        <w:widowControl/>
        <w:rPr>
          <w:sz w:val="24"/>
          <w:szCs w:val="24"/>
        </w:rPr>
        <w:sectPr w:rsidR="00F833FF">
          <w:pgSz w:w="12274" w:h="15744"/>
          <w:pgMar w:top="1900" w:right="1774" w:bottom="268" w:left="1500" w:header="720" w:footer="720" w:gutter="0"/>
          <w:cols w:space="720"/>
          <w:noEndnote/>
        </w:sectPr>
      </w:pPr>
    </w:p>
    <w:p w:rsidR="00F833FF" w:rsidRDefault="00B0536B">
      <w:pPr>
        <w:kinsoku w:val="0"/>
        <w:overflowPunct w:val="0"/>
        <w:autoSpaceDE/>
        <w:autoSpaceDN/>
        <w:adjustRightInd/>
        <w:spacing w:line="299" w:lineRule="exact"/>
        <w:ind w:left="720" w:right="79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..."La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F833FF" w:rsidRDefault="00B0536B">
      <w:pPr>
        <w:kinsoku w:val="0"/>
        <w:overflowPunct w:val="0"/>
        <w:autoSpaceDE/>
        <w:autoSpaceDN/>
        <w:adjustRightInd/>
        <w:spacing w:before="309" w:line="301" w:lineRule="exact"/>
        <w:ind w:left="720" w:right="792"/>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Se reitera que le ECA es el único ente competente a nivel nacional para llevar a cabo las actividades de acreditación, de conformidad con el artículo 21 de la Ley N° 8279, de manera transparente y confiable, con la meta de mantener un Sistema de Calidad sostenible y robusto a largo plazo..</w:t>
      </w:r>
    </w:p>
    <w:p w:rsidR="00F833FF" w:rsidRDefault="00B0536B">
      <w:pPr>
        <w:kinsoku w:val="0"/>
        <w:overflowPunct w:val="0"/>
        <w:autoSpaceDE/>
        <w:autoSpaceDN/>
        <w:adjustRightInd/>
        <w:spacing w:before="326" w:line="296" w:lineRule="exact"/>
        <w:ind w:left="720" w:right="792"/>
        <w:jc w:val="both"/>
        <w:textAlignment w:val="baseline"/>
        <w:rPr>
          <w:rFonts w:ascii="Tahoma" w:hAnsi="Tahoma" w:cs="Tahoma"/>
          <w:spacing w:val="18"/>
          <w:sz w:val="22"/>
          <w:szCs w:val="22"/>
          <w:lang w:val="es-ES" w:eastAsia="es-ES"/>
        </w:rPr>
      </w:pPr>
      <w:r>
        <w:rPr>
          <w:rFonts w:ascii="Tahoma" w:hAnsi="Tahoma" w:cs="Tahoma"/>
          <w:b/>
          <w:bCs/>
          <w:spacing w:val="18"/>
          <w:sz w:val="22"/>
          <w:szCs w:val="22"/>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Tahoma" w:hAnsi="Tahoma" w:cs="Tahoma"/>
          <w:spacing w:val="18"/>
          <w:sz w:val="22"/>
          <w:szCs w:val="22"/>
          <w:lang w:val="es-ES" w:eastAsia="es-ES"/>
        </w:rPr>
        <w:t>(la negrilla es nuestra)</w:t>
      </w:r>
    </w:p>
    <w:p w:rsidR="00F833FF" w:rsidRDefault="00B0536B">
      <w:pPr>
        <w:kinsoku w:val="0"/>
        <w:overflowPunct w:val="0"/>
        <w:autoSpaceDE/>
        <w:autoSpaceDN/>
        <w:adjustRightInd/>
        <w:spacing w:before="294" w:line="287" w:lineRule="exact"/>
        <w:ind w:left="144" w:right="144"/>
        <w:jc w:val="both"/>
        <w:textAlignment w:val="baseline"/>
        <w:rPr>
          <w:rFonts w:ascii="Tahoma" w:hAnsi="Tahoma" w:cs="Tahoma"/>
          <w:b/>
          <w:bCs/>
          <w:spacing w:val="13"/>
          <w:sz w:val="22"/>
          <w:szCs w:val="22"/>
          <w:lang w:val="es-ES" w:eastAsia="es-ES"/>
        </w:rPr>
      </w:pPr>
      <w:r>
        <w:rPr>
          <w:rFonts w:ascii="Tahoma" w:hAnsi="Tahoma" w:cs="Tahoma"/>
          <w:spacing w:val="13"/>
          <w:sz w:val="22"/>
          <w:szCs w:val="22"/>
          <w:lang w:val="es-ES" w:eastAsia="es-ES"/>
        </w:rPr>
        <w:t xml:space="preserve">Por ende, no hay vicio alguno en la gestión de verificación de control de calidad por empresas </w:t>
      </w:r>
      <w:r>
        <w:rPr>
          <w:rFonts w:ascii="Tahoma" w:hAnsi="Tahoma" w:cs="Tahoma"/>
          <w:b/>
          <w:bCs/>
          <w:spacing w:val="13"/>
          <w:sz w:val="22"/>
          <w:szCs w:val="22"/>
          <w:lang w:val="es-ES" w:eastAsia="es-ES"/>
        </w:rPr>
        <w:t>ACREDITADAS ANTE EL ECA EN LA NORMA INTE-ISO/IEC 17020.</w:t>
      </w:r>
    </w:p>
    <w:p w:rsidR="00F833FF" w:rsidRDefault="00B0536B">
      <w:pPr>
        <w:kinsoku w:val="0"/>
        <w:overflowPunct w:val="0"/>
        <w:autoSpaceDE/>
        <w:autoSpaceDN/>
        <w:adjustRightInd/>
        <w:spacing w:before="327" w:line="287"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F833FF" w:rsidRDefault="00B0536B">
      <w:pPr>
        <w:kinsoku w:val="0"/>
        <w:overflowPunct w:val="0"/>
        <w:autoSpaceDE/>
        <w:autoSpaceDN/>
        <w:adjustRightInd/>
        <w:spacing w:before="349" w:line="301" w:lineRule="exact"/>
        <w:ind w:left="144" w:right="144"/>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F833FF" w:rsidRDefault="00B0536B">
      <w:pPr>
        <w:kinsoku w:val="0"/>
        <w:overflowPunct w:val="0"/>
        <w:autoSpaceDE/>
        <w:autoSpaceDN/>
        <w:adjustRightInd/>
        <w:spacing w:before="290" w:line="304" w:lineRule="exact"/>
        <w:ind w:left="720" w:right="792"/>
        <w:jc w:val="both"/>
        <w:textAlignment w:val="baseline"/>
        <w:rPr>
          <w:rFonts w:ascii="Verdana" w:hAnsi="Verdana" w:cs="Verdana"/>
          <w:b/>
          <w:bCs/>
          <w:i/>
          <w:iCs/>
          <w:sz w:val="21"/>
          <w:szCs w:val="21"/>
          <w:u w:val="single"/>
          <w:lang w:val="es-ES" w:eastAsia="es-ES"/>
        </w:rPr>
      </w:pPr>
      <w:r>
        <w:rPr>
          <w:rFonts w:ascii="Verdana" w:hAnsi="Verdana" w:cs="Verdana"/>
          <w:b/>
          <w:bCs/>
          <w:i/>
          <w:iCs/>
          <w:sz w:val="21"/>
          <w:szCs w:val="21"/>
          <w:u w:val="single"/>
          <w:lang w:val="es-ES" w:eastAsia="es-ES"/>
        </w:rPr>
        <w:t>..."Se establecen las Excepciones y dispensas del requisito de contratación de Organismos de Inspección Acreditados ante el</w:t>
      </w:r>
    </w:p>
    <w:p w:rsidR="00F833FF" w:rsidRDefault="00F833FF">
      <w:pPr>
        <w:widowControl/>
        <w:rPr>
          <w:sz w:val="24"/>
          <w:szCs w:val="24"/>
        </w:rPr>
        <w:sectPr w:rsidR="00F833FF">
          <w:pgSz w:w="12278" w:h="15725"/>
          <w:pgMar w:top="2100" w:right="1703" w:bottom="162" w:left="1575" w:header="720" w:footer="720" w:gutter="0"/>
          <w:cols w:space="720"/>
          <w:noEndnote/>
        </w:sectPr>
      </w:pPr>
    </w:p>
    <w:p w:rsidR="00F833FF" w:rsidRDefault="00B0536B">
      <w:pPr>
        <w:kinsoku w:val="0"/>
        <w:overflowPunct w:val="0"/>
        <w:autoSpaceDE/>
        <w:autoSpaceDN/>
        <w:adjustRightInd/>
        <w:spacing w:before="57" w:line="262" w:lineRule="exact"/>
        <w:jc w:val="both"/>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ECA para el año 2017,</w:t>
      </w:r>
      <w:r>
        <w:rPr>
          <w:rFonts w:ascii="Verdana" w:hAnsi="Verdana" w:cs="Verdana"/>
          <w:i/>
          <w:iCs/>
          <w:sz w:val="21"/>
          <w:szCs w:val="21"/>
          <w:lang w:val="es-ES" w:eastAsia="es-ES"/>
        </w:rPr>
        <w:t xml:space="preserve"> considerando que en</w:t>
      </w:r>
      <w:r w:rsidR="007D02B6">
        <w:rPr>
          <w:rFonts w:ascii="Verdana" w:hAnsi="Verdana" w:cs="Verdana"/>
          <w:i/>
          <w:iCs/>
          <w:sz w:val="21"/>
          <w:szCs w:val="21"/>
          <w:lang w:val="es-ES" w:eastAsia="es-ES"/>
        </w:rPr>
        <w:t xml:space="preserve"> </w:t>
      </w:r>
      <w:r>
        <w:rPr>
          <w:rFonts w:ascii="Verdana" w:hAnsi="Verdana" w:cs="Verdana"/>
          <w:i/>
          <w:iCs/>
          <w:sz w:val="21"/>
          <w:szCs w:val="21"/>
          <w:lang w:val="es-ES" w:eastAsia="es-ES"/>
        </w:rPr>
        <w:t>apego a los criterios de</w:t>
      </w:r>
    </w:p>
    <w:p w:rsidR="00F833FF" w:rsidRDefault="00B0536B">
      <w:pPr>
        <w:tabs>
          <w:tab w:val="left" w:pos="7056"/>
        </w:tabs>
        <w:kinsoku w:val="0"/>
        <w:overflowPunct w:val="0"/>
        <w:autoSpaceDE/>
        <w:autoSpaceDN/>
        <w:adjustRightInd/>
        <w:spacing w:before="39" w:line="297" w:lineRule="exact"/>
        <w:ind w:right="648"/>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t>razonabilidad y proporcionalidad que rigen la materia,</w:t>
      </w:r>
      <w:r w:rsidR="007D02B6">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la imposibilidad de aplicar la evaluación de inconformidad contratando Organismos de  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F833FF" w:rsidRDefault="00B0536B">
      <w:pPr>
        <w:numPr>
          <w:ilvl w:val="0"/>
          <w:numId w:val="26"/>
        </w:numPr>
        <w:kinsoku w:val="0"/>
        <w:overflowPunct w:val="0"/>
        <w:autoSpaceDE/>
        <w:autoSpaceDN/>
        <w:adjustRightInd/>
        <w:spacing w:before="306" w:line="298"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F833FF" w:rsidRDefault="00B0536B">
      <w:pPr>
        <w:numPr>
          <w:ilvl w:val="0"/>
          <w:numId w:val="26"/>
        </w:numPr>
        <w:kinsoku w:val="0"/>
        <w:overflowPunct w:val="0"/>
        <w:autoSpaceDE/>
        <w:autoSpaceDN/>
        <w:adjustRightInd/>
        <w:spacing w:line="29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F833FF" w:rsidRDefault="00B0536B">
      <w:pPr>
        <w:numPr>
          <w:ilvl w:val="0"/>
          <w:numId w:val="26"/>
        </w:numPr>
        <w:kinsoku w:val="0"/>
        <w:overflowPunct w:val="0"/>
        <w:autoSpaceDE/>
        <w:autoSpaceDN/>
        <w:adjustRightInd/>
        <w:spacing w:line="297"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F833FF" w:rsidRDefault="00B0536B">
      <w:pPr>
        <w:kinsoku w:val="0"/>
        <w:overflowPunct w:val="0"/>
        <w:autoSpaceDE/>
        <w:autoSpaceDN/>
        <w:adjustRightInd/>
        <w:spacing w:before="306" w:line="30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F833FF" w:rsidRDefault="00B0536B">
      <w:pPr>
        <w:kinsoku w:val="0"/>
        <w:overflowPunct w:val="0"/>
        <w:autoSpaceDE/>
        <w:autoSpaceDN/>
        <w:adjustRightInd/>
        <w:spacing w:before="325" w:line="298"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Una vez recibida la gestión en la que se alegue la imposibilidad de contratar un ente acreditado ante el CTP, éste</w:t>
      </w:r>
      <w:r w:rsidR="007D02B6">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contará con un </w:t>
      </w:r>
      <w:r>
        <w:rPr>
          <w:rFonts w:ascii="Verdana" w:hAnsi="Verdana" w:cs="Verdana"/>
          <w:b/>
          <w:bCs/>
          <w:i/>
          <w:iCs/>
          <w:sz w:val="21"/>
          <w:szCs w:val="21"/>
          <w:u w:val="single"/>
          <w:lang w:val="es-ES" w:eastAsia="es-ES"/>
        </w:rPr>
        <w:t>plazo máximo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w:t>
      </w:r>
    </w:p>
    <w:p w:rsidR="00F833FF" w:rsidRDefault="00F833FF">
      <w:pPr>
        <w:widowControl/>
        <w:rPr>
          <w:sz w:val="24"/>
          <w:szCs w:val="24"/>
        </w:rPr>
        <w:sectPr w:rsidR="00F833FF">
          <w:pgSz w:w="12278" w:h="15725"/>
          <w:pgMar w:top="1860" w:right="1925" w:bottom="269" w:left="2213" w:header="720" w:footer="720" w:gutter="0"/>
          <w:cols w:space="720"/>
          <w:noEndnote/>
        </w:sectPr>
      </w:pPr>
    </w:p>
    <w:p w:rsidR="00F833FF" w:rsidRDefault="00B0536B">
      <w:pPr>
        <w:kinsoku w:val="0"/>
        <w:overflowPunct w:val="0"/>
        <w:autoSpaceDE/>
        <w:autoSpaceDN/>
        <w:adjustRightInd/>
        <w:spacing w:before="13" w:line="300" w:lineRule="exact"/>
        <w:ind w:left="720"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profesionales, independientes' o entes de inspección no acreditados, para la aplicación de los procesos de la evaluación de la conformidad para el año 2017."...</w:t>
      </w:r>
    </w:p>
    <w:p w:rsidR="00F833FF" w:rsidRDefault="00B0536B">
      <w:pPr>
        <w:kinsoku w:val="0"/>
        <w:overflowPunct w:val="0"/>
        <w:autoSpaceDE/>
        <w:autoSpaceDN/>
        <w:adjustRightInd/>
        <w:spacing w:before="309" w:line="300" w:lineRule="exact"/>
        <w:ind w:left="144" w:right="144"/>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Apertura o alternatividad de las cuales se determina que todos los cubiertos por el tema </w:t>
      </w:r>
      <w:r>
        <w:rPr>
          <w:rFonts w:ascii="Tahoma" w:hAnsi="Tahoma" w:cs="Tahoma"/>
          <w:b/>
          <w:bCs/>
          <w:spacing w:val="19"/>
          <w:sz w:val="22"/>
          <w:szCs w:val="22"/>
          <w:lang w:val="es-ES" w:eastAsia="es-ES"/>
        </w:rPr>
        <w:t xml:space="preserve">BIEN PODÍAN HABER APLICADO LA EXCEPCIONALIDAD QUE SE LES OTORGÓ y así NO HABER UTILIZADO ORGANISMOS O ENTES ACREDITADOS ANTE EL ECA. </w:t>
      </w:r>
      <w:r>
        <w:rPr>
          <w:rFonts w:ascii="Tahoma" w:hAnsi="Tahoma" w:cs="Tahoma"/>
          <w:spacing w:val="19"/>
          <w:sz w:val="22"/>
          <w:szCs w:val="22"/>
          <w:lang w:val="es-ES" w:eastAsia="es-ES"/>
        </w:rPr>
        <w:t xml:space="preserve">Y generando </w:t>
      </w:r>
      <w:r>
        <w:rPr>
          <w:rFonts w:ascii="Verdana" w:hAnsi="Verdana" w:cs="Verdana"/>
          <w:i/>
          <w:iCs/>
          <w:spacing w:val="19"/>
          <w:sz w:val="21"/>
          <w:szCs w:val="21"/>
          <w:lang w:val="es-ES" w:eastAsia="es-ES"/>
        </w:rPr>
        <w:t xml:space="preserve">-ciertamente- </w:t>
      </w:r>
      <w:r>
        <w:rPr>
          <w:rFonts w:ascii="Tahoma" w:hAnsi="Tahoma" w:cs="Tahoma"/>
          <w:spacing w:val="19"/>
          <w:sz w:val="22"/>
          <w:szCs w:val="22"/>
          <w:lang w:val="es-ES" w:eastAsia="es-ES"/>
        </w:rPr>
        <w:t>esa POSIBILIDAD PRECLARA la Falta de Legitimación y de Procedencia de lo Objetado en cuanto a la Temática Abordada en los Apartados 2. a -5. anteriores.</w:t>
      </w:r>
    </w:p>
    <w:p w:rsidR="00F833FF" w:rsidRDefault="00B0536B">
      <w:pPr>
        <w:kinsoku w:val="0"/>
        <w:overflowPunct w:val="0"/>
        <w:autoSpaceDE/>
        <w:autoSpaceDN/>
        <w:adjustRightInd/>
        <w:spacing w:before="340" w:line="265" w:lineRule="exact"/>
        <w:ind w:left="144"/>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Además, y sobre lo específico, este Tribunal ya había señalado:</w:t>
      </w:r>
    </w:p>
    <w:p w:rsidR="00F833FF" w:rsidRDefault="00B0536B" w:rsidP="007D02B6">
      <w:pPr>
        <w:kinsoku w:val="0"/>
        <w:overflowPunct w:val="0"/>
        <w:autoSpaceDE/>
        <w:autoSpaceDN/>
        <w:adjustRightInd/>
        <w:spacing w:before="317" w:line="300" w:lineRule="exact"/>
        <w:ind w:left="720" w:right="792"/>
        <w:jc w:val="both"/>
        <w:textAlignment w:val="baseline"/>
        <w:rPr>
          <w:rFonts w:ascii="Tahoma" w:hAnsi="Tahoma" w:cs="Tahoma"/>
          <w:spacing w:val="9"/>
          <w:sz w:val="22"/>
          <w:szCs w:val="22"/>
          <w:lang w:val="es-ES" w:eastAsia="es-ES"/>
        </w:rPr>
      </w:pPr>
      <w:r>
        <w:rPr>
          <w:rFonts w:ascii="Tahoma" w:hAnsi="Tahoma" w:cs="Tahoma"/>
          <w:spacing w:val="11"/>
          <w:sz w:val="22"/>
          <w:szCs w:val="22"/>
          <w:lang w:val="es-ES" w:eastAsia="es-ES"/>
        </w:rPr>
        <w:t>..."Manifiesta que se opone al acuerdo por cuanto el ECA,</w:t>
      </w:r>
      <w:r w:rsidR="007D02B6">
        <w:rPr>
          <w:rFonts w:ascii="Tahoma" w:hAnsi="Tahoma" w:cs="Tahoma"/>
          <w:spacing w:val="11"/>
          <w:sz w:val="22"/>
          <w:szCs w:val="22"/>
          <w:lang w:val="es-ES" w:eastAsia="es-ES"/>
        </w:rPr>
        <w:t xml:space="preserve"> </w:t>
      </w:r>
      <w:r>
        <w:rPr>
          <w:rFonts w:ascii="Tahoma" w:hAnsi="Tahoma" w:cs="Tahoma"/>
          <w:spacing w:val="11"/>
          <w:sz w:val="22"/>
          <w:szCs w:val="22"/>
          <w:lang w:val="es-ES" w:eastAsia="es-ES"/>
        </w:rPr>
        <w:t>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w:t>
      </w:r>
      <w:r w:rsidR="007D02B6">
        <w:rPr>
          <w:rFonts w:ascii="Tahoma" w:hAnsi="Tahoma" w:cs="Tahoma"/>
          <w:spacing w:val="11"/>
          <w:sz w:val="22"/>
          <w:szCs w:val="22"/>
          <w:lang w:val="es-ES" w:eastAsia="es-ES"/>
        </w:rPr>
        <w:t>u</w:t>
      </w:r>
      <w:r>
        <w:rPr>
          <w:rFonts w:ascii="Tahoma" w:hAnsi="Tahoma" w:cs="Tahoma"/>
          <w:spacing w:val="11"/>
          <w:sz w:val="22"/>
          <w:szCs w:val="22"/>
          <w:lang w:val="es-ES" w:eastAsia="es-ES"/>
        </w:rPr>
        <w:t>erirán y de esto es consiente el CTP. Es inconcebible que el empresario que es quién pagará los estudios, no pueda escoger al más idóneo sino aceptar la imposición del ECA, aunque ésta misma sabe que no tienen la competencia</w:t>
      </w:r>
      <w:r w:rsidR="007D02B6">
        <w:rPr>
          <w:rFonts w:ascii="Tahoma" w:hAnsi="Tahoma" w:cs="Tahoma"/>
          <w:spacing w:val="11"/>
          <w:sz w:val="22"/>
          <w:szCs w:val="22"/>
          <w:lang w:val="es-ES" w:eastAsia="es-ES"/>
        </w:rPr>
        <w:t xml:space="preserve"> </w:t>
      </w:r>
      <w:r>
        <w:rPr>
          <w:rFonts w:ascii="Tahoma" w:hAnsi="Tahoma" w:cs="Tahoma"/>
          <w:spacing w:val="9"/>
          <w:sz w:val="22"/>
          <w:szCs w:val="22"/>
          <w:lang w:val="es-ES" w:eastAsia="es-ES"/>
        </w:rPr>
        <w:t>requerida.</w:t>
      </w:r>
      <w:r>
        <w:rPr>
          <w:rFonts w:ascii="Tahoma" w:hAnsi="Tahoma" w:cs="Tahoma"/>
          <w:spacing w:val="9"/>
          <w:sz w:val="22"/>
          <w:szCs w:val="22"/>
          <w:lang w:val="es-ES" w:eastAsia="es-ES"/>
        </w:rPr>
        <w:tab/>
        <w:t xml:space="preserve">Refiere entonces tener una gran reserva </w:t>
      </w:r>
      <w:r>
        <w:rPr>
          <w:rFonts w:ascii="Tahoma" w:hAnsi="Tahoma" w:cs="Tahoma"/>
          <w:spacing w:val="9"/>
          <w:sz w:val="22"/>
          <w:szCs w:val="22"/>
          <w:vertAlign w:val="superscript"/>
          <w:lang w:val="es-ES" w:eastAsia="es-ES"/>
        </w:rPr>
        <w:t>-</w:t>
      </w:r>
      <w:r>
        <w:rPr>
          <w:rFonts w:ascii="Tahoma" w:hAnsi="Tahoma" w:cs="Tahoma"/>
          <w:spacing w:val="9"/>
          <w:sz w:val="22"/>
          <w:szCs w:val="22"/>
          <w:lang w:val="es-ES" w:eastAsia="es-ES"/>
        </w:rPr>
        <w:t>sobre la capacidad de los estudios de órganos acreditados en asfalto y construcción respecto de estudios sobre la calidad del servicio. Finalmente señala que el acto es-nulo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F833FF" w:rsidRDefault="00B0536B">
      <w:pPr>
        <w:kinsoku w:val="0"/>
        <w:overflowPunct w:val="0"/>
        <w:autoSpaceDE/>
        <w:autoSpaceDN/>
        <w:adjustRightInd/>
        <w:spacing w:before="348" w:line="300" w:lineRule="exact"/>
        <w:ind w:left="720" w:right="792"/>
        <w:jc w:val="both"/>
        <w:textAlignment w:val="baseline"/>
        <w:rPr>
          <w:rFonts w:ascii="Tahoma" w:hAnsi="Tahoma" w:cs="Tahoma"/>
          <w:b/>
          <w:bCs/>
          <w:spacing w:val="16"/>
          <w:sz w:val="22"/>
          <w:szCs w:val="22"/>
          <w:lang w:val="es-ES" w:eastAsia="es-ES"/>
        </w:rPr>
      </w:pPr>
      <w:r>
        <w:rPr>
          <w:rFonts w:ascii="Tahoma" w:hAnsi="Tahoma" w:cs="Tahoma"/>
          <w:spacing w:val="16"/>
          <w:sz w:val="22"/>
          <w:szCs w:val="22"/>
          <w:lang w:val="es-ES" w:eastAsia="es-ES"/>
        </w:rPr>
        <w:t xml:space="preserve">No obstante lo anterior, el recurso debe declararse sin lugar, ya que, la actuación del Consejo de Transporte Público se encuentra enmarcada dentro del principio de Legalidad y el acto que acoge el informe </w:t>
      </w:r>
      <w:r>
        <w:rPr>
          <w:rFonts w:ascii="Tahoma" w:hAnsi="Tahoma" w:cs="Tahoma"/>
          <w:b/>
          <w:bCs/>
          <w:spacing w:val="16"/>
          <w:sz w:val="22"/>
          <w:szCs w:val="22"/>
          <w:lang w:val="es-ES" w:eastAsia="es-ES"/>
        </w:rPr>
        <w:t>DTE-2016-1153 de 1 de setiembre de 2016 de la</w:t>
      </w:r>
    </w:p>
    <w:p w:rsidR="00F833FF" w:rsidRDefault="00F833FF">
      <w:pPr>
        <w:widowControl/>
        <w:rPr>
          <w:sz w:val="24"/>
          <w:szCs w:val="24"/>
        </w:rPr>
        <w:sectPr w:rsidR="00F833FF">
          <w:pgSz w:w="12274" w:h="15782"/>
          <w:pgMar w:top="2140" w:right="1692" w:bottom="161" w:left="1582" w:header="720" w:footer="720" w:gutter="0"/>
          <w:cols w:space="720"/>
          <w:noEndnote/>
        </w:sectPr>
      </w:pPr>
    </w:p>
    <w:p w:rsidR="00F833FF" w:rsidRDefault="00B0536B">
      <w:pPr>
        <w:kinsoku w:val="0"/>
        <w:overflowPunct w:val="0"/>
        <w:autoSpaceDE/>
        <w:autoSpaceDN/>
        <w:adjustRightInd/>
        <w:spacing w:before="46" w:line="300" w:lineRule="exact"/>
        <w:ind w:right="648"/>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Dirección Técnica, </w:t>
      </w:r>
      <w:r>
        <w:rPr>
          <w:rFonts w:ascii="Verdana" w:hAnsi="Verdana" w:cs="Verdana"/>
          <w:sz w:val="21"/>
          <w:szCs w:val="21"/>
          <w:lang w:val="es-ES" w:eastAsia="es-ES"/>
        </w:rPr>
        <w:t>se encuentra conforme en todos sus elementos esenciales y adecuadamente motivado, pues la decisión tomada, no constituye un acto discrecional de la Administración sino un mandato de Ley que debe el CTP que cumplir.</w:t>
      </w:r>
    </w:p>
    <w:p w:rsidR="00F833FF" w:rsidRDefault="00B0536B">
      <w:pPr>
        <w:kinsoku w:val="0"/>
        <w:overflowPunct w:val="0"/>
        <w:autoSpaceDE/>
        <w:autoSpaceDN/>
        <w:adjustRightInd/>
        <w:spacing w:before="600" w:line="300" w:lineRule="exact"/>
        <w:ind w:right="648"/>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N° 8279 ley del "Sistema Nacional para la, Calidad" </w:t>
      </w:r>
      <w:r>
        <w:rPr>
          <w:rFonts w:ascii="Verdana" w:hAnsi="Verdana" w:cs="Verdana"/>
          <w:sz w:val="21"/>
          <w:szCs w:val="21"/>
          <w:lang w:val="es-ES" w:eastAsia="es-ES"/>
        </w:rPr>
        <w:t>establece en Su artículo 34 lo siguiente:</w:t>
      </w:r>
    </w:p>
    <w:p w:rsidR="00F833FF" w:rsidRDefault="00B0536B">
      <w:pPr>
        <w:kinsoku w:val="0"/>
        <w:overflowPunct w:val="0"/>
        <w:autoSpaceDE/>
        <w:autoSpaceDN/>
        <w:adjustRightInd/>
        <w:spacing w:before="295" w:line="300" w:lineRule="exact"/>
        <w:ind w:left="288" w:right="648"/>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"Artículo </w:t>
      </w:r>
      <w:r>
        <w:rPr>
          <w:rFonts w:ascii="Verdana" w:hAnsi="Verdana" w:cs="Verdana"/>
          <w:i/>
          <w:iCs/>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F833FF" w:rsidRDefault="00B0536B">
      <w:pPr>
        <w:kinsoku w:val="0"/>
        <w:overflowPunct w:val="0"/>
        <w:autoSpaceDE/>
        <w:autoSpaceDN/>
        <w:adjustRightInd/>
        <w:spacing w:before="302" w:line="300" w:lineRule="exact"/>
        <w:ind w:left="28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F833FF" w:rsidRDefault="00B0536B">
      <w:pPr>
        <w:kinsoku w:val="0"/>
        <w:overflowPunct w:val="0"/>
        <w:autoSpaceDE/>
        <w:autoSpaceDN/>
        <w:adjustRightInd/>
        <w:spacing w:before="303" w:line="300" w:lineRule="exact"/>
        <w:ind w:right="648"/>
        <w:jc w:val="both"/>
        <w:textAlignment w:val="baseline"/>
        <w:rPr>
          <w:rFonts w:ascii="Verdana" w:hAnsi="Verdana" w:cs="Verdana"/>
          <w:i/>
          <w:iCs/>
          <w:spacing w:val="1"/>
          <w:sz w:val="21"/>
          <w:szCs w:val="21"/>
          <w:lang w:val="es-ES" w:eastAsia="es-ES"/>
        </w:rPr>
      </w:pPr>
      <w:r>
        <w:rPr>
          <w:rFonts w:ascii="Verdana" w:hAnsi="Verdana" w:cs="Verdana"/>
          <w:spacing w:val="1"/>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
          <w:sz w:val="21"/>
          <w:szCs w:val="21"/>
          <w:lang w:val="es-ES" w:eastAsia="es-ES"/>
        </w:rPr>
        <w:t xml:space="preserve">POR TANTO sexto </w:t>
      </w:r>
      <w:r>
        <w:rPr>
          <w:rFonts w:ascii="Verdana" w:hAnsi="Verdana" w:cs="Verdana"/>
          <w:spacing w:val="1"/>
          <w:sz w:val="21"/>
          <w:szCs w:val="21"/>
          <w:lang w:val="es-ES" w:eastAsia="es-ES"/>
        </w:rPr>
        <w:t xml:space="preserve">que: "6. </w:t>
      </w:r>
      <w:r>
        <w:rPr>
          <w:rFonts w:ascii="Verdana" w:hAnsi="Verdana" w:cs="Verdana"/>
          <w:i/>
          <w:iCs/>
          <w:spacing w:val="1"/>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F833FF" w:rsidRDefault="00B0536B">
      <w:pPr>
        <w:kinsoku w:val="0"/>
        <w:overflowPunct w:val="0"/>
        <w:autoSpaceDE/>
        <w:autoSpaceDN/>
        <w:adjustRightInd/>
        <w:spacing w:before="318" w:line="300" w:lineRule="exact"/>
        <w:ind w:right="648"/>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Lo anterior, responde en mucho a las preocupaciones presentadas por el Recurrente en su líbelo y deja claro para este colegio que en la especie, el Consejo ha actuado conforme al ordenamiento jurídico."... </w:t>
      </w:r>
      <w:r>
        <w:rPr>
          <w:rFonts w:ascii="Verdana" w:hAnsi="Verdana" w:cs="Verdana"/>
          <w:b/>
          <w:bCs/>
          <w:i/>
          <w:iCs/>
          <w:sz w:val="21"/>
          <w:szCs w:val="21"/>
          <w:lang w:val="es-ES" w:eastAsia="es-ES"/>
        </w:rPr>
        <w:t>(Nuestra Resolución No. TAT-3203-2017 de las 10:40 horas del 02 de Marzo del 2017)</w:t>
      </w:r>
    </w:p>
    <w:p w:rsidR="00F833FF" w:rsidRDefault="00F833FF">
      <w:pPr>
        <w:widowControl/>
        <w:rPr>
          <w:sz w:val="24"/>
          <w:szCs w:val="24"/>
        </w:rPr>
        <w:sectPr w:rsidR="00F833FF">
          <w:pgSz w:w="12274" w:h="15782"/>
          <w:pgMar w:top="1860" w:right="1932" w:bottom="286" w:left="2202" w:header="720" w:footer="720" w:gutter="0"/>
          <w:cols w:space="720"/>
          <w:noEndnote/>
        </w:sectPr>
      </w:pPr>
    </w:p>
    <w:p w:rsidR="00F833FF" w:rsidRDefault="00B0536B">
      <w:pPr>
        <w:numPr>
          <w:ilvl w:val="0"/>
          <w:numId w:val="27"/>
        </w:numPr>
        <w:kinsoku w:val="0"/>
        <w:overflowPunct w:val="0"/>
        <w:autoSpaceDE/>
        <w:autoSpaceDN/>
        <w:adjustRightInd/>
        <w:spacing w:line="287" w:lineRule="exact"/>
        <w:ind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SOBRE LA EXTENSIÓN DE LAS PRESENTES ACCIONES A OTROS ACTOS RELACIONADOS:</w:t>
      </w:r>
    </w:p>
    <w:p w:rsidR="00F833FF" w:rsidRDefault="00B0536B">
      <w:pPr>
        <w:kinsoku w:val="0"/>
        <w:overflowPunct w:val="0"/>
        <w:autoSpaceDE/>
        <w:autoSpaceDN/>
        <w:adjustRightInd/>
        <w:spacing w:before="287" w:line="303" w:lineRule="exact"/>
        <w:ind w:left="216" w:right="144"/>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Aduce la recurrente que los mismos vicios legales que se reclaman contra el </w:t>
      </w:r>
      <w:r>
        <w:rPr>
          <w:rFonts w:ascii="Verdana" w:hAnsi="Verdana" w:cs="Verdana"/>
          <w:b/>
          <w:bCs/>
          <w:spacing w:val="16"/>
          <w:sz w:val="21"/>
          <w:szCs w:val="21"/>
          <w:lang w:val="es-ES" w:eastAsia="es-ES"/>
        </w:rPr>
        <w:t xml:space="preserve">acuerdo no. 7.18 de la sesión no. 23-2017 </w:t>
      </w:r>
      <w:r>
        <w:rPr>
          <w:rFonts w:ascii="Tahoma" w:hAnsi="Tahoma" w:cs="Tahoma"/>
          <w:spacing w:val="16"/>
          <w:sz w:val="22"/>
          <w:szCs w:val="22"/>
          <w:lang w:val="es-ES" w:eastAsia="es-ES"/>
        </w:rPr>
        <w:t>del Consejo de Transporte Público, se extienden a los acuerdos Nos. 8.1 de la Sesión Ordinaria No. 42-2016, 8.1 de la Sesión Ordinaria No. 45-2016, 5.1 de_ la Sesión Ordinaria No. 07-2017 y 7.2 de la Sesión Ordinaria No. 14-2017, todos de la Junta Directiva del Consejo de Transporte Público.</w:t>
      </w:r>
    </w:p>
    <w:p w:rsidR="00F833FF" w:rsidRDefault="00B0536B">
      <w:pPr>
        <w:kinsoku w:val="0"/>
        <w:overflowPunct w:val="0"/>
        <w:autoSpaceDE/>
        <w:autoSpaceDN/>
        <w:adjustRightInd/>
        <w:spacing w:before="292" w:line="303" w:lineRule="exact"/>
        <w:ind w:left="216"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En cuanto a ello, la misma Accionante indica también que ha Impugnado Particularmente y por Aparte los Acuerdos Nos. 8.1 de la Sesión Ordinaria No. 42-2016, 8.1 de la Sesión Ordinaria No. 45-2016 de la Junta Directiva del Consejo de Transporte Público, razón por la cual deberá estarse en lo que se defina en cuanto a tales impugnaciones específicas. Amén de que por temporalidad, NO CABE QUE EL 15 DE JUNIO DE 2017, por el Memorial Recursivo que se Atiende SE BUSQUE OBJETAR ACTOS COMUNICADOS DESDE FECHAS MUCHO ANTERIORES'.</w:t>
      </w:r>
    </w:p>
    <w:p w:rsidR="00F833FF" w:rsidRDefault="00B0536B">
      <w:pPr>
        <w:kinsoku w:val="0"/>
        <w:overflowPunct w:val="0"/>
        <w:autoSpaceDE/>
        <w:autoSpaceDN/>
        <w:adjustRightInd/>
        <w:spacing w:before="275" w:line="303" w:lineRule="exact"/>
        <w:ind w:left="216" w:right="144"/>
        <w:jc w:val="both"/>
        <w:textAlignment w:val="baseline"/>
        <w:rPr>
          <w:rFonts w:ascii="Verdana" w:hAnsi="Verdana" w:cs="Verdana"/>
          <w:i/>
          <w:iCs/>
          <w:spacing w:val="16"/>
          <w:sz w:val="21"/>
          <w:szCs w:val="21"/>
          <w:lang w:val="es-ES" w:eastAsia="es-ES"/>
        </w:rPr>
      </w:pPr>
      <w:r>
        <w:rPr>
          <w:rFonts w:ascii="Tahoma" w:hAnsi="Tahoma" w:cs="Tahoma"/>
          <w:spacing w:val="16"/>
          <w:sz w:val="22"/>
          <w:szCs w:val="22"/>
          <w:lang w:val="es-ES" w:eastAsia="es-ES"/>
        </w:rPr>
        <w:t>Y en lo que refiere a los Acuerdos Nos. 5.1 de la Sesión Ordinaria No. 07</w:t>
      </w:r>
      <w:r>
        <w:rPr>
          <w:rFonts w:ascii="Tahoma" w:hAnsi="Tahoma" w:cs="Tahoma"/>
          <w:spacing w:val="16"/>
          <w:sz w:val="22"/>
          <w:szCs w:val="22"/>
          <w:lang w:val="es-ES" w:eastAsia="es-ES"/>
        </w:rPr>
        <w:softHyphen/>
        <w:t xml:space="preserve">2017 y 7.2 de la Sesión Ordinaria No. 14-2017, de la Junta Directiva del Consejo de Transporte Público, NO SE CONSIGNA SU IMPUGNACIÓN ESPECÍFICA, Razón por la cual, por Temporalidad, NO CABE QUE EL 15 DE JUNIO DE 2017, por el Memorial Recursivo que se Atiende SE BUSQUE OBJETAR ACTOS COMUNICADOS DESDE FECHAS ANTERIORES. Los cuales NO SE TIENEN COMO IMPUGNADOS EN TIEMPO Y FORMA </w:t>
      </w:r>
      <w:r>
        <w:rPr>
          <w:rFonts w:ascii="Verdana" w:hAnsi="Verdana" w:cs="Verdana"/>
          <w:i/>
          <w:iCs/>
          <w:spacing w:val="16"/>
          <w:sz w:val="21"/>
          <w:szCs w:val="21"/>
          <w:lang w:val="es-ES" w:eastAsia="es-ES"/>
        </w:rPr>
        <w:t>(Cosa Juzgada Administrativa).</w:t>
      </w:r>
    </w:p>
    <w:p w:rsidR="00F833FF" w:rsidRDefault="00B0536B">
      <w:pPr>
        <w:numPr>
          <w:ilvl w:val="0"/>
          <w:numId w:val="28"/>
        </w:numPr>
        <w:kinsoku w:val="0"/>
        <w:overflowPunct w:val="0"/>
        <w:autoSpaceDE/>
        <w:autoSpaceDN/>
        <w:adjustRightInd/>
        <w:spacing w:before="335" w:line="257" w:lineRule="exact"/>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NULIDAD, EN GENERAL:</w:t>
      </w:r>
    </w:p>
    <w:p w:rsidR="00F833FF" w:rsidRDefault="00B0536B">
      <w:pPr>
        <w:kinsoku w:val="0"/>
        <w:overflowPunct w:val="0"/>
        <w:autoSpaceDE/>
        <w:autoSpaceDN/>
        <w:adjustRightInd/>
        <w:spacing w:before="435" w:line="303" w:lineRule="exact"/>
        <w:ind w:left="216" w:right="144"/>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En mérito de todo lo expresado antes y del expediente del caso en particular, </w:t>
      </w:r>
      <w:r>
        <w:rPr>
          <w:rFonts w:ascii="Verdana" w:hAnsi="Verdana" w:cs="Verdana"/>
          <w:b/>
          <w:bCs/>
          <w:spacing w:val="9"/>
          <w:sz w:val="21"/>
          <w:szCs w:val="21"/>
          <w:lang w:val="es-ES" w:eastAsia="es-ES"/>
        </w:rPr>
        <w:t xml:space="preserve">NO ESTIMA </w:t>
      </w:r>
      <w:r>
        <w:rPr>
          <w:rFonts w:ascii="Tahoma" w:hAnsi="Tahoma" w:cs="Tahoma"/>
          <w:spacing w:val="9"/>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F833FF" w:rsidRDefault="00B0536B">
      <w:pPr>
        <w:kinsoku w:val="0"/>
        <w:overflowPunct w:val="0"/>
        <w:autoSpaceDE/>
        <w:autoSpaceDN/>
        <w:adjustRightInd/>
        <w:spacing w:before="124" w:after="619" w:line="303" w:lineRule="exact"/>
        <w:ind w:left="216" w:right="144"/>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Conforme a lo antes referido, se estiman como Improcedentes las Acciones de Impugnación Analizadas, Disponiéndose su Rechazo.</w:t>
      </w:r>
    </w:p>
    <w:p w:rsidR="00F833FF" w:rsidRDefault="00F833FF">
      <w:pPr>
        <w:widowControl/>
        <w:rPr>
          <w:sz w:val="24"/>
          <w:szCs w:val="24"/>
        </w:rPr>
        <w:sectPr w:rsidR="00F833FF">
          <w:pgSz w:w="12269" w:h="15763"/>
          <w:pgMar w:top="2500" w:right="1694" w:bottom="151" w:left="1575" w:header="720" w:footer="720" w:gutter="0"/>
          <w:cols w:space="720"/>
          <w:noEndnote/>
        </w:sectPr>
      </w:pPr>
    </w:p>
    <w:p w:rsidR="00F833FF" w:rsidRDefault="00F833FF">
      <w:pPr>
        <w:widowControl/>
        <w:rPr>
          <w:sz w:val="24"/>
          <w:szCs w:val="24"/>
        </w:rPr>
        <w:sectPr w:rsidR="00F833FF">
          <w:type w:val="continuous"/>
          <w:pgSz w:w="12269" w:h="15763"/>
          <w:pgMar w:top="2500" w:right="1791" w:bottom="151" w:left="7598" w:header="720" w:footer="720" w:gutter="0"/>
          <w:cols w:space="720"/>
          <w:noEndnote/>
        </w:sectPr>
      </w:pPr>
    </w:p>
    <w:p w:rsidR="00F833FF" w:rsidRDefault="00B0536B">
      <w:pPr>
        <w:kinsoku w:val="0"/>
        <w:overflowPunct w:val="0"/>
        <w:autoSpaceDE/>
        <w:autoSpaceDN/>
        <w:adjustRightInd/>
        <w:spacing w:before="1" w:after="272" w:line="249" w:lineRule="exact"/>
        <w:jc w:val="center"/>
        <w:textAlignment w:val="baseline"/>
        <w:rPr>
          <w:rFonts w:ascii="Verdana" w:hAnsi="Verdana" w:cs="Verdana"/>
          <w:b/>
          <w:bCs/>
          <w:spacing w:val="8"/>
          <w:sz w:val="21"/>
          <w:szCs w:val="21"/>
          <w:lang w:val="es-ES" w:eastAsia="es-ES"/>
        </w:rPr>
      </w:pPr>
      <w:r>
        <w:rPr>
          <w:rFonts w:ascii="Verdana" w:hAnsi="Verdana" w:cs="Verdana"/>
          <w:b/>
          <w:bCs/>
          <w:spacing w:val="8"/>
          <w:sz w:val="21"/>
          <w:szCs w:val="21"/>
          <w:lang w:val="es-ES" w:eastAsia="es-ES"/>
        </w:rPr>
        <w:t>POR TANTO</w:t>
      </w:r>
    </w:p>
    <w:p w:rsidR="00F833FF" w:rsidRDefault="00F833FF">
      <w:pPr>
        <w:widowControl/>
        <w:rPr>
          <w:sz w:val="24"/>
          <w:szCs w:val="24"/>
        </w:rPr>
        <w:sectPr w:rsidR="00F833FF">
          <w:pgSz w:w="12269" w:h="15763"/>
          <w:pgMar w:top="1940" w:right="4843" w:bottom="247" w:left="4546" w:header="720" w:footer="720" w:gutter="0"/>
          <w:cols w:space="720"/>
          <w:noEndnote/>
        </w:sectPr>
      </w:pPr>
    </w:p>
    <w:p w:rsidR="00F833FF" w:rsidRDefault="00B0536B">
      <w:pPr>
        <w:numPr>
          <w:ilvl w:val="0"/>
          <w:numId w:val="29"/>
        </w:numPr>
        <w:kinsoku w:val="0"/>
        <w:overflowPunct w:val="0"/>
        <w:autoSpaceDE/>
        <w:autoSpaceDN/>
        <w:adjustRightInd/>
        <w:spacing w:before="38" w:line="301" w:lineRule="exact"/>
        <w:ind w:right="216"/>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Se </w:t>
      </w:r>
      <w:r>
        <w:rPr>
          <w:rFonts w:ascii="Verdana" w:hAnsi="Verdana" w:cs="Verdana"/>
          <w:b/>
          <w:bCs/>
          <w:sz w:val="21"/>
          <w:szCs w:val="21"/>
          <w:u w:val="single"/>
          <w:lang w:val="es-ES" w:eastAsia="es-ES"/>
        </w:rPr>
        <w:t>declara sin lugar</w:t>
      </w:r>
      <w:r>
        <w:rPr>
          <w:rFonts w:ascii="Verdana" w:hAnsi="Verdana" w:cs="Verdana"/>
          <w:sz w:val="21"/>
          <w:szCs w:val="21"/>
          <w:lang w:val="es-ES" w:eastAsia="es-ES"/>
        </w:rPr>
        <w:t xml:space="preserve"> el </w:t>
      </w:r>
      <w:r>
        <w:rPr>
          <w:rFonts w:ascii="Verdana" w:hAnsi="Verdana" w:cs="Verdana"/>
          <w:b/>
          <w:bCs/>
          <w:sz w:val="21"/>
          <w:szCs w:val="21"/>
          <w:lang w:val="es-ES" w:eastAsia="es-ES"/>
        </w:rPr>
        <w:t xml:space="preserve">RECURSO DE APELACIÓN EN SUBSIDIO y NULIDAD CONCOMITANTE </w:t>
      </w:r>
      <w:r>
        <w:rPr>
          <w:rFonts w:ascii="Verdana" w:hAnsi="Verdana" w:cs="Verdana"/>
          <w:sz w:val="21"/>
          <w:szCs w:val="21"/>
          <w:lang w:val="es-ES" w:eastAsia="es-ES"/>
        </w:rPr>
        <w:t xml:space="preserve">presentado por la empresa </w:t>
      </w:r>
      <w:r>
        <w:rPr>
          <w:rFonts w:ascii="Verdana" w:hAnsi="Verdana" w:cs="Verdana"/>
          <w:b/>
          <w:bCs/>
          <w:sz w:val="21"/>
          <w:szCs w:val="21"/>
          <w:lang w:val="es-ES" w:eastAsia="es-ES"/>
        </w:rPr>
        <w:t xml:space="preserve">E.S.A., cédula jurídica número …, </w:t>
      </w:r>
      <w:r>
        <w:rPr>
          <w:rFonts w:ascii="Verdana" w:hAnsi="Verdana" w:cs="Verdana"/>
          <w:sz w:val="21"/>
          <w:szCs w:val="21"/>
          <w:lang w:val="es-ES" w:eastAsia="es-ES"/>
        </w:rPr>
        <w:t xml:space="preserve">representada por su Apoderado Generalísimo sin Límite de Suma, señor </w:t>
      </w:r>
      <w:r>
        <w:rPr>
          <w:rFonts w:ascii="Verdana" w:hAnsi="Verdana" w:cs="Verdana"/>
          <w:b/>
          <w:bCs/>
          <w:sz w:val="21"/>
          <w:szCs w:val="21"/>
          <w:lang w:val="es-ES" w:eastAsia="es-ES"/>
        </w:rPr>
        <w:t xml:space="preserve">C.E.C.S., cédula de identidad número …, </w:t>
      </w:r>
      <w:r>
        <w:rPr>
          <w:rFonts w:ascii="Verdana" w:hAnsi="Verdana" w:cs="Verdana"/>
          <w:sz w:val="21"/>
          <w:szCs w:val="21"/>
          <w:lang w:val="es-ES" w:eastAsia="es-ES"/>
        </w:rPr>
        <w:t xml:space="preserve">contra el </w:t>
      </w:r>
      <w:r>
        <w:rPr>
          <w:rFonts w:ascii="Verdana" w:hAnsi="Verdana" w:cs="Verdana"/>
          <w:b/>
          <w:bCs/>
          <w:sz w:val="21"/>
          <w:szCs w:val="21"/>
          <w:lang w:val="es-ES" w:eastAsia="es-ES"/>
        </w:rPr>
        <w:t>acuerdo 7.18 de la Sesión Ordinaria 23-2017 del 7 de junio de 2017, adoptado por la Junta Directiva del Consejo de Transporte Público.</w:t>
      </w:r>
    </w:p>
    <w:p w:rsidR="00F833FF" w:rsidRDefault="00B0536B">
      <w:pPr>
        <w:numPr>
          <w:ilvl w:val="0"/>
          <w:numId w:val="30"/>
        </w:numPr>
        <w:kinsoku w:val="0"/>
        <w:overflowPunct w:val="0"/>
        <w:autoSpaceDE/>
        <w:autoSpaceDN/>
        <w:adjustRightInd/>
        <w:spacing w:before="312" w:line="336" w:lineRule="exact"/>
        <w:ind w:right="216"/>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tiene por</w:t>
      </w:r>
    </w:p>
    <w:p w:rsidR="00F833FF" w:rsidRDefault="00B0536B">
      <w:pPr>
        <w:kinsoku w:val="0"/>
        <w:overflowPunct w:val="0"/>
        <w:autoSpaceDE/>
        <w:autoSpaceDN/>
        <w:adjustRightInd/>
        <w:spacing w:before="81" w:line="276" w:lineRule="exact"/>
        <w:ind w:left="216"/>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agotada la vía administrativa.</w:t>
      </w:r>
    </w:p>
    <w:p w:rsidR="00F833FF" w:rsidRDefault="00B0536B" w:rsidP="00B0536B">
      <w:pPr>
        <w:numPr>
          <w:ilvl w:val="0"/>
          <w:numId w:val="31"/>
        </w:numPr>
        <w:kinsoku w:val="0"/>
        <w:overflowPunct w:val="0"/>
        <w:autoSpaceDE/>
        <w:autoSpaceDN/>
        <w:adjustRightInd/>
        <w:spacing w:before="357" w:after="360" w:line="284" w:lineRule="exact"/>
        <w:textAlignment w:val="baseline"/>
        <w:rPr>
          <w:sz w:val="24"/>
          <w:szCs w:val="24"/>
        </w:rPr>
      </w:pPr>
      <w:r>
        <w:rPr>
          <w:rFonts w:ascii="Verdana" w:hAnsi="Verdana" w:cs="Verdana"/>
          <w:b/>
          <w:bCs/>
          <w:spacing w:val="2"/>
          <w:sz w:val="21"/>
          <w:szCs w:val="21"/>
          <w:lang w:val="es-ES" w:eastAsia="es-ES"/>
        </w:rPr>
        <w:t>NOTIFÍQUESE.</w:t>
      </w:r>
      <w:r>
        <w:rPr>
          <w:sz w:val="24"/>
          <w:szCs w:val="24"/>
        </w:rPr>
        <w:t xml:space="preserve"> </w:t>
      </w:r>
    </w:p>
    <w:p w:rsidR="00B0536B" w:rsidRDefault="00B0536B" w:rsidP="00B0536B">
      <w:pPr>
        <w:kinsoku w:val="0"/>
        <w:overflowPunct w:val="0"/>
        <w:autoSpaceDE/>
        <w:autoSpaceDN/>
        <w:adjustRightInd/>
        <w:spacing w:before="357" w:after="360" w:line="284" w:lineRule="exact"/>
        <w:textAlignment w:val="baseline"/>
        <w:rPr>
          <w:sz w:val="24"/>
          <w:szCs w:val="24"/>
        </w:rPr>
      </w:pPr>
    </w:p>
    <w:p w:rsidR="00B0536B" w:rsidRDefault="00B0536B" w:rsidP="00B0536B">
      <w:pPr>
        <w:pStyle w:val="Ttulo1"/>
        <w:spacing w:before="100" w:beforeAutospacing="1"/>
        <w:ind w:left="284"/>
        <w:jc w:val="center"/>
        <w:rPr>
          <w:rFonts w:ascii="Times New Roman" w:hAnsi="Times New Roman"/>
          <w:b w:val="0"/>
          <w:color w:val="000000"/>
        </w:rPr>
      </w:pPr>
      <w:r>
        <w:rPr>
          <w:rFonts w:ascii="Times New Roman" w:hAnsi="Times New Roman"/>
          <w:b w:val="0"/>
          <w:color w:val="000000"/>
        </w:rPr>
        <w:t>Lic. Carlos Miguel Portuguez Méndez</w:t>
      </w:r>
    </w:p>
    <w:p w:rsidR="00B0536B" w:rsidRPr="00C84BDC" w:rsidRDefault="00B0536B" w:rsidP="00B0536B">
      <w:pPr>
        <w:spacing w:before="100" w:beforeAutospacing="1"/>
        <w:ind w:left="284"/>
        <w:jc w:val="center"/>
        <w:rPr>
          <w:b/>
          <w:color w:val="000000"/>
          <w:sz w:val="24"/>
        </w:rPr>
      </w:pPr>
      <w:r w:rsidRPr="00C84BDC">
        <w:rPr>
          <w:b/>
          <w:color w:val="000000"/>
          <w:sz w:val="24"/>
        </w:rPr>
        <w:t>Presidente</w:t>
      </w:r>
    </w:p>
    <w:p w:rsidR="00B0536B" w:rsidRDefault="00B0536B" w:rsidP="00B0536B">
      <w:pPr>
        <w:spacing w:before="100" w:beforeAutospacing="1" w:after="100" w:afterAutospacing="1"/>
        <w:ind w:left="284"/>
        <w:jc w:val="center"/>
        <w:rPr>
          <w:color w:val="000000"/>
          <w:sz w:val="24"/>
          <w:szCs w:val="24"/>
        </w:rPr>
      </w:pPr>
    </w:p>
    <w:p w:rsidR="00B0536B" w:rsidRDefault="00B0536B" w:rsidP="00B0536B">
      <w:pPr>
        <w:pStyle w:val="Ttulo1"/>
        <w:ind w:left="284"/>
        <w:jc w:val="center"/>
        <w:rPr>
          <w:rFonts w:ascii="Times New Roman" w:hAnsi="Times New Roman"/>
          <w:b w:val="0"/>
          <w:color w:val="000000"/>
        </w:rPr>
      </w:pPr>
      <w:r>
        <w:rPr>
          <w:rFonts w:ascii="Times New Roman" w:hAnsi="Times New Roman"/>
          <w:b w:val="0"/>
          <w:color w:val="000000"/>
        </w:rPr>
        <w:t>Lic. Mario Quesada Aguirre                                          Lic. Ronald Muñoz Corea</w:t>
      </w:r>
    </w:p>
    <w:p w:rsidR="00B0536B" w:rsidRDefault="00B0536B" w:rsidP="00B0536B">
      <w:pPr>
        <w:kinsoku w:val="0"/>
        <w:overflowPunct w:val="0"/>
        <w:autoSpaceDE/>
        <w:autoSpaceDN/>
        <w:adjustRightInd/>
        <w:spacing w:line="610" w:lineRule="exact"/>
        <w:ind w:left="284"/>
        <w:jc w:val="center"/>
        <w:textAlignment w:val="baseline"/>
        <w:rPr>
          <w:b/>
          <w:color w:val="000000"/>
          <w:sz w:val="24"/>
        </w:rPr>
      </w:pPr>
      <w:r w:rsidRPr="00C84BDC">
        <w:rPr>
          <w:b/>
          <w:color w:val="000000"/>
          <w:sz w:val="24"/>
        </w:rPr>
        <w:t xml:space="preserve">Juez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Juez</w:t>
      </w:r>
    </w:p>
    <w:p w:rsidR="00B0536B" w:rsidRDefault="00B0536B" w:rsidP="00B0536B">
      <w:pPr>
        <w:kinsoku w:val="0"/>
        <w:overflowPunct w:val="0"/>
        <w:autoSpaceDE/>
        <w:autoSpaceDN/>
        <w:adjustRightInd/>
        <w:spacing w:before="357" w:after="360" w:line="284" w:lineRule="exact"/>
        <w:textAlignment w:val="baseline"/>
        <w:rPr>
          <w:sz w:val="24"/>
          <w:szCs w:val="24"/>
        </w:rPr>
        <w:sectPr w:rsidR="00B0536B">
          <w:type w:val="continuous"/>
          <w:pgSz w:w="12269" w:h="15763"/>
          <w:pgMar w:top="1940" w:right="1766" w:bottom="247" w:left="1503" w:header="720" w:footer="720" w:gutter="0"/>
          <w:cols w:space="720"/>
          <w:noEndnote/>
        </w:sectPr>
      </w:pPr>
    </w:p>
    <w:p w:rsidR="00F833FF" w:rsidRDefault="00F833FF" w:rsidP="00B0536B">
      <w:pPr>
        <w:tabs>
          <w:tab w:val="right" w:pos="2880"/>
        </w:tabs>
        <w:kinsoku w:val="0"/>
        <w:overflowPunct w:val="0"/>
        <w:autoSpaceDE/>
        <w:autoSpaceDN/>
        <w:adjustRightInd/>
        <w:spacing w:before="2" w:line="265" w:lineRule="exact"/>
        <w:textAlignment w:val="baseline"/>
        <w:rPr>
          <w:rFonts w:ascii="Verdana" w:hAnsi="Verdana" w:cs="Verdana"/>
          <w:sz w:val="21"/>
          <w:szCs w:val="21"/>
          <w:lang w:val="es-ES" w:eastAsia="es-ES"/>
        </w:rPr>
      </w:pPr>
    </w:p>
    <w:sectPr w:rsidR="00F833FF">
      <w:type w:val="continuous"/>
      <w:pgSz w:w="12269" w:h="15763"/>
      <w:pgMar w:top="1940" w:right="1917" w:bottom="247" w:left="74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DDE6"/>
    <w:multiLevelType w:val="singleLevel"/>
    <w:tmpl w:val="68093ED1"/>
    <w:lvl w:ilvl="0">
      <w:start w:val="1"/>
      <w:numFmt w:val="lowerLetter"/>
      <w:lvlText w:val="%1."/>
      <w:lvlJc w:val="left"/>
      <w:pPr>
        <w:tabs>
          <w:tab w:val="num" w:pos="1008"/>
        </w:tabs>
        <w:ind w:left="720"/>
      </w:pPr>
      <w:rPr>
        <w:rFonts w:ascii="Verdana" w:hAnsi="Verdana" w:cs="Verdana"/>
        <w:i/>
        <w:iCs/>
        <w:snapToGrid/>
        <w:spacing w:val="2"/>
        <w:sz w:val="21"/>
        <w:szCs w:val="21"/>
      </w:rPr>
    </w:lvl>
  </w:abstractNum>
  <w:abstractNum w:abstractNumId="1" w15:restartNumberingAfterBreak="0">
    <w:nsid w:val="011B75A4"/>
    <w:multiLevelType w:val="singleLevel"/>
    <w:tmpl w:val="DFC67242"/>
    <w:lvl w:ilvl="0">
      <w:start w:val="4"/>
      <w:numFmt w:val="decimal"/>
      <w:lvlText w:val="%1."/>
      <w:lvlJc w:val="left"/>
      <w:pPr>
        <w:tabs>
          <w:tab w:val="num" w:pos="360"/>
        </w:tabs>
      </w:pPr>
      <w:rPr>
        <w:rFonts w:ascii="Verdana" w:hAnsi="Verdana" w:cs="Verdana"/>
        <w:b/>
        <w:i/>
        <w:iCs/>
        <w:snapToGrid/>
        <w:spacing w:val="3"/>
        <w:sz w:val="22"/>
        <w:szCs w:val="22"/>
      </w:rPr>
    </w:lvl>
  </w:abstractNum>
  <w:abstractNum w:abstractNumId="2" w15:restartNumberingAfterBreak="0">
    <w:nsid w:val="01F8B34F"/>
    <w:multiLevelType w:val="singleLevel"/>
    <w:tmpl w:val="6E3812E4"/>
    <w:lvl w:ilvl="0">
      <w:start w:val="6"/>
      <w:numFmt w:val="decimal"/>
      <w:lvlText w:val="%1.-"/>
      <w:lvlJc w:val="left"/>
      <w:pPr>
        <w:tabs>
          <w:tab w:val="num" w:pos="864"/>
        </w:tabs>
        <w:ind w:left="216"/>
      </w:pPr>
      <w:rPr>
        <w:rFonts w:ascii="Verdana" w:hAnsi="Verdana" w:cs="Verdana"/>
        <w:b/>
        <w:bCs/>
        <w:i/>
        <w:iCs/>
        <w:snapToGrid/>
        <w:sz w:val="21"/>
        <w:szCs w:val="21"/>
      </w:rPr>
    </w:lvl>
  </w:abstractNum>
  <w:abstractNum w:abstractNumId="3" w15:restartNumberingAfterBreak="0">
    <w:nsid w:val="024D182C"/>
    <w:multiLevelType w:val="singleLevel"/>
    <w:tmpl w:val="F9B42D50"/>
    <w:lvl w:ilvl="0">
      <w:start w:val="2"/>
      <w:numFmt w:val="upperLetter"/>
      <w:lvlText w:val="%1.-"/>
      <w:lvlJc w:val="left"/>
      <w:pPr>
        <w:tabs>
          <w:tab w:val="num" w:pos="864"/>
        </w:tabs>
        <w:ind w:left="216"/>
      </w:pPr>
      <w:rPr>
        <w:rFonts w:ascii="Verdana" w:hAnsi="Verdana" w:cs="Verdana"/>
        <w:b/>
        <w:snapToGrid/>
        <w:sz w:val="21"/>
        <w:szCs w:val="21"/>
      </w:rPr>
    </w:lvl>
  </w:abstractNum>
  <w:abstractNum w:abstractNumId="4" w15:restartNumberingAfterBreak="0">
    <w:nsid w:val="029DE8DA"/>
    <w:multiLevelType w:val="singleLevel"/>
    <w:tmpl w:val="ED7E7A40"/>
    <w:lvl w:ilvl="0">
      <w:start w:val="4"/>
      <w:numFmt w:val="decimal"/>
      <w:lvlText w:val="%1."/>
      <w:lvlJc w:val="left"/>
      <w:pPr>
        <w:tabs>
          <w:tab w:val="num" w:pos="1080"/>
        </w:tabs>
        <w:ind w:left="792"/>
      </w:pPr>
      <w:rPr>
        <w:rFonts w:ascii="Verdana" w:hAnsi="Verdana" w:cs="Verdana"/>
        <w:b/>
        <w:i/>
        <w:iCs/>
        <w:snapToGrid/>
        <w:spacing w:val="11"/>
        <w:sz w:val="15"/>
        <w:szCs w:val="15"/>
      </w:rPr>
    </w:lvl>
  </w:abstractNum>
  <w:abstractNum w:abstractNumId="5" w15:restartNumberingAfterBreak="0">
    <w:nsid w:val="02BAAA69"/>
    <w:multiLevelType w:val="singleLevel"/>
    <w:tmpl w:val="35E04C9C"/>
    <w:lvl w:ilvl="0">
      <w:start w:val="1"/>
      <w:numFmt w:val="decimal"/>
      <w:lvlText w:val="%1."/>
      <w:lvlJc w:val="left"/>
      <w:pPr>
        <w:tabs>
          <w:tab w:val="num" w:pos="1152"/>
        </w:tabs>
        <w:ind w:left="792"/>
      </w:pPr>
      <w:rPr>
        <w:rFonts w:ascii="Verdana" w:hAnsi="Verdana" w:cs="Verdana"/>
        <w:b/>
        <w:i/>
        <w:iCs/>
        <w:snapToGrid/>
        <w:sz w:val="15"/>
        <w:szCs w:val="15"/>
      </w:rPr>
    </w:lvl>
  </w:abstractNum>
  <w:abstractNum w:abstractNumId="6" w15:restartNumberingAfterBreak="0">
    <w:nsid w:val="02DA58DE"/>
    <w:multiLevelType w:val="singleLevel"/>
    <w:tmpl w:val="D9ECE724"/>
    <w:lvl w:ilvl="0">
      <w:start w:val="2"/>
      <w:numFmt w:val="decimal"/>
      <w:lvlText w:val="%1."/>
      <w:lvlJc w:val="left"/>
      <w:pPr>
        <w:tabs>
          <w:tab w:val="num" w:pos="864"/>
        </w:tabs>
        <w:ind w:left="576"/>
      </w:pPr>
      <w:rPr>
        <w:rFonts w:ascii="Verdana" w:hAnsi="Verdana" w:cs="Verdana"/>
        <w:b/>
        <w:i/>
        <w:iCs/>
        <w:snapToGrid/>
        <w:sz w:val="22"/>
        <w:szCs w:val="22"/>
      </w:rPr>
    </w:lvl>
  </w:abstractNum>
  <w:abstractNum w:abstractNumId="7" w15:restartNumberingAfterBreak="0">
    <w:nsid w:val="035793C4"/>
    <w:multiLevelType w:val="singleLevel"/>
    <w:tmpl w:val="5091C084"/>
    <w:lvl w:ilvl="0">
      <w:numFmt w:val="bullet"/>
      <w:lvlText w:val="·"/>
      <w:lvlJc w:val="left"/>
      <w:pPr>
        <w:tabs>
          <w:tab w:val="num" w:pos="3528"/>
        </w:tabs>
        <w:ind w:left="3312"/>
      </w:pPr>
      <w:rPr>
        <w:rFonts w:ascii="Symbol" w:hAnsi="Symbol" w:cs="Symbol"/>
        <w:b/>
        <w:bCs/>
        <w:snapToGrid/>
        <w:spacing w:val="10"/>
        <w:sz w:val="21"/>
        <w:szCs w:val="21"/>
      </w:rPr>
    </w:lvl>
  </w:abstractNum>
  <w:abstractNum w:abstractNumId="8" w15:restartNumberingAfterBreak="0">
    <w:nsid w:val="037A76C6"/>
    <w:multiLevelType w:val="singleLevel"/>
    <w:tmpl w:val="81F407CC"/>
    <w:lvl w:ilvl="0">
      <w:start w:val="1"/>
      <w:numFmt w:val="upperRoman"/>
      <w:lvlText w:val="%1.-"/>
      <w:lvlJc w:val="left"/>
      <w:pPr>
        <w:tabs>
          <w:tab w:val="num" w:pos="864"/>
        </w:tabs>
        <w:ind w:left="216"/>
      </w:pPr>
      <w:rPr>
        <w:rFonts w:ascii="Verdana" w:hAnsi="Verdana" w:cs="Verdana"/>
        <w:snapToGrid/>
        <w:sz w:val="21"/>
        <w:szCs w:val="21"/>
      </w:rPr>
    </w:lvl>
  </w:abstractNum>
  <w:abstractNum w:abstractNumId="9" w15:restartNumberingAfterBreak="0">
    <w:nsid w:val="03895B8E"/>
    <w:multiLevelType w:val="singleLevel"/>
    <w:tmpl w:val="4C4DBD25"/>
    <w:lvl w:ilvl="0">
      <w:start w:val="1"/>
      <w:numFmt w:val="decimal"/>
      <w:lvlText w:val="%1."/>
      <w:lvlJc w:val="left"/>
      <w:pPr>
        <w:tabs>
          <w:tab w:val="num" w:pos="936"/>
        </w:tabs>
        <w:ind w:left="504"/>
      </w:pPr>
      <w:rPr>
        <w:rFonts w:ascii="Verdana" w:hAnsi="Verdana" w:cs="Verdana"/>
        <w:i/>
        <w:iCs/>
        <w:snapToGrid/>
        <w:spacing w:val="10"/>
        <w:sz w:val="21"/>
        <w:szCs w:val="21"/>
      </w:rPr>
    </w:lvl>
  </w:abstractNum>
  <w:abstractNum w:abstractNumId="10" w15:restartNumberingAfterBreak="0">
    <w:nsid w:val="045A508D"/>
    <w:multiLevelType w:val="singleLevel"/>
    <w:tmpl w:val="259DAE72"/>
    <w:lvl w:ilvl="0">
      <w:start w:val="3"/>
      <w:numFmt w:val="lowerLetter"/>
      <w:lvlText w:val="%1."/>
      <w:lvlJc w:val="left"/>
      <w:pPr>
        <w:tabs>
          <w:tab w:val="num" w:pos="1080"/>
        </w:tabs>
        <w:ind w:left="720"/>
      </w:pPr>
      <w:rPr>
        <w:rFonts w:ascii="Verdana" w:hAnsi="Verdana" w:cs="Verdana"/>
        <w:i/>
        <w:iCs/>
        <w:snapToGrid/>
        <w:sz w:val="21"/>
        <w:szCs w:val="21"/>
      </w:rPr>
    </w:lvl>
  </w:abstractNum>
  <w:abstractNum w:abstractNumId="11" w15:restartNumberingAfterBreak="0">
    <w:nsid w:val="0472D746"/>
    <w:multiLevelType w:val="singleLevel"/>
    <w:tmpl w:val="3556FC27"/>
    <w:lvl w:ilvl="0">
      <w:start w:val="1"/>
      <w:numFmt w:val="upperRoman"/>
      <w:lvlText w:val="%1.-"/>
      <w:lvlJc w:val="left"/>
      <w:pPr>
        <w:tabs>
          <w:tab w:val="num" w:pos="504"/>
        </w:tabs>
        <w:ind w:left="216"/>
      </w:pPr>
      <w:rPr>
        <w:b/>
        <w:bCs/>
        <w:snapToGrid/>
        <w:sz w:val="24"/>
        <w:szCs w:val="24"/>
      </w:rPr>
    </w:lvl>
  </w:abstractNum>
  <w:abstractNum w:abstractNumId="12" w15:restartNumberingAfterBreak="0">
    <w:nsid w:val="047F42B5"/>
    <w:multiLevelType w:val="singleLevel"/>
    <w:tmpl w:val="7E6D14A6"/>
    <w:lvl w:ilvl="0">
      <w:start w:val="4"/>
      <w:numFmt w:val="upperRoman"/>
      <w:lvlText w:val="%1.-"/>
      <w:lvlJc w:val="left"/>
      <w:pPr>
        <w:tabs>
          <w:tab w:val="num" w:pos="720"/>
        </w:tabs>
        <w:ind w:left="144"/>
      </w:pPr>
      <w:rPr>
        <w:rFonts w:ascii="Verdana" w:hAnsi="Verdana" w:cs="Verdana"/>
        <w:b/>
        <w:bCs/>
        <w:snapToGrid/>
        <w:spacing w:val="1"/>
        <w:sz w:val="21"/>
        <w:szCs w:val="21"/>
      </w:rPr>
    </w:lvl>
  </w:abstractNum>
  <w:abstractNum w:abstractNumId="13" w15:restartNumberingAfterBreak="0">
    <w:nsid w:val="04BBC64C"/>
    <w:multiLevelType w:val="singleLevel"/>
    <w:tmpl w:val="56ADD2EA"/>
    <w:lvl w:ilvl="0">
      <w:start w:val="7"/>
      <w:numFmt w:val="decimal"/>
      <w:lvlText w:val="%1."/>
      <w:lvlJc w:val="left"/>
      <w:pPr>
        <w:tabs>
          <w:tab w:val="num" w:pos="1008"/>
        </w:tabs>
        <w:ind w:left="720"/>
      </w:pPr>
      <w:rPr>
        <w:rFonts w:ascii="Verdana" w:hAnsi="Verdana" w:cs="Verdana"/>
        <w:b/>
        <w:bCs/>
        <w:i/>
        <w:iCs/>
        <w:snapToGrid/>
        <w:spacing w:val="4"/>
        <w:sz w:val="15"/>
        <w:szCs w:val="15"/>
        <w:u w:val="single"/>
      </w:rPr>
    </w:lvl>
  </w:abstractNum>
  <w:abstractNum w:abstractNumId="14" w15:restartNumberingAfterBreak="0">
    <w:nsid w:val="04E9091B"/>
    <w:multiLevelType w:val="hybridMultilevel"/>
    <w:tmpl w:val="B26EABF0"/>
    <w:lvl w:ilvl="0" w:tplc="2CF04E64">
      <w:start w:val="5"/>
      <w:numFmt w:val="bullet"/>
      <w:lvlText w:val="-"/>
      <w:lvlJc w:val="left"/>
      <w:pPr>
        <w:ind w:left="1224" w:hanging="360"/>
      </w:pPr>
      <w:rPr>
        <w:rFonts w:ascii="Verdana" w:eastAsiaTheme="minorEastAsia" w:hAnsi="Verdana" w:cs="Verdana" w:hint="default"/>
      </w:rPr>
    </w:lvl>
    <w:lvl w:ilvl="1" w:tplc="140A0003" w:tentative="1">
      <w:start w:val="1"/>
      <w:numFmt w:val="bullet"/>
      <w:lvlText w:val="o"/>
      <w:lvlJc w:val="left"/>
      <w:pPr>
        <w:ind w:left="1944" w:hanging="360"/>
      </w:pPr>
      <w:rPr>
        <w:rFonts w:ascii="Courier New" w:hAnsi="Courier New" w:cs="Courier New" w:hint="default"/>
      </w:rPr>
    </w:lvl>
    <w:lvl w:ilvl="2" w:tplc="140A0005" w:tentative="1">
      <w:start w:val="1"/>
      <w:numFmt w:val="bullet"/>
      <w:lvlText w:val=""/>
      <w:lvlJc w:val="left"/>
      <w:pPr>
        <w:ind w:left="2664" w:hanging="360"/>
      </w:pPr>
      <w:rPr>
        <w:rFonts w:ascii="Wingdings" w:hAnsi="Wingdings" w:hint="default"/>
      </w:rPr>
    </w:lvl>
    <w:lvl w:ilvl="3" w:tplc="140A0001" w:tentative="1">
      <w:start w:val="1"/>
      <w:numFmt w:val="bullet"/>
      <w:lvlText w:val=""/>
      <w:lvlJc w:val="left"/>
      <w:pPr>
        <w:ind w:left="3384" w:hanging="360"/>
      </w:pPr>
      <w:rPr>
        <w:rFonts w:ascii="Symbol" w:hAnsi="Symbol" w:hint="default"/>
      </w:rPr>
    </w:lvl>
    <w:lvl w:ilvl="4" w:tplc="140A0003" w:tentative="1">
      <w:start w:val="1"/>
      <w:numFmt w:val="bullet"/>
      <w:lvlText w:val="o"/>
      <w:lvlJc w:val="left"/>
      <w:pPr>
        <w:ind w:left="4104" w:hanging="360"/>
      </w:pPr>
      <w:rPr>
        <w:rFonts w:ascii="Courier New" w:hAnsi="Courier New" w:cs="Courier New" w:hint="default"/>
      </w:rPr>
    </w:lvl>
    <w:lvl w:ilvl="5" w:tplc="140A0005" w:tentative="1">
      <w:start w:val="1"/>
      <w:numFmt w:val="bullet"/>
      <w:lvlText w:val=""/>
      <w:lvlJc w:val="left"/>
      <w:pPr>
        <w:ind w:left="4824" w:hanging="360"/>
      </w:pPr>
      <w:rPr>
        <w:rFonts w:ascii="Wingdings" w:hAnsi="Wingdings" w:hint="default"/>
      </w:rPr>
    </w:lvl>
    <w:lvl w:ilvl="6" w:tplc="140A0001" w:tentative="1">
      <w:start w:val="1"/>
      <w:numFmt w:val="bullet"/>
      <w:lvlText w:val=""/>
      <w:lvlJc w:val="left"/>
      <w:pPr>
        <w:ind w:left="5544" w:hanging="360"/>
      </w:pPr>
      <w:rPr>
        <w:rFonts w:ascii="Symbol" w:hAnsi="Symbol" w:hint="default"/>
      </w:rPr>
    </w:lvl>
    <w:lvl w:ilvl="7" w:tplc="140A0003" w:tentative="1">
      <w:start w:val="1"/>
      <w:numFmt w:val="bullet"/>
      <w:lvlText w:val="o"/>
      <w:lvlJc w:val="left"/>
      <w:pPr>
        <w:ind w:left="6264" w:hanging="360"/>
      </w:pPr>
      <w:rPr>
        <w:rFonts w:ascii="Courier New" w:hAnsi="Courier New" w:cs="Courier New" w:hint="default"/>
      </w:rPr>
    </w:lvl>
    <w:lvl w:ilvl="8" w:tplc="140A0005" w:tentative="1">
      <w:start w:val="1"/>
      <w:numFmt w:val="bullet"/>
      <w:lvlText w:val=""/>
      <w:lvlJc w:val="left"/>
      <w:pPr>
        <w:ind w:left="6984" w:hanging="360"/>
      </w:pPr>
      <w:rPr>
        <w:rFonts w:ascii="Wingdings" w:hAnsi="Wingdings" w:hint="default"/>
      </w:rPr>
    </w:lvl>
  </w:abstractNum>
  <w:abstractNum w:abstractNumId="15" w15:restartNumberingAfterBreak="0">
    <w:nsid w:val="071A3881"/>
    <w:multiLevelType w:val="singleLevel"/>
    <w:tmpl w:val="9E940982"/>
    <w:lvl w:ilvl="0">
      <w:start w:val="1"/>
      <w:numFmt w:val="decimal"/>
      <w:lvlText w:val="%1."/>
      <w:lvlJc w:val="left"/>
      <w:pPr>
        <w:tabs>
          <w:tab w:val="num" w:pos="864"/>
        </w:tabs>
        <w:ind w:left="648"/>
      </w:pPr>
      <w:rPr>
        <w:rFonts w:ascii="Verdana" w:hAnsi="Verdana" w:cs="Verdana"/>
        <w:b/>
        <w:i/>
        <w:iCs/>
        <w:snapToGrid/>
        <w:sz w:val="16"/>
        <w:szCs w:val="16"/>
      </w:rPr>
    </w:lvl>
  </w:abstractNum>
  <w:num w:numId="1">
    <w:abstractNumId w:val="7"/>
  </w:num>
  <w:num w:numId="2">
    <w:abstractNumId w:val="15"/>
  </w:num>
  <w:num w:numId="3">
    <w:abstractNumId w:val="15"/>
    <w:lvlOverride w:ilvl="0">
      <w:lvl w:ilvl="0">
        <w:numFmt w:val="decimal"/>
        <w:lvlText w:val="%1."/>
        <w:lvlJc w:val="left"/>
        <w:pPr>
          <w:tabs>
            <w:tab w:val="num" w:pos="1008"/>
          </w:tabs>
          <w:ind w:left="1008" w:hanging="360"/>
        </w:pPr>
        <w:rPr>
          <w:rFonts w:ascii="Verdana" w:hAnsi="Verdana" w:cs="Verdana"/>
          <w:b/>
          <w:i/>
          <w:iCs/>
          <w:snapToGrid/>
          <w:spacing w:val="1"/>
          <w:sz w:val="16"/>
          <w:szCs w:val="16"/>
        </w:rPr>
      </w:lvl>
    </w:lvlOverride>
  </w:num>
  <w:num w:numId="4">
    <w:abstractNumId w:val="7"/>
    <w:lvlOverride w:ilvl="0">
      <w:lvl w:ilvl="0">
        <w:numFmt w:val="bullet"/>
        <w:lvlText w:val="·"/>
        <w:lvlJc w:val="left"/>
        <w:pPr>
          <w:tabs>
            <w:tab w:val="num" w:pos="1008"/>
          </w:tabs>
          <w:ind w:left="1008" w:hanging="360"/>
        </w:pPr>
        <w:rPr>
          <w:rFonts w:ascii="Symbol" w:hAnsi="Symbol" w:cs="Symbol"/>
          <w:i/>
          <w:iCs/>
          <w:snapToGrid/>
          <w:sz w:val="16"/>
          <w:szCs w:val="16"/>
        </w:rPr>
      </w:lvl>
    </w:lvlOverride>
  </w:num>
  <w:num w:numId="5">
    <w:abstractNumId w:val="7"/>
    <w:lvlOverride w:ilvl="0">
      <w:lvl w:ilvl="0">
        <w:numFmt w:val="bullet"/>
        <w:lvlText w:val="·"/>
        <w:lvlJc w:val="left"/>
        <w:pPr>
          <w:tabs>
            <w:tab w:val="num" w:pos="1152"/>
          </w:tabs>
          <w:ind w:left="1152" w:hanging="360"/>
        </w:pPr>
        <w:rPr>
          <w:rFonts w:ascii="Symbol" w:hAnsi="Symbol" w:cs="Symbol"/>
          <w:i/>
          <w:iCs/>
          <w:snapToGrid/>
          <w:sz w:val="15"/>
          <w:szCs w:val="15"/>
        </w:rPr>
      </w:lvl>
    </w:lvlOverride>
  </w:num>
  <w:num w:numId="6">
    <w:abstractNumId w:val="4"/>
  </w:num>
  <w:num w:numId="7">
    <w:abstractNumId w:val="4"/>
    <w:lvlOverride w:ilvl="0">
      <w:lvl w:ilvl="0">
        <w:numFmt w:val="decimal"/>
        <w:lvlText w:val="%1."/>
        <w:lvlJc w:val="left"/>
        <w:pPr>
          <w:tabs>
            <w:tab w:val="num" w:pos="1152"/>
          </w:tabs>
          <w:ind w:left="1152" w:hanging="360"/>
        </w:pPr>
        <w:rPr>
          <w:rFonts w:ascii="Verdana" w:hAnsi="Verdana" w:cs="Verdana"/>
          <w:b/>
          <w:i/>
          <w:iCs/>
          <w:snapToGrid/>
          <w:spacing w:val="6"/>
          <w:sz w:val="15"/>
          <w:szCs w:val="15"/>
        </w:rPr>
      </w:lvl>
    </w:lvlOverride>
  </w:num>
  <w:num w:numId="8">
    <w:abstractNumId w:val="5"/>
  </w:num>
  <w:num w:numId="9">
    <w:abstractNumId w:val="5"/>
    <w:lvlOverride w:ilvl="0">
      <w:lvl w:ilvl="0">
        <w:numFmt w:val="decimal"/>
        <w:lvlText w:val="%1."/>
        <w:lvlJc w:val="left"/>
        <w:pPr>
          <w:tabs>
            <w:tab w:val="num" w:pos="1008"/>
          </w:tabs>
          <w:ind w:left="792"/>
        </w:pPr>
        <w:rPr>
          <w:rFonts w:ascii="Verdana" w:hAnsi="Verdana" w:cs="Verdana"/>
          <w:b/>
          <w:i/>
          <w:iCs/>
          <w:snapToGrid/>
          <w:sz w:val="15"/>
          <w:szCs w:val="15"/>
        </w:rPr>
      </w:lvl>
    </w:lvlOverride>
  </w:num>
  <w:num w:numId="10">
    <w:abstractNumId w:val="13"/>
  </w:num>
  <w:num w:numId="11">
    <w:abstractNumId w:val="13"/>
    <w:lvlOverride w:ilvl="0">
      <w:lvl w:ilvl="0">
        <w:numFmt w:val="decimal"/>
        <w:lvlText w:val="%1."/>
        <w:lvlJc w:val="left"/>
        <w:pPr>
          <w:tabs>
            <w:tab w:val="num" w:pos="1008"/>
          </w:tabs>
          <w:ind w:left="720"/>
        </w:pPr>
        <w:rPr>
          <w:rFonts w:ascii="Verdana" w:hAnsi="Verdana" w:cs="Verdana"/>
          <w:i/>
          <w:iCs/>
          <w:snapToGrid/>
          <w:sz w:val="15"/>
          <w:szCs w:val="15"/>
        </w:rPr>
      </w:lvl>
    </w:lvlOverride>
  </w:num>
  <w:num w:numId="12">
    <w:abstractNumId w:val="11"/>
  </w:num>
  <w:num w:numId="13">
    <w:abstractNumId w:val="11"/>
    <w:lvlOverride w:ilvl="0">
      <w:lvl w:ilvl="0">
        <w:numFmt w:val="upperRoman"/>
        <w:lvlText w:val="%1.-"/>
        <w:lvlJc w:val="left"/>
        <w:pPr>
          <w:tabs>
            <w:tab w:val="num" w:pos="720"/>
          </w:tabs>
          <w:ind w:left="216"/>
        </w:pPr>
        <w:rPr>
          <w:b/>
          <w:bCs/>
          <w:snapToGrid/>
          <w:spacing w:val="1"/>
          <w:sz w:val="24"/>
          <w:szCs w:val="24"/>
        </w:rPr>
      </w:lvl>
    </w:lvlOverride>
  </w:num>
  <w:num w:numId="14">
    <w:abstractNumId w:val="11"/>
    <w:lvlOverride w:ilvl="0">
      <w:lvl w:ilvl="0">
        <w:numFmt w:val="upperRoman"/>
        <w:lvlText w:val="%1.-"/>
        <w:lvlJc w:val="left"/>
        <w:pPr>
          <w:tabs>
            <w:tab w:val="num" w:pos="792"/>
          </w:tabs>
          <w:ind w:left="216"/>
        </w:pPr>
        <w:rPr>
          <w:b/>
          <w:bCs/>
          <w:snapToGrid/>
          <w:sz w:val="24"/>
          <w:szCs w:val="24"/>
        </w:rPr>
      </w:lvl>
    </w:lvlOverride>
  </w:num>
  <w:num w:numId="15">
    <w:abstractNumId w:val="9"/>
  </w:num>
  <w:num w:numId="16">
    <w:abstractNumId w:val="7"/>
    <w:lvlOverride w:ilvl="0">
      <w:lvl w:ilvl="0">
        <w:numFmt w:val="bullet"/>
        <w:lvlText w:val="·"/>
        <w:lvlJc w:val="left"/>
        <w:pPr>
          <w:tabs>
            <w:tab w:val="num" w:pos="360"/>
          </w:tabs>
        </w:pPr>
        <w:rPr>
          <w:rFonts w:ascii="Symbol" w:hAnsi="Symbol" w:cs="Symbol"/>
          <w:i/>
          <w:iCs/>
          <w:snapToGrid/>
          <w:sz w:val="22"/>
          <w:szCs w:val="22"/>
        </w:rPr>
      </w:lvl>
    </w:lvlOverride>
  </w:num>
  <w:num w:numId="17">
    <w:abstractNumId w:val="1"/>
  </w:num>
  <w:num w:numId="18">
    <w:abstractNumId w:val="3"/>
  </w:num>
  <w:num w:numId="19">
    <w:abstractNumId w:val="3"/>
    <w:lvlOverride w:ilvl="0">
      <w:lvl w:ilvl="0">
        <w:numFmt w:val="upperLetter"/>
        <w:lvlText w:val="%1.-"/>
        <w:lvlJc w:val="left"/>
        <w:pPr>
          <w:tabs>
            <w:tab w:val="num" w:pos="864"/>
          </w:tabs>
          <w:ind w:left="216"/>
        </w:pPr>
        <w:rPr>
          <w:rFonts w:ascii="Verdana" w:hAnsi="Verdana" w:cs="Verdana"/>
          <w:snapToGrid/>
          <w:sz w:val="21"/>
          <w:szCs w:val="21"/>
        </w:rPr>
      </w:lvl>
    </w:lvlOverride>
  </w:num>
  <w:num w:numId="20">
    <w:abstractNumId w:val="6"/>
  </w:num>
  <w:num w:numId="21">
    <w:abstractNumId w:val="12"/>
  </w:num>
  <w:num w:numId="22">
    <w:abstractNumId w:val="12"/>
    <w:lvlOverride w:ilvl="0">
      <w:lvl w:ilvl="0">
        <w:numFmt w:val="upperRoman"/>
        <w:lvlText w:val="%1.-"/>
        <w:lvlJc w:val="left"/>
        <w:pPr>
          <w:tabs>
            <w:tab w:val="num" w:pos="648"/>
          </w:tabs>
          <w:ind w:left="144"/>
        </w:pPr>
        <w:rPr>
          <w:rFonts w:ascii="Verdana" w:hAnsi="Verdana" w:cs="Verdana"/>
          <w:b/>
          <w:bCs/>
          <w:snapToGrid/>
          <w:spacing w:val="9"/>
          <w:sz w:val="21"/>
          <w:szCs w:val="21"/>
        </w:rPr>
      </w:lvl>
    </w:lvlOverride>
  </w:num>
  <w:num w:numId="23">
    <w:abstractNumId w:val="0"/>
  </w:num>
  <w:num w:numId="24">
    <w:abstractNumId w:val="10"/>
  </w:num>
  <w:num w:numId="25">
    <w:abstractNumId w:val="10"/>
    <w:lvlOverride w:ilvl="0">
      <w:lvl w:ilvl="0">
        <w:numFmt w:val="lowerLetter"/>
        <w:lvlText w:val="%1."/>
        <w:lvlJc w:val="left"/>
        <w:pPr>
          <w:tabs>
            <w:tab w:val="num" w:pos="1008"/>
          </w:tabs>
          <w:ind w:left="720"/>
        </w:pPr>
        <w:rPr>
          <w:rFonts w:ascii="Verdana" w:hAnsi="Verdana" w:cs="Verdana"/>
          <w:i/>
          <w:iCs/>
          <w:snapToGrid/>
          <w:spacing w:val="-1"/>
          <w:sz w:val="21"/>
          <w:szCs w:val="21"/>
        </w:rPr>
      </w:lvl>
    </w:lvlOverride>
  </w:num>
  <w:num w:numId="26">
    <w:abstractNumId w:val="7"/>
    <w:lvlOverride w:ilvl="0">
      <w:lvl w:ilvl="0">
        <w:numFmt w:val="bullet"/>
        <w:lvlText w:val="·"/>
        <w:lvlJc w:val="left"/>
        <w:pPr>
          <w:tabs>
            <w:tab w:val="num" w:pos="144"/>
          </w:tabs>
        </w:pPr>
        <w:rPr>
          <w:rFonts w:ascii="Symbol" w:hAnsi="Symbol" w:cs="Symbol"/>
          <w:i/>
          <w:iCs/>
          <w:snapToGrid/>
          <w:sz w:val="21"/>
          <w:szCs w:val="21"/>
        </w:rPr>
      </w:lvl>
    </w:lvlOverride>
  </w:num>
  <w:num w:numId="27">
    <w:abstractNumId w:val="2"/>
  </w:num>
  <w:num w:numId="28">
    <w:abstractNumId w:val="2"/>
    <w:lvlOverride w:ilvl="0">
      <w:lvl w:ilvl="0">
        <w:numFmt w:val="decimal"/>
        <w:lvlText w:val="%1.-"/>
        <w:lvlJc w:val="left"/>
        <w:pPr>
          <w:tabs>
            <w:tab w:val="num" w:pos="864"/>
          </w:tabs>
          <w:ind w:left="216"/>
        </w:pPr>
        <w:rPr>
          <w:rFonts w:ascii="Verdana" w:hAnsi="Verdana" w:cs="Verdana"/>
          <w:b/>
          <w:bCs/>
          <w:i/>
          <w:iCs/>
          <w:snapToGrid/>
          <w:spacing w:val="12"/>
          <w:sz w:val="21"/>
          <w:szCs w:val="21"/>
        </w:rPr>
      </w:lvl>
    </w:lvlOverride>
  </w:num>
  <w:num w:numId="29">
    <w:abstractNumId w:val="8"/>
  </w:num>
  <w:num w:numId="30">
    <w:abstractNumId w:val="8"/>
    <w:lvlOverride w:ilvl="0">
      <w:lvl w:ilvl="0">
        <w:numFmt w:val="upperRoman"/>
        <w:lvlText w:val="%1.-"/>
        <w:lvlJc w:val="left"/>
        <w:pPr>
          <w:tabs>
            <w:tab w:val="num" w:pos="1008"/>
          </w:tabs>
          <w:ind w:left="216"/>
        </w:pPr>
        <w:rPr>
          <w:rFonts w:ascii="Verdana" w:hAnsi="Verdana" w:cs="Verdana"/>
          <w:b/>
          <w:i w:val="0"/>
          <w:snapToGrid/>
          <w:sz w:val="21"/>
          <w:szCs w:val="21"/>
        </w:rPr>
      </w:lvl>
    </w:lvlOverride>
  </w:num>
  <w:num w:numId="31">
    <w:abstractNumId w:val="8"/>
    <w:lvlOverride w:ilvl="0">
      <w:lvl w:ilvl="0">
        <w:numFmt w:val="upperRoman"/>
        <w:lvlText w:val="%1.-"/>
        <w:lvlJc w:val="left"/>
        <w:pPr>
          <w:tabs>
            <w:tab w:val="num" w:pos="864"/>
          </w:tabs>
          <w:ind w:left="216"/>
        </w:pPr>
        <w:rPr>
          <w:rFonts w:ascii="Verdana" w:hAnsi="Verdana" w:cs="Verdana"/>
          <w:b/>
          <w:bCs/>
          <w:snapToGrid/>
          <w:spacing w:val="2"/>
          <w:sz w:val="21"/>
          <w:szCs w:val="21"/>
        </w:rPr>
      </w:lvl>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32"/>
    <w:rsid w:val="00167905"/>
    <w:rsid w:val="00254E98"/>
    <w:rsid w:val="002E665D"/>
    <w:rsid w:val="00372F3C"/>
    <w:rsid w:val="00475155"/>
    <w:rsid w:val="005D0332"/>
    <w:rsid w:val="007D02B6"/>
    <w:rsid w:val="009A1524"/>
    <w:rsid w:val="00B0536B"/>
    <w:rsid w:val="00F833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0536B"/>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536B"/>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9377</Words>
  <Characters>51576</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2019-04-25T17:46:00Z</dcterms:created>
  <dcterms:modified xsi:type="dcterms:W3CDTF">2019-04-25T17:46:00Z</dcterms:modified>
</cp:coreProperties>
</file>