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B30" w:rsidRPr="006B22CB" w:rsidRDefault="007B2B30" w:rsidP="007B2B30">
      <w:pPr>
        <w:spacing w:line="276" w:lineRule="auto"/>
        <w:rPr>
          <w:rStyle w:val="CharacterStyle1"/>
          <w:rFonts w:ascii="Verdana" w:eastAsia="Calibri" w:hAnsi="Verdana"/>
          <w:b/>
          <w:bCs/>
          <w:sz w:val="22"/>
          <w:szCs w:val="22"/>
          <w:lang w:val="es-ES"/>
        </w:rPr>
      </w:pPr>
      <w:bookmarkStart w:id="0" w:name="_GoBack"/>
      <w:bookmarkEnd w:id="0"/>
    </w:p>
    <w:p w:rsidR="007B2B30" w:rsidRPr="006B22CB" w:rsidRDefault="007B2B30" w:rsidP="007B2B30">
      <w:pPr>
        <w:pStyle w:val="Sinespaciado"/>
        <w:spacing w:line="276" w:lineRule="auto"/>
        <w:jc w:val="center"/>
        <w:rPr>
          <w:rFonts w:ascii="Verdana" w:hAnsi="Verdana" w:cs="Times New Roman"/>
          <w:b/>
        </w:rPr>
      </w:pPr>
    </w:p>
    <w:p w:rsidR="007B2B30" w:rsidRPr="006B22CB" w:rsidRDefault="007B2B30" w:rsidP="007B2B30">
      <w:pPr>
        <w:pStyle w:val="Sinespaciado"/>
        <w:spacing w:line="276" w:lineRule="auto"/>
        <w:jc w:val="center"/>
        <w:rPr>
          <w:rFonts w:ascii="Verdana" w:hAnsi="Verdana" w:cs="Times New Roman"/>
          <w:b/>
        </w:rPr>
      </w:pPr>
      <w:r w:rsidRPr="006B22CB">
        <w:rPr>
          <w:rFonts w:ascii="Verdana" w:hAnsi="Verdana" w:cs="Times New Roman"/>
          <w:b/>
        </w:rPr>
        <w:t>RESOLUCIÓN No. TAT-</w:t>
      </w:r>
      <w:r w:rsidR="00DE4F25">
        <w:rPr>
          <w:rFonts w:ascii="Verdana" w:hAnsi="Verdana" w:cs="Times New Roman"/>
          <w:b/>
        </w:rPr>
        <w:t>3506</w:t>
      </w:r>
      <w:r w:rsidRPr="006B22CB">
        <w:rPr>
          <w:rFonts w:ascii="Verdana" w:hAnsi="Verdana" w:cs="Times New Roman"/>
          <w:b/>
        </w:rPr>
        <w:t>-2018</w:t>
      </w:r>
    </w:p>
    <w:p w:rsidR="007B2B30" w:rsidRPr="006B22CB" w:rsidRDefault="007B2B30" w:rsidP="007B2B30">
      <w:pPr>
        <w:pStyle w:val="Sinespaciado"/>
        <w:spacing w:line="276" w:lineRule="auto"/>
        <w:jc w:val="both"/>
        <w:rPr>
          <w:rFonts w:ascii="Verdana" w:hAnsi="Verdana" w:cs="Times New Roman"/>
        </w:rPr>
      </w:pPr>
    </w:p>
    <w:p w:rsidR="00DE4F25" w:rsidRPr="006B22CB" w:rsidRDefault="00DE4F25" w:rsidP="00DE4F25">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veintiún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7B2B30" w:rsidRPr="006B22CB" w:rsidRDefault="007B2B30" w:rsidP="007B2B30">
      <w:pPr>
        <w:spacing w:line="276" w:lineRule="auto"/>
        <w:jc w:val="both"/>
        <w:rPr>
          <w:rFonts w:ascii="Verdana" w:hAnsi="Verdana"/>
          <w:sz w:val="22"/>
          <w:szCs w:val="22"/>
        </w:rPr>
      </w:pPr>
    </w:p>
    <w:p w:rsidR="007B2B30" w:rsidRDefault="007B2B30" w:rsidP="007B2B30">
      <w:pPr>
        <w:spacing w:line="276" w:lineRule="auto"/>
        <w:jc w:val="both"/>
        <w:rPr>
          <w:rFonts w:ascii="Verdana" w:hAnsi="Verdana"/>
          <w:sz w:val="22"/>
          <w:szCs w:val="22"/>
        </w:rPr>
      </w:pPr>
    </w:p>
    <w:p w:rsidR="007B2B30" w:rsidRPr="006B22CB" w:rsidRDefault="007B2B30" w:rsidP="007B2B30">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A</w:t>
      </w:r>
      <w:r w:rsidR="00EE3097">
        <w:rPr>
          <w:rFonts w:ascii="Verdana" w:hAnsi="Verdana"/>
          <w:b/>
          <w:sz w:val="22"/>
          <w:szCs w:val="22"/>
        </w:rPr>
        <w:t>.H.N.S.A.</w:t>
      </w:r>
      <w:r w:rsidRPr="006B22CB">
        <w:rPr>
          <w:rFonts w:ascii="Verdana" w:hAnsi="Verdana"/>
          <w:sz w:val="22"/>
          <w:szCs w:val="22"/>
        </w:rPr>
        <w:t xml:space="preserve">, </w:t>
      </w:r>
      <w:r w:rsidRPr="006B22CB">
        <w:rPr>
          <w:rFonts w:ascii="Verdana" w:hAnsi="Verdana"/>
          <w:b/>
          <w:sz w:val="22"/>
          <w:szCs w:val="22"/>
        </w:rPr>
        <w:t xml:space="preserve">cédula jurídica número </w:t>
      </w:r>
      <w:r w:rsidR="00EE3097">
        <w:rPr>
          <w:rFonts w:ascii="Verdana" w:hAnsi="Verdana"/>
          <w:b/>
          <w:sz w:val="22"/>
          <w:szCs w:val="22"/>
        </w:rPr>
        <w:t>…</w:t>
      </w:r>
      <w:r w:rsidRPr="006B22CB">
        <w:rPr>
          <w:rFonts w:ascii="Verdana" w:hAnsi="Verdana"/>
          <w:sz w:val="22"/>
          <w:szCs w:val="22"/>
        </w:rPr>
        <w:t>, representada por su Apoderad</w:t>
      </w:r>
      <w:r>
        <w:rPr>
          <w:rFonts w:ascii="Verdana" w:hAnsi="Verdana"/>
          <w:sz w:val="22"/>
          <w:szCs w:val="22"/>
        </w:rPr>
        <w:t>o Generalísimo</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 xml:space="preserve">eñor </w:t>
      </w:r>
      <w:r>
        <w:rPr>
          <w:rFonts w:ascii="Verdana" w:hAnsi="Verdana"/>
          <w:b/>
          <w:sz w:val="22"/>
          <w:szCs w:val="22"/>
        </w:rPr>
        <w:t>M</w:t>
      </w:r>
      <w:r w:rsidR="00EE3097">
        <w:rPr>
          <w:rFonts w:ascii="Verdana" w:hAnsi="Verdana"/>
          <w:b/>
          <w:sz w:val="22"/>
          <w:szCs w:val="22"/>
        </w:rPr>
        <w:t>.D.R.</w:t>
      </w:r>
      <w:r>
        <w:rPr>
          <w:rFonts w:ascii="Verdana" w:hAnsi="Verdana"/>
          <w:b/>
          <w:sz w:val="22"/>
          <w:szCs w:val="22"/>
        </w:rPr>
        <w:t xml:space="preserve">, cédula de identidad número </w:t>
      </w:r>
      <w:r w:rsidR="00EE3097">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TAT-141-18</w:t>
      </w:r>
    </w:p>
    <w:p w:rsidR="007B2B30" w:rsidRDefault="007B2B30" w:rsidP="007B2B30">
      <w:pPr>
        <w:spacing w:line="276" w:lineRule="auto"/>
        <w:jc w:val="both"/>
        <w:rPr>
          <w:rStyle w:val="CharacterStyle1"/>
          <w:rFonts w:ascii="Verdana" w:hAnsi="Verdana"/>
          <w:b/>
          <w:spacing w:val="9"/>
          <w:sz w:val="22"/>
          <w:szCs w:val="22"/>
          <w:lang w:val="es-ES"/>
        </w:rPr>
      </w:pPr>
    </w:p>
    <w:p w:rsidR="007B2B30" w:rsidRPr="006B22CB" w:rsidRDefault="007B2B30" w:rsidP="007B2B30">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7B2B30" w:rsidRPr="006B22CB" w:rsidRDefault="007B2B30" w:rsidP="007B2B30">
      <w:pPr>
        <w:spacing w:line="276" w:lineRule="auto"/>
        <w:rPr>
          <w:rFonts w:ascii="Verdana" w:hAnsi="Verdana"/>
          <w:sz w:val="22"/>
          <w:szCs w:val="22"/>
        </w:rPr>
      </w:pPr>
    </w:p>
    <w:p w:rsidR="007B2B30" w:rsidRPr="006B22CB" w:rsidRDefault="007B2B30" w:rsidP="007B2B30">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7B2B30" w:rsidRPr="006B22CB" w:rsidRDefault="007B2B30" w:rsidP="007B2B30">
      <w:pPr>
        <w:spacing w:line="276" w:lineRule="auto"/>
        <w:jc w:val="both"/>
        <w:rPr>
          <w:rStyle w:val="CharacterStyle1"/>
          <w:rFonts w:ascii="Verdana" w:hAnsi="Verdana"/>
          <w:spacing w:val="9"/>
          <w:sz w:val="22"/>
          <w:szCs w:val="22"/>
          <w:lang w:val="es-ES"/>
        </w:rPr>
      </w:pPr>
    </w:p>
    <w:p w:rsidR="007B2B30" w:rsidRPr="006B22CB" w:rsidRDefault="007B2B30" w:rsidP="007B2B30">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7B2B30" w:rsidRPr="006B22CB" w:rsidRDefault="007B2B30" w:rsidP="007B2B3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p>
    <w:p w:rsidR="007B2B30" w:rsidRPr="006B22CB" w:rsidRDefault="007B2B30" w:rsidP="007B2B3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7B2B30" w:rsidRPr="006B22CB" w:rsidRDefault="007B2B30" w:rsidP="007B2B30">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7B2B30" w:rsidRPr="006B22CB" w:rsidRDefault="007B2B30" w:rsidP="007B2B30">
      <w:pPr>
        <w:spacing w:line="276" w:lineRule="auto"/>
        <w:jc w:val="both"/>
        <w:rPr>
          <w:rStyle w:val="CharacterStyle1"/>
          <w:rFonts w:ascii="Verdana" w:hAnsi="Verdana"/>
          <w:b/>
          <w:spacing w:val="9"/>
          <w:sz w:val="22"/>
          <w:szCs w:val="22"/>
          <w:lang w:val="es-ES"/>
        </w:rPr>
      </w:pPr>
    </w:p>
    <w:p w:rsidR="007B2B30" w:rsidRPr="006B22CB" w:rsidRDefault="007B2B30" w:rsidP="007B2B3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7B2B30" w:rsidRPr="006B22CB" w:rsidRDefault="007B2B30" w:rsidP="007B2B30">
      <w:pPr>
        <w:spacing w:line="276" w:lineRule="auto"/>
        <w:jc w:val="both"/>
        <w:rPr>
          <w:rStyle w:val="CharacterStyle1"/>
          <w:rFonts w:ascii="Verdana" w:hAnsi="Verdana"/>
          <w:spacing w:val="9"/>
          <w:sz w:val="22"/>
          <w:szCs w:val="22"/>
          <w:lang w:val="es-ES"/>
        </w:rPr>
      </w:pPr>
    </w:p>
    <w:p w:rsidR="007B2B30" w:rsidRPr="00D7146E" w:rsidRDefault="007B2B30" w:rsidP="007B2B30">
      <w:pPr>
        <w:pStyle w:val="Default"/>
        <w:spacing w:line="276" w:lineRule="auto"/>
        <w:ind w:right="758"/>
        <w:jc w:val="both"/>
        <w:rPr>
          <w:rFonts w:ascii="Verdana" w:hAnsi="Verdana" w:cs="Times New Roman"/>
          <w:i/>
          <w:sz w:val="16"/>
          <w:szCs w:val="16"/>
        </w:rPr>
      </w:pPr>
    </w:p>
    <w:p w:rsidR="007B2B30" w:rsidRPr="00D7146E" w:rsidRDefault="007B2B30" w:rsidP="007B2B30">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7B2B30" w:rsidRPr="00D7146E" w:rsidRDefault="007B2B30" w:rsidP="007B2B30">
      <w:pPr>
        <w:pStyle w:val="Default"/>
        <w:spacing w:line="276" w:lineRule="auto"/>
        <w:ind w:left="567" w:right="758"/>
        <w:jc w:val="both"/>
        <w:rPr>
          <w:rFonts w:ascii="Verdana" w:hAnsi="Verdana" w:cs="Times New Roman"/>
          <w:i/>
          <w:sz w:val="16"/>
          <w:szCs w:val="16"/>
        </w:rPr>
      </w:pPr>
    </w:p>
    <w:p w:rsidR="007B2B30" w:rsidRPr="00D7146E" w:rsidRDefault="007B2B30" w:rsidP="007B2B30">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7B2B30" w:rsidRPr="00D7146E" w:rsidRDefault="007B2B30" w:rsidP="007B2B30">
      <w:pPr>
        <w:pStyle w:val="Default"/>
        <w:spacing w:line="276" w:lineRule="auto"/>
        <w:ind w:left="567" w:right="758"/>
        <w:jc w:val="both"/>
        <w:rPr>
          <w:rFonts w:ascii="Verdana" w:hAnsi="Verdana" w:cs="Times New Roman"/>
          <w:i/>
          <w:sz w:val="16"/>
          <w:szCs w:val="16"/>
        </w:rPr>
      </w:pPr>
    </w:p>
    <w:p w:rsidR="007B2B30" w:rsidRPr="00D7146E" w:rsidRDefault="007B2B30" w:rsidP="007B2B30">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B2B30" w:rsidRPr="006B22CB" w:rsidRDefault="007B2B30" w:rsidP="007B2B30">
      <w:pPr>
        <w:spacing w:line="276" w:lineRule="auto"/>
        <w:jc w:val="both"/>
        <w:rPr>
          <w:rStyle w:val="CharacterStyle1"/>
          <w:rFonts w:ascii="Verdana" w:hAnsi="Verdana"/>
          <w:b/>
          <w:spacing w:val="9"/>
          <w:sz w:val="22"/>
          <w:szCs w:val="22"/>
          <w:lang w:val="es-ES"/>
        </w:rPr>
      </w:pPr>
    </w:p>
    <w:p w:rsidR="007B2B30" w:rsidRPr="006B22CB" w:rsidRDefault="007B2B30" w:rsidP="007B2B30">
      <w:pPr>
        <w:spacing w:line="276" w:lineRule="auto"/>
        <w:jc w:val="both"/>
        <w:rPr>
          <w:rStyle w:val="CharacterStyle1"/>
          <w:rFonts w:ascii="Verdana" w:hAnsi="Verdana"/>
          <w:b/>
          <w:spacing w:val="9"/>
          <w:sz w:val="22"/>
          <w:szCs w:val="22"/>
          <w:lang w:val="es-ES"/>
        </w:rPr>
      </w:pPr>
    </w:p>
    <w:p w:rsidR="007B2B30" w:rsidRPr="006B22CB" w:rsidRDefault="007B2B30" w:rsidP="007B2B3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7B2B30" w:rsidRPr="006B22CB" w:rsidRDefault="007B2B30" w:rsidP="007B2B30">
      <w:pPr>
        <w:pStyle w:val="Default"/>
        <w:spacing w:line="276" w:lineRule="auto"/>
        <w:ind w:right="616"/>
        <w:rPr>
          <w:rFonts w:ascii="Verdana" w:hAnsi="Verdana" w:cs="Times New Roman"/>
          <w:sz w:val="22"/>
          <w:szCs w:val="22"/>
        </w:rPr>
      </w:pPr>
    </w:p>
    <w:p w:rsidR="007B2B30" w:rsidRDefault="007B2B30" w:rsidP="007B2B30">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7B2B30" w:rsidRDefault="007B2B30" w:rsidP="007B2B30">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7B2B30" w:rsidRDefault="007B2B30" w:rsidP="007B2B30">
      <w:pPr>
        <w:pStyle w:val="Sinespaciado"/>
        <w:spacing w:line="276" w:lineRule="auto"/>
        <w:ind w:left="567" w:right="616"/>
        <w:jc w:val="both"/>
        <w:rPr>
          <w:rFonts w:ascii="Verdana" w:hAnsi="Verdana" w:cs="Times New Roman"/>
          <w:b/>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7B2B30" w:rsidRPr="00330885" w:rsidRDefault="007B2B30" w:rsidP="007B2B30">
      <w:pPr>
        <w:pStyle w:val="Sinespaciado"/>
        <w:spacing w:line="276" w:lineRule="auto"/>
        <w:ind w:left="567" w:right="616"/>
        <w:jc w:val="both"/>
        <w:rPr>
          <w:rFonts w:ascii="Verdana" w:hAnsi="Verdana" w:cs="Times New Roman"/>
          <w:b/>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7B2B30" w:rsidRPr="00330885" w:rsidRDefault="007B2B30" w:rsidP="007B2B30">
      <w:pPr>
        <w:pStyle w:val="Sinespaciado"/>
        <w:spacing w:line="276" w:lineRule="auto"/>
        <w:ind w:left="567" w:right="616"/>
        <w:jc w:val="both"/>
        <w:rPr>
          <w:rFonts w:ascii="Verdana" w:hAnsi="Verdana" w:cs="Times New Roman"/>
          <w:b/>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7B2B30" w:rsidRPr="00330885" w:rsidRDefault="007B2B30" w:rsidP="007B2B30">
      <w:pPr>
        <w:pStyle w:val="Sinespaciado"/>
        <w:spacing w:line="276" w:lineRule="auto"/>
        <w:ind w:left="567" w:right="616"/>
        <w:jc w:val="both"/>
        <w:rPr>
          <w:rFonts w:ascii="Verdana" w:hAnsi="Verdana" w:cs="Times New Roman"/>
          <w:b/>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7B2B30" w:rsidRPr="00330885" w:rsidRDefault="007B2B30" w:rsidP="007B2B30">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7B2B30" w:rsidRPr="00330885" w:rsidRDefault="007B2B30" w:rsidP="007B2B30">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B2B30" w:rsidRPr="00330885" w:rsidRDefault="007B2B30" w:rsidP="007B2B30">
      <w:pPr>
        <w:pStyle w:val="Sinespaciado"/>
        <w:spacing w:line="276" w:lineRule="auto"/>
        <w:ind w:left="567" w:right="616"/>
        <w:jc w:val="both"/>
        <w:rPr>
          <w:rFonts w:ascii="Verdana" w:hAnsi="Verdana" w:cs="Times New Roman"/>
          <w:i/>
          <w:sz w:val="16"/>
          <w:szCs w:val="16"/>
        </w:rPr>
      </w:pPr>
    </w:p>
    <w:p w:rsidR="007B2B30" w:rsidRPr="00330885" w:rsidRDefault="007B2B30" w:rsidP="007B2B3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7B2B30" w:rsidRPr="006B22CB" w:rsidRDefault="007B2B30" w:rsidP="007B2B30">
      <w:pPr>
        <w:spacing w:line="276" w:lineRule="auto"/>
        <w:jc w:val="both"/>
        <w:rPr>
          <w:rStyle w:val="CharacterStyle1"/>
          <w:rFonts w:ascii="Verdana" w:hAnsi="Verdana"/>
          <w:b/>
          <w:spacing w:val="9"/>
          <w:sz w:val="22"/>
          <w:szCs w:val="22"/>
          <w:lang w:val="es-ES"/>
        </w:rPr>
      </w:pPr>
    </w:p>
    <w:p w:rsidR="007B2B30" w:rsidRPr="006B22CB" w:rsidRDefault="007B2B30" w:rsidP="007B2B3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 xml:space="preserve">La recurrente </w:t>
      </w:r>
      <w:r>
        <w:rPr>
          <w:rFonts w:ascii="Verdana" w:hAnsi="Verdana"/>
          <w:b/>
          <w:sz w:val="22"/>
          <w:szCs w:val="22"/>
        </w:rPr>
        <w:t>A</w:t>
      </w:r>
      <w:r w:rsidR="00EE3097">
        <w:rPr>
          <w:rFonts w:ascii="Verdana" w:hAnsi="Verdana"/>
          <w:b/>
          <w:sz w:val="22"/>
          <w:szCs w:val="22"/>
        </w:rPr>
        <w:t>.H.N.S.A.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7B2B30" w:rsidRPr="006B22CB" w:rsidRDefault="007B2B30" w:rsidP="007B2B30">
      <w:pPr>
        <w:spacing w:line="276" w:lineRule="auto"/>
        <w:jc w:val="both"/>
        <w:rPr>
          <w:rStyle w:val="CharacterStyle1"/>
          <w:rFonts w:ascii="Verdana" w:hAnsi="Verdana"/>
          <w:spacing w:val="9"/>
          <w:sz w:val="22"/>
          <w:szCs w:val="22"/>
          <w:lang w:val="es-ES"/>
        </w:rPr>
      </w:pPr>
    </w:p>
    <w:p w:rsidR="007B2B30" w:rsidRPr="006B22CB" w:rsidRDefault="007B2B30" w:rsidP="007B2B30">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7B2B30" w:rsidRPr="006B22CB" w:rsidRDefault="007B2B30" w:rsidP="007B2B30">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7B2B30" w:rsidRDefault="007B2B30" w:rsidP="007B2B30">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7B2B30" w:rsidRPr="008E592E" w:rsidRDefault="007B2B30" w:rsidP="007B2B30">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7B2B30" w:rsidRDefault="007B2B30" w:rsidP="007B2B30">
      <w:pPr>
        <w:spacing w:line="276" w:lineRule="auto"/>
        <w:jc w:val="both"/>
        <w:rPr>
          <w:rStyle w:val="CharacterStyle1"/>
          <w:rFonts w:ascii="Verdana" w:hAnsi="Verdana"/>
          <w:b/>
          <w:spacing w:val="9"/>
          <w:sz w:val="22"/>
          <w:szCs w:val="22"/>
          <w:lang w:val="es-ES"/>
        </w:rPr>
      </w:pPr>
    </w:p>
    <w:p w:rsidR="007B2B30" w:rsidRPr="006B22CB" w:rsidRDefault="007B2B30" w:rsidP="007B2B3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7.6.17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DAJ- 2018-000918 de 9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7B2B30" w:rsidRPr="006B22CB" w:rsidRDefault="007B2B30" w:rsidP="007B2B30">
      <w:pPr>
        <w:spacing w:line="276" w:lineRule="auto"/>
        <w:jc w:val="both"/>
        <w:rPr>
          <w:rStyle w:val="CharacterStyle1"/>
          <w:rFonts w:ascii="Verdana" w:hAnsi="Verdana"/>
          <w:spacing w:val="9"/>
          <w:sz w:val="22"/>
          <w:szCs w:val="22"/>
          <w:lang w:val="es-ES"/>
        </w:rPr>
      </w:pPr>
    </w:p>
    <w:p w:rsidR="007B2B30" w:rsidRPr="006B22CB" w:rsidRDefault="007B2B30" w:rsidP="007B2B3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7B2B30" w:rsidRPr="006B22CB" w:rsidRDefault="007B2B30" w:rsidP="007B2B30">
      <w:pPr>
        <w:spacing w:line="276" w:lineRule="auto"/>
        <w:rPr>
          <w:rStyle w:val="CharacterStyle1"/>
          <w:rFonts w:ascii="Verdana" w:hAnsi="Verdana"/>
          <w:b/>
          <w:i/>
          <w:spacing w:val="9"/>
          <w:sz w:val="22"/>
          <w:szCs w:val="22"/>
          <w:lang w:val="es-ES"/>
        </w:rPr>
      </w:pPr>
    </w:p>
    <w:p w:rsidR="007B2B30" w:rsidRPr="006B22CB" w:rsidRDefault="007B2B30" w:rsidP="007B2B30">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7B2B30" w:rsidRPr="006B22CB" w:rsidRDefault="007B2B30" w:rsidP="007B2B30">
      <w:pPr>
        <w:spacing w:line="276" w:lineRule="auto"/>
        <w:rPr>
          <w:rStyle w:val="CharacterStyle1"/>
          <w:rFonts w:ascii="Verdana" w:hAnsi="Verdana"/>
          <w:b/>
          <w:bCs/>
          <w:i/>
          <w:spacing w:val="9"/>
          <w:sz w:val="22"/>
          <w:szCs w:val="22"/>
          <w:lang w:val="es-ES"/>
        </w:rPr>
      </w:pPr>
    </w:p>
    <w:p w:rsidR="007B2B30" w:rsidRDefault="007B2B30" w:rsidP="007B2B30">
      <w:pPr>
        <w:spacing w:line="276" w:lineRule="auto"/>
        <w:jc w:val="center"/>
        <w:rPr>
          <w:rStyle w:val="CharacterStyle1"/>
          <w:rFonts w:ascii="Verdana" w:hAnsi="Verdana"/>
          <w:b/>
          <w:spacing w:val="9"/>
          <w:sz w:val="22"/>
          <w:szCs w:val="22"/>
          <w:lang w:val="es-ES"/>
        </w:rPr>
      </w:pPr>
    </w:p>
    <w:p w:rsidR="007B2B30" w:rsidRDefault="007B2B30" w:rsidP="007B2B30">
      <w:pPr>
        <w:spacing w:line="276" w:lineRule="auto"/>
        <w:jc w:val="center"/>
        <w:rPr>
          <w:rStyle w:val="CharacterStyle1"/>
          <w:rFonts w:ascii="Verdana" w:hAnsi="Verdana"/>
          <w:b/>
          <w:spacing w:val="9"/>
          <w:sz w:val="22"/>
          <w:szCs w:val="22"/>
          <w:lang w:val="es-ES"/>
        </w:rPr>
      </w:pPr>
    </w:p>
    <w:p w:rsidR="007B2B30" w:rsidRPr="009C664D" w:rsidRDefault="007B2B30" w:rsidP="007B2B30">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7B2B30" w:rsidRPr="006B22CB" w:rsidRDefault="007B2B30" w:rsidP="007B2B30">
      <w:pPr>
        <w:spacing w:line="276" w:lineRule="auto"/>
        <w:jc w:val="both"/>
        <w:rPr>
          <w:rStyle w:val="CharacterStyle1"/>
          <w:rFonts w:ascii="Verdana" w:hAnsi="Verdana"/>
          <w:bCs/>
          <w:spacing w:val="9"/>
          <w:sz w:val="22"/>
          <w:szCs w:val="22"/>
          <w:lang w:val="es-ES"/>
        </w:rPr>
      </w:pPr>
    </w:p>
    <w:p w:rsidR="007B2B30" w:rsidRPr="008D218C" w:rsidRDefault="007B2B30" w:rsidP="007B2B30">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7B2B30" w:rsidRPr="008D218C" w:rsidRDefault="007B2B30" w:rsidP="007B2B30">
      <w:pPr>
        <w:jc w:val="both"/>
        <w:rPr>
          <w:rFonts w:ascii="Verdana" w:hAnsi="Verdana"/>
          <w:b/>
          <w:sz w:val="22"/>
          <w:szCs w:val="22"/>
        </w:rPr>
      </w:pPr>
    </w:p>
    <w:p w:rsidR="007B2B30" w:rsidRPr="008D218C" w:rsidRDefault="007B2B30" w:rsidP="007B2B30">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7B2B30" w:rsidRPr="008D218C" w:rsidRDefault="007B2B30" w:rsidP="007B2B30">
      <w:pPr>
        <w:jc w:val="both"/>
        <w:rPr>
          <w:rFonts w:ascii="Verdana" w:hAnsi="Verdana"/>
          <w:b/>
          <w:sz w:val="22"/>
          <w:szCs w:val="22"/>
        </w:rPr>
      </w:pPr>
    </w:p>
    <w:p w:rsidR="007B2B30" w:rsidRPr="008D218C" w:rsidRDefault="007B2B30" w:rsidP="007B2B30">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7B2B30" w:rsidRPr="006B22CB" w:rsidRDefault="007B2B30" w:rsidP="007B2B30">
      <w:pPr>
        <w:pStyle w:val="Textoindependiente"/>
        <w:jc w:val="both"/>
        <w:rPr>
          <w:rFonts w:ascii="Verdana" w:hAnsi="Verdana"/>
          <w:b/>
          <w:sz w:val="22"/>
          <w:szCs w:val="22"/>
        </w:rPr>
      </w:pPr>
    </w:p>
    <w:p w:rsidR="004860A8" w:rsidRPr="006B22CB" w:rsidRDefault="007B2B30" w:rsidP="004860A8">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w:t>
      </w:r>
      <w:r w:rsidR="004860A8">
        <w:rPr>
          <w:rStyle w:val="CharacterStyle1"/>
          <w:rFonts w:ascii="Verdana" w:hAnsi="Verdana"/>
          <w:spacing w:val="9"/>
          <w:sz w:val="22"/>
          <w:szCs w:val="22"/>
          <w:lang w:val="es-ES"/>
        </w:rPr>
        <w:t>( ver folios 102 vuelto al 104   del expediente administrativo)</w:t>
      </w:r>
    </w:p>
    <w:p w:rsidR="007B2B30" w:rsidRPr="006B22CB" w:rsidRDefault="007B2B30" w:rsidP="007B2B30">
      <w:pPr>
        <w:spacing w:line="276" w:lineRule="auto"/>
        <w:jc w:val="both"/>
        <w:rPr>
          <w:rStyle w:val="CharacterStyle1"/>
          <w:rFonts w:ascii="Verdana" w:hAnsi="Verdana"/>
          <w:i/>
          <w:spacing w:val="9"/>
          <w:sz w:val="22"/>
          <w:szCs w:val="22"/>
          <w:lang w:val="es-ES"/>
        </w:rPr>
      </w:pP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7B2B30" w:rsidRPr="006B22CB" w:rsidRDefault="007B2B30" w:rsidP="007B2B3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7B2B30" w:rsidRPr="006B22CB" w:rsidRDefault="007B2B30" w:rsidP="007B2B3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7B2B30" w:rsidRPr="006B22CB" w:rsidRDefault="007B2B30" w:rsidP="007B2B30">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DA0B86" w:rsidRPr="006B22CB" w:rsidRDefault="007B2B30" w:rsidP="00DA0B86">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proofErr w:type="gramStart"/>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w:t>
      </w:r>
      <w:r w:rsidR="00DA0B86">
        <w:rPr>
          <w:rStyle w:val="CharacterStyle1"/>
          <w:rFonts w:ascii="Verdana" w:hAnsi="Verdana"/>
          <w:spacing w:val="9"/>
          <w:sz w:val="22"/>
          <w:szCs w:val="22"/>
          <w:lang w:val="es-ES"/>
        </w:rPr>
        <w:t xml:space="preserve"> (</w:t>
      </w:r>
      <w:proofErr w:type="gramEnd"/>
      <w:r w:rsidR="00DA0B86">
        <w:rPr>
          <w:rStyle w:val="CharacterStyle1"/>
          <w:rFonts w:ascii="Verdana" w:hAnsi="Verdana"/>
          <w:spacing w:val="9"/>
          <w:sz w:val="22"/>
          <w:szCs w:val="22"/>
          <w:lang w:val="es-ES"/>
        </w:rPr>
        <w:t>ver folios del 105 vuelto al 108   del expediente administrativo)</w:t>
      </w:r>
    </w:p>
    <w:p w:rsidR="007B2B30" w:rsidRPr="006B22CB" w:rsidRDefault="007B2B30" w:rsidP="007B2B30">
      <w:pPr>
        <w:spacing w:line="276" w:lineRule="auto"/>
        <w:jc w:val="both"/>
        <w:rPr>
          <w:rFonts w:ascii="Verdana" w:hAnsi="Verdana"/>
          <w:i/>
          <w:sz w:val="22"/>
          <w:szCs w:val="22"/>
        </w:rPr>
      </w:pPr>
    </w:p>
    <w:p w:rsidR="007B2B30" w:rsidRPr="006B22CB" w:rsidRDefault="007B2B30" w:rsidP="007B2B30">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7B2B30" w:rsidRPr="006B22CB" w:rsidRDefault="007B2B30" w:rsidP="007B2B30">
      <w:pPr>
        <w:pStyle w:val="Default"/>
        <w:spacing w:line="276" w:lineRule="auto"/>
        <w:ind w:left="340" w:right="340"/>
        <w:jc w:val="both"/>
        <w:rPr>
          <w:rFonts w:ascii="Verdana" w:hAnsi="Verdana" w:cs="Times New Roman"/>
          <w:i/>
          <w:sz w:val="22"/>
          <w:szCs w:val="22"/>
        </w:rPr>
      </w:pPr>
    </w:p>
    <w:p w:rsidR="007B2B30" w:rsidRPr="006B22CB" w:rsidRDefault="007B2B30" w:rsidP="007B2B30">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7B2B30" w:rsidRPr="006B22CB" w:rsidRDefault="007B2B30" w:rsidP="007B2B30">
      <w:pPr>
        <w:pStyle w:val="Default"/>
        <w:spacing w:line="276" w:lineRule="auto"/>
        <w:ind w:left="340" w:right="340"/>
        <w:jc w:val="both"/>
        <w:rPr>
          <w:rFonts w:ascii="Verdana" w:hAnsi="Verdana" w:cs="Times New Roman"/>
          <w:i/>
          <w:sz w:val="22"/>
          <w:szCs w:val="22"/>
        </w:rPr>
      </w:pPr>
    </w:p>
    <w:p w:rsidR="007B2B30" w:rsidRPr="006B22CB" w:rsidRDefault="007B2B30" w:rsidP="007B2B30">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7B2B30" w:rsidRPr="006B22CB" w:rsidRDefault="007B2B30" w:rsidP="007B2B30">
      <w:pPr>
        <w:spacing w:line="276" w:lineRule="auto"/>
        <w:jc w:val="both"/>
        <w:rPr>
          <w:rStyle w:val="CharacterStyle1"/>
          <w:rFonts w:ascii="Verdana" w:hAnsi="Verdana"/>
          <w:b/>
          <w:i/>
          <w:spacing w:val="9"/>
          <w:sz w:val="22"/>
          <w:szCs w:val="22"/>
          <w:lang w:val="es-ES"/>
        </w:rPr>
      </w:pPr>
    </w:p>
    <w:p w:rsidR="00DA0B86" w:rsidRPr="006B22CB" w:rsidRDefault="007B2B30" w:rsidP="00DA0B86">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w:t>
      </w:r>
      <w:r w:rsidR="00DA0B86">
        <w:rPr>
          <w:rStyle w:val="CharacterStyle1"/>
          <w:rFonts w:ascii="Verdana" w:hAnsi="Verdana"/>
          <w:spacing w:val="9"/>
          <w:sz w:val="22"/>
          <w:szCs w:val="22"/>
          <w:lang w:val="es-ES"/>
        </w:rPr>
        <w:t>( Ver folios 37 y 38 del expediente administrativo)</w:t>
      </w:r>
    </w:p>
    <w:p w:rsidR="007B2B30" w:rsidRPr="006B22CB" w:rsidRDefault="007B2B30" w:rsidP="007B2B30">
      <w:pPr>
        <w:spacing w:line="276" w:lineRule="auto"/>
        <w:jc w:val="both"/>
        <w:rPr>
          <w:rFonts w:ascii="Verdana" w:hAnsi="Verdana"/>
          <w:i/>
          <w:sz w:val="22"/>
          <w:szCs w:val="22"/>
        </w:rPr>
      </w:pP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7B2B30" w:rsidRPr="006B22CB" w:rsidRDefault="007B2B30" w:rsidP="007B2B30">
      <w:pPr>
        <w:pStyle w:val="Sinespaciado"/>
        <w:spacing w:line="276" w:lineRule="auto"/>
        <w:ind w:left="340" w:right="340"/>
        <w:jc w:val="both"/>
        <w:rPr>
          <w:rFonts w:ascii="Verdana" w:hAnsi="Verdana" w:cs="Times New Roman"/>
          <w:i/>
        </w:rPr>
      </w:pPr>
    </w:p>
    <w:p w:rsidR="007B2B30" w:rsidRPr="006B22CB" w:rsidRDefault="007B2B30" w:rsidP="007B2B30">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7B2B30" w:rsidRPr="006B22CB" w:rsidRDefault="007B2B30" w:rsidP="007B2B30">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7B2B30" w:rsidRPr="006B22CB" w:rsidRDefault="007B2B30" w:rsidP="007B2B30">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7B2B30" w:rsidRPr="006B22CB" w:rsidRDefault="007B2B30" w:rsidP="007B2B30">
      <w:pPr>
        <w:pStyle w:val="Sinespaciado"/>
        <w:spacing w:line="276" w:lineRule="auto"/>
        <w:ind w:left="340" w:right="340"/>
        <w:jc w:val="both"/>
        <w:rPr>
          <w:rFonts w:ascii="Verdana" w:hAnsi="Verdana" w:cs="Times New Roman"/>
          <w:i/>
        </w:rPr>
      </w:pPr>
    </w:p>
    <w:p w:rsidR="007B2B30" w:rsidRPr="006B22CB"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7B2B30" w:rsidRPr="006B22CB" w:rsidRDefault="007B2B30" w:rsidP="007B2B30">
      <w:pPr>
        <w:pStyle w:val="Sinespaciado"/>
        <w:spacing w:line="276" w:lineRule="auto"/>
        <w:ind w:left="340" w:right="340"/>
        <w:jc w:val="both"/>
        <w:rPr>
          <w:rFonts w:ascii="Verdana" w:hAnsi="Verdana" w:cs="Times New Roman"/>
          <w:i/>
        </w:rPr>
      </w:pPr>
    </w:p>
    <w:p w:rsidR="007B2B30" w:rsidRDefault="007B2B30" w:rsidP="007B2B30">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7B2B30" w:rsidRDefault="007B2B30" w:rsidP="007B2B30">
      <w:pPr>
        <w:pStyle w:val="Sinespaciado"/>
        <w:spacing w:line="276" w:lineRule="auto"/>
        <w:ind w:left="340" w:right="340"/>
        <w:jc w:val="both"/>
        <w:rPr>
          <w:rFonts w:ascii="Verdana" w:hAnsi="Verdana" w:cs="Times New Roman"/>
          <w:b/>
          <w:i/>
        </w:rPr>
      </w:pPr>
    </w:p>
    <w:p w:rsidR="007B2B30" w:rsidRPr="006B22CB" w:rsidRDefault="007B2B30" w:rsidP="007B2B30">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7B2B30" w:rsidRDefault="007B2B30" w:rsidP="007B2B30">
      <w:pPr>
        <w:spacing w:line="276" w:lineRule="auto"/>
        <w:jc w:val="both"/>
        <w:rPr>
          <w:rStyle w:val="CharacterStyle1"/>
          <w:rFonts w:ascii="Verdana" w:hAnsi="Verdana"/>
          <w:b/>
          <w:i/>
          <w:spacing w:val="9"/>
          <w:sz w:val="22"/>
          <w:szCs w:val="22"/>
          <w:lang w:val="es-ES"/>
        </w:rPr>
      </w:pPr>
    </w:p>
    <w:p w:rsidR="007B2B30" w:rsidRDefault="007B2B30" w:rsidP="007B2B30">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 xml:space="preserve">La recurrente </w:t>
      </w:r>
      <w:r w:rsidR="00DA0B86">
        <w:rPr>
          <w:rFonts w:ascii="Verdana" w:hAnsi="Verdana"/>
          <w:b/>
          <w:sz w:val="22"/>
          <w:szCs w:val="22"/>
        </w:rPr>
        <w:t>A</w:t>
      </w:r>
      <w:r w:rsidR="00EE3097">
        <w:rPr>
          <w:rFonts w:ascii="Verdana" w:hAnsi="Verdana"/>
          <w:b/>
          <w:sz w:val="22"/>
          <w:szCs w:val="22"/>
        </w:rPr>
        <w:t>.H.N.S.A.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w:t>
      </w:r>
      <w:r w:rsidR="00DA0B86">
        <w:rPr>
          <w:rStyle w:val="CharacterStyle1"/>
          <w:rFonts w:ascii="Verdana" w:hAnsi="Verdana"/>
          <w:spacing w:val="9"/>
          <w:sz w:val="22"/>
          <w:szCs w:val="22"/>
          <w:lang w:val="es-ES"/>
        </w:rPr>
        <w:t>4</w:t>
      </w:r>
      <w:r>
        <w:rPr>
          <w:rStyle w:val="CharacterStyle1"/>
          <w:rFonts w:ascii="Verdana" w:hAnsi="Verdana"/>
          <w:spacing w:val="9"/>
          <w:sz w:val="22"/>
          <w:szCs w:val="22"/>
          <w:lang w:val="es-ES"/>
        </w:rPr>
        <w:t xml:space="preserve"> del expediente administrativo)</w:t>
      </w:r>
    </w:p>
    <w:p w:rsidR="007B2B30" w:rsidRPr="006B22CB" w:rsidRDefault="007B2B30" w:rsidP="007B2B30">
      <w:pPr>
        <w:spacing w:line="276" w:lineRule="auto"/>
        <w:jc w:val="both"/>
        <w:rPr>
          <w:rStyle w:val="CharacterStyle1"/>
          <w:rFonts w:ascii="Verdana" w:hAnsi="Verdana"/>
          <w:spacing w:val="9"/>
          <w:sz w:val="22"/>
          <w:szCs w:val="22"/>
          <w:lang w:val="es-ES"/>
        </w:rPr>
      </w:pPr>
    </w:p>
    <w:p w:rsidR="007B2B30" w:rsidRPr="008E592E" w:rsidRDefault="007B2B30" w:rsidP="007B2B30">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7B2B30" w:rsidRPr="008E592E" w:rsidRDefault="007B2B30" w:rsidP="007B2B3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7B2B30" w:rsidRPr="008E592E" w:rsidRDefault="007B2B30" w:rsidP="007B2B3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7B2B30" w:rsidRPr="008E592E" w:rsidRDefault="007B2B30" w:rsidP="007B2B3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7B2B30" w:rsidRPr="008E592E" w:rsidRDefault="007B2B30" w:rsidP="007B2B3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7B2B30" w:rsidRDefault="007B2B30" w:rsidP="007B2B30">
      <w:pPr>
        <w:spacing w:line="276" w:lineRule="auto"/>
        <w:jc w:val="both"/>
        <w:rPr>
          <w:rStyle w:val="CharacterStyle1"/>
          <w:rFonts w:ascii="Verdana" w:hAnsi="Verdana"/>
          <w:b/>
          <w:i/>
          <w:spacing w:val="9"/>
          <w:sz w:val="22"/>
          <w:szCs w:val="22"/>
          <w:lang w:val="es-ES"/>
        </w:rPr>
      </w:pPr>
    </w:p>
    <w:p w:rsidR="00D278C1" w:rsidRPr="006B22CB" w:rsidRDefault="007B2B30" w:rsidP="00D278C1">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sidR="00D278C1">
        <w:rPr>
          <w:rStyle w:val="CharacterStyle1"/>
          <w:rFonts w:ascii="Verdana" w:hAnsi="Verdana"/>
          <w:spacing w:val="9"/>
          <w:sz w:val="22"/>
          <w:szCs w:val="22"/>
          <w:lang w:val="es-ES"/>
        </w:rPr>
        <w:t xml:space="preserve">La Junta Directiva del Consejo de Transporte Público, mediante </w:t>
      </w:r>
      <w:r w:rsidR="00D278C1">
        <w:rPr>
          <w:rStyle w:val="CharacterStyle1"/>
          <w:rFonts w:ascii="Verdana" w:hAnsi="Verdana"/>
          <w:b/>
          <w:spacing w:val="9"/>
          <w:sz w:val="22"/>
          <w:szCs w:val="22"/>
          <w:lang w:val="es-ES"/>
        </w:rPr>
        <w:t xml:space="preserve">acuerdo 7.6.17 de la Sesión Ordinaria 26-2018 de 23 de agosto de 2018, </w:t>
      </w:r>
      <w:r w:rsidR="00D278C1">
        <w:rPr>
          <w:rStyle w:val="CharacterStyle1"/>
          <w:rFonts w:ascii="Verdana" w:hAnsi="Verdana"/>
          <w:spacing w:val="9"/>
          <w:sz w:val="22"/>
          <w:szCs w:val="22"/>
          <w:lang w:val="es-ES"/>
        </w:rPr>
        <w:t xml:space="preserve">conoce y avala el informe de la Dirección de Asuntos Jurídicos dado mediante oficio </w:t>
      </w:r>
      <w:r w:rsidR="00D278C1">
        <w:rPr>
          <w:rStyle w:val="CharacterStyle1"/>
          <w:rFonts w:ascii="Verdana" w:hAnsi="Verdana"/>
          <w:b/>
          <w:spacing w:val="9"/>
          <w:sz w:val="22"/>
          <w:szCs w:val="22"/>
          <w:lang w:val="es-ES"/>
        </w:rPr>
        <w:t xml:space="preserve">DAJ- 2018-000918 de 9 de mayo de 2018, </w:t>
      </w:r>
      <w:r w:rsidR="00D278C1">
        <w:rPr>
          <w:rStyle w:val="CharacterStyle1"/>
          <w:rFonts w:ascii="Verdana" w:hAnsi="Verdana"/>
          <w:spacing w:val="9"/>
          <w:sz w:val="22"/>
          <w:szCs w:val="22"/>
          <w:lang w:val="es-ES"/>
        </w:rPr>
        <w:t xml:space="preserve">y rechaza el Recurso de Revocatoria </w:t>
      </w:r>
      <w:proofErr w:type="gramStart"/>
      <w:r w:rsidR="00D278C1">
        <w:rPr>
          <w:rStyle w:val="CharacterStyle1"/>
          <w:rFonts w:ascii="Verdana" w:hAnsi="Verdana"/>
          <w:spacing w:val="9"/>
          <w:sz w:val="22"/>
          <w:szCs w:val="22"/>
          <w:lang w:val="es-ES"/>
        </w:rPr>
        <w:t>presentado</w:t>
      </w:r>
      <w:proofErr w:type="gramEnd"/>
      <w:r w:rsidR="00D278C1">
        <w:rPr>
          <w:rStyle w:val="CharacterStyle1"/>
          <w:rFonts w:ascii="Verdana" w:hAnsi="Verdana"/>
          <w:spacing w:val="9"/>
          <w:sz w:val="22"/>
          <w:szCs w:val="22"/>
          <w:lang w:val="es-ES"/>
        </w:rPr>
        <w:t xml:space="preserve"> así como la incidencia de nulidad por improcedentes</w:t>
      </w:r>
      <w:r w:rsidR="00D278C1" w:rsidRPr="006B22CB">
        <w:rPr>
          <w:rStyle w:val="CharacterStyle1"/>
          <w:rFonts w:ascii="Verdana" w:hAnsi="Verdana"/>
          <w:spacing w:val="9"/>
          <w:sz w:val="22"/>
          <w:szCs w:val="22"/>
          <w:lang w:val="es-ES"/>
        </w:rPr>
        <w:t>.</w:t>
      </w:r>
      <w:r w:rsidR="00D278C1">
        <w:rPr>
          <w:rStyle w:val="CharacterStyle1"/>
          <w:rFonts w:ascii="Verdana" w:hAnsi="Verdana"/>
          <w:spacing w:val="9"/>
          <w:sz w:val="22"/>
          <w:szCs w:val="22"/>
          <w:lang w:val="es-ES"/>
        </w:rPr>
        <w:t xml:space="preserve"> (Léanse folios del 2 al 25 del expediente administrativo)</w:t>
      </w:r>
    </w:p>
    <w:p w:rsidR="007B2B30" w:rsidRPr="006B22CB" w:rsidRDefault="007B2B30" w:rsidP="007B2B30">
      <w:pPr>
        <w:spacing w:line="276" w:lineRule="auto"/>
        <w:jc w:val="both"/>
        <w:rPr>
          <w:rFonts w:ascii="Verdana" w:hAnsi="Verdana"/>
          <w:b/>
          <w:sz w:val="22"/>
          <w:szCs w:val="22"/>
        </w:rPr>
      </w:pPr>
    </w:p>
    <w:p w:rsidR="007B2B30" w:rsidRPr="006B22CB" w:rsidRDefault="007B2B30" w:rsidP="007B2B30">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7B2B30" w:rsidRPr="006B22CB" w:rsidRDefault="007B2B30" w:rsidP="007B2B30">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7B2B30" w:rsidRPr="006B22CB" w:rsidRDefault="007B2B30" w:rsidP="007B2B30">
      <w:pPr>
        <w:pStyle w:val="Sinespaciado"/>
        <w:spacing w:line="276" w:lineRule="auto"/>
        <w:rPr>
          <w:rStyle w:val="CharacterStyle1"/>
          <w:rFonts w:ascii="Verdana" w:hAnsi="Verdana" w:cs="Times New Roman"/>
          <w:bCs/>
          <w:spacing w:val="9"/>
          <w:sz w:val="22"/>
          <w:szCs w:val="22"/>
          <w:lang w:val="es-ES"/>
        </w:rPr>
      </w:pPr>
    </w:p>
    <w:p w:rsidR="007B2B30" w:rsidRDefault="007B2B30" w:rsidP="007B2B30">
      <w:pPr>
        <w:pStyle w:val="Sinespaciado"/>
        <w:spacing w:line="276" w:lineRule="auto"/>
        <w:rPr>
          <w:rStyle w:val="CharacterStyle1"/>
          <w:rFonts w:ascii="Verdana" w:hAnsi="Verdana" w:cs="Times New Roman"/>
          <w:b/>
          <w:bCs/>
          <w:spacing w:val="9"/>
          <w:sz w:val="22"/>
          <w:szCs w:val="22"/>
          <w:lang w:val="es-ES"/>
        </w:rPr>
      </w:pPr>
    </w:p>
    <w:p w:rsidR="007B2B30" w:rsidRPr="006B22CB" w:rsidRDefault="007B2B30" w:rsidP="007B2B30">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7B2B30" w:rsidRPr="006B22CB" w:rsidRDefault="007B2B30" w:rsidP="007B2B30">
      <w:pPr>
        <w:pStyle w:val="Sinespaciado"/>
        <w:spacing w:line="276" w:lineRule="auto"/>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7B2B30" w:rsidRPr="006B22CB" w:rsidRDefault="007B2B30" w:rsidP="007B2B30">
      <w:pPr>
        <w:pStyle w:val="Sinespaciado"/>
        <w:spacing w:line="276" w:lineRule="auto"/>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7B2B30" w:rsidRPr="006B22CB" w:rsidRDefault="007B2B30" w:rsidP="007B2B3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xml:space="preserve"> El Consejo </w:t>
      </w:r>
      <w:r w:rsidRPr="006B22CB">
        <w:rPr>
          <w:rFonts w:ascii="Verdana" w:hAnsi="Verdana"/>
          <w:color w:val="000000"/>
          <w:sz w:val="22"/>
          <w:szCs w:val="22"/>
          <w:lang w:eastAsia="es-ES"/>
        </w:rPr>
        <w:lastRenderedPageBreak/>
        <w:t>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7B2B30" w:rsidRPr="006B22CB" w:rsidRDefault="007B2B30" w:rsidP="007B2B3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7B2B30" w:rsidRPr="006B22CB" w:rsidRDefault="007B2B30" w:rsidP="007B2B3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7B2B30" w:rsidRPr="006B22CB" w:rsidRDefault="007B2B30" w:rsidP="007B2B3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7B2B30" w:rsidRPr="006B22CB" w:rsidRDefault="007B2B30" w:rsidP="007B2B3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7B2B30" w:rsidRPr="006B22CB" w:rsidRDefault="007B2B30" w:rsidP="007B2B3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7B2B30" w:rsidRPr="006B22CB" w:rsidRDefault="007B2B30" w:rsidP="007B2B3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w:t>
      </w:r>
      <w:r w:rsidRPr="006B22CB">
        <w:rPr>
          <w:rFonts w:ascii="Verdana" w:eastAsiaTheme="minorHAnsi" w:hAnsi="Verdana"/>
          <w:i/>
          <w:iCs/>
          <w:sz w:val="22"/>
          <w:szCs w:val="22"/>
          <w:lang w:val="es-ES" w:eastAsia="en-US"/>
        </w:rPr>
        <w:lastRenderedPageBreak/>
        <w:t xml:space="preserve">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7B2B30" w:rsidRPr="006B22CB" w:rsidRDefault="007B2B30" w:rsidP="007B2B3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7B2B30" w:rsidRPr="006B22CB" w:rsidRDefault="007B2B30" w:rsidP="007B2B3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7B2B30" w:rsidRPr="006B22CB" w:rsidRDefault="007B2B30" w:rsidP="007B2B3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7B2B30" w:rsidRPr="006B22CB" w:rsidRDefault="007B2B30" w:rsidP="007B2B3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sidR="00DA0B86">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7B2B30" w:rsidRPr="006B22CB" w:rsidRDefault="007B2B30" w:rsidP="007B2B30">
      <w:pPr>
        <w:pStyle w:val="Sinespaciado"/>
        <w:spacing w:line="276" w:lineRule="auto"/>
        <w:jc w:val="both"/>
        <w:rPr>
          <w:rFonts w:ascii="Verdana" w:hAnsi="Verdana" w:cs="Times New Roman"/>
        </w:rPr>
      </w:pPr>
    </w:p>
    <w:p w:rsidR="007B2B30" w:rsidRPr="006B22CB" w:rsidRDefault="007B2B30" w:rsidP="007B2B30">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7B2B30" w:rsidRPr="006B22CB" w:rsidRDefault="007B2B30" w:rsidP="007B2B30">
      <w:pPr>
        <w:pStyle w:val="Sinespaciado"/>
        <w:spacing w:line="276" w:lineRule="auto"/>
        <w:jc w:val="both"/>
        <w:rPr>
          <w:rFonts w:ascii="Verdana" w:hAnsi="Verdana" w:cs="Times New Roman"/>
        </w:rPr>
      </w:pPr>
    </w:p>
    <w:p w:rsidR="007B2B30" w:rsidRPr="006B22CB" w:rsidRDefault="007B2B30" w:rsidP="007B2B30">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w:t>
      </w:r>
      <w:r w:rsidRPr="006B22CB">
        <w:rPr>
          <w:rFonts w:ascii="Verdana" w:hAnsi="Verdana" w:cs="Times New Roman"/>
          <w:b/>
          <w:color w:val="000000"/>
        </w:rPr>
        <w:lastRenderedPageBreak/>
        <w:t xml:space="preserve">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7B2B30" w:rsidRPr="006B22CB" w:rsidRDefault="007B2B30" w:rsidP="007B2B30">
      <w:pPr>
        <w:spacing w:line="276" w:lineRule="auto"/>
        <w:jc w:val="both"/>
        <w:rPr>
          <w:rFonts w:ascii="Verdana" w:eastAsia="Arial" w:hAnsi="Verdana"/>
          <w:sz w:val="22"/>
          <w:szCs w:val="22"/>
        </w:rPr>
      </w:pPr>
    </w:p>
    <w:p w:rsidR="007B2B30" w:rsidRPr="006B22CB" w:rsidRDefault="007B2B30" w:rsidP="007B2B30">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7B2B30" w:rsidRPr="006B22CB" w:rsidRDefault="007B2B30" w:rsidP="007B2B30">
      <w:pPr>
        <w:spacing w:line="276" w:lineRule="auto"/>
        <w:jc w:val="both"/>
        <w:rPr>
          <w:rFonts w:ascii="Verdana" w:eastAsia="Arial" w:hAnsi="Verdana"/>
          <w:sz w:val="22"/>
          <w:szCs w:val="22"/>
        </w:rPr>
      </w:pPr>
    </w:p>
    <w:p w:rsidR="007B2B30" w:rsidRPr="006B22CB" w:rsidRDefault="007B2B30" w:rsidP="007B2B30">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7B2B30" w:rsidRPr="006B22CB" w:rsidRDefault="007B2B30" w:rsidP="007B2B30">
      <w:pPr>
        <w:spacing w:line="276" w:lineRule="auto"/>
        <w:jc w:val="both"/>
        <w:rPr>
          <w:rFonts w:ascii="Verdana" w:eastAsia="Arial" w:hAnsi="Verdana"/>
          <w:b/>
          <w:color w:val="000000"/>
          <w:sz w:val="22"/>
          <w:szCs w:val="22"/>
        </w:rPr>
      </w:pPr>
    </w:p>
    <w:p w:rsidR="007B2B30" w:rsidRPr="006B22CB" w:rsidRDefault="007B2B30" w:rsidP="007B2B30">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7B2B30" w:rsidRPr="006B22CB" w:rsidRDefault="007B2B30" w:rsidP="007B2B30">
      <w:pPr>
        <w:spacing w:line="276" w:lineRule="auto"/>
        <w:ind w:left="567" w:right="758"/>
        <w:jc w:val="both"/>
        <w:rPr>
          <w:rFonts w:ascii="Verdana" w:eastAsia="Arial" w:hAnsi="Verdana"/>
          <w:b/>
          <w:i/>
          <w:color w:val="000000"/>
          <w:sz w:val="22"/>
          <w:szCs w:val="22"/>
        </w:rPr>
      </w:pPr>
    </w:p>
    <w:p w:rsidR="007B2B30" w:rsidRPr="006B22CB" w:rsidRDefault="007B2B30" w:rsidP="007B2B30">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7B2B30" w:rsidRPr="006B22CB" w:rsidRDefault="007B2B30" w:rsidP="007B2B30">
      <w:pPr>
        <w:spacing w:line="276" w:lineRule="auto"/>
        <w:ind w:left="567" w:right="758"/>
        <w:jc w:val="both"/>
        <w:rPr>
          <w:rFonts w:ascii="Verdana" w:eastAsia="Arial" w:hAnsi="Verdana"/>
          <w:b/>
          <w:i/>
          <w:color w:val="000000"/>
          <w:sz w:val="22"/>
          <w:szCs w:val="22"/>
        </w:rPr>
      </w:pPr>
    </w:p>
    <w:p w:rsidR="007B2B30" w:rsidRPr="006B22CB" w:rsidRDefault="007B2B30" w:rsidP="007B2B30">
      <w:pPr>
        <w:spacing w:line="276" w:lineRule="auto"/>
        <w:jc w:val="both"/>
        <w:rPr>
          <w:rFonts w:ascii="Verdana" w:eastAsia="Arial" w:hAnsi="Verdana"/>
          <w:b/>
          <w:color w:val="000000"/>
          <w:sz w:val="22"/>
          <w:szCs w:val="22"/>
        </w:rPr>
      </w:pPr>
    </w:p>
    <w:p w:rsidR="007B2B30" w:rsidRPr="006B22CB" w:rsidRDefault="007B2B30" w:rsidP="007B2B30">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w:t>
      </w:r>
      <w:r w:rsidRPr="006B22CB">
        <w:rPr>
          <w:rFonts w:ascii="Verdana" w:eastAsia="Arial" w:hAnsi="Verdana"/>
          <w:b/>
          <w:i/>
          <w:color w:val="000000"/>
          <w:sz w:val="22"/>
          <w:szCs w:val="22"/>
        </w:rPr>
        <w:lastRenderedPageBreak/>
        <w:t>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7B2B30" w:rsidRPr="006B22CB" w:rsidRDefault="007B2B30" w:rsidP="007B2B30">
      <w:pPr>
        <w:spacing w:line="276" w:lineRule="auto"/>
        <w:jc w:val="both"/>
        <w:rPr>
          <w:rFonts w:ascii="Verdana" w:eastAsia="Arial" w:hAnsi="Verdana"/>
          <w:color w:val="000000"/>
          <w:sz w:val="22"/>
          <w:szCs w:val="22"/>
        </w:rPr>
      </w:pPr>
    </w:p>
    <w:p w:rsidR="007B2B30" w:rsidRPr="006B22CB" w:rsidRDefault="007B2B30" w:rsidP="007B2B30">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7B2B30" w:rsidRPr="006B22CB" w:rsidRDefault="007B2B30" w:rsidP="007B2B30">
      <w:pPr>
        <w:spacing w:line="276" w:lineRule="auto"/>
        <w:jc w:val="both"/>
        <w:rPr>
          <w:rFonts w:ascii="Verdana" w:eastAsia="Arial" w:hAnsi="Verdana"/>
          <w:sz w:val="22"/>
          <w:szCs w:val="22"/>
        </w:rPr>
      </w:pPr>
    </w:p>
    <w:p w:rsidR="007B2B30" w:rsidRPr="006B22CB" w:rsidRDefault="007B2B30" w:rsidP="007B2B30">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7B2B30" w:rsidRPr="006B22CB" w:rsidRDefault="007B2B30" w:rsidP="007B2B30">
      <w:pPr>
        <w:spacing w:line="276" w:lineRule="auto"/>
        <w:ind w:left="567" w:right="616"/>
        <w:jc w:val="both"/>
        <w:rPr>
          <w:rFonts w:ascii="Verdana" w:eastAsia="Arial" w:hAnsi="Verdana"/>
          <w:color w:val="000000"/>
          <w:sz w:val="22"/>
          <w:szCs w:val="22"/>
        </w:rPr>
      </w:pPr>
    </w:p>
    <w:p w:rsidR="007B2B30" w:rsidRDefault="007B2B30" w:rsidP="007B2B30">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7B2B30" w:rsidRDefault="007B2B30" w:rsidP="007B2B30">
      <w:pPr>
        <w:spacing w:line="276" w:lineRule="auto"/>
        <w:ind w:left="567" w:right="616"/>
        <w:jc w:val="both"/>
        <w:rPr>
          <w:rFonts w:ascii="Verdana" w:eastAsia="Arial" w:hAnsi="Verdana"/>
          <w:color w:val="000000"/>
          <w:sz w:val="22"/>
          <w:szCs w:val="22"/>
        </w:rPr>
      </w:pPr>
    </w:p>
    <w:p w:rsidR="007B2B30" w:rsidRPr="006B22CB" w:rsidRDefault="007B2B30" w:rsidP="007B2B30">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7B2B30" w:rsidRPr="006B22CB" w:rsidRDefault="007B2B30" w:rsidP="007B2B30">
      <w:pPr>
        <w:spacing w:line="276" w:lineRule="auto"/>
        <w:ind w:left="567" w:right="616"/>
        <w:jc w:val="both"/>
        <w:rPr>
          <w:rFonts w:ascii="Verdana" w:eastAsia="Arial" w:hAnsi="Verdana"/>
          <w:color w:val="000000"/>
          <w:sz w:val="22"/>
          <w:szCs w:val="22"/>
        </w:rPr>
      </w:pPr>
    </w:p>
    <w:p w:rsidR="007B2B30" w:rsidRPr="006B22CB" w:rsidRDefault="007B2B30" w:rsidP="007B2B30">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B2B30" w:rsidRPr="006B22CB" w:rsidRDefault="007B2B30" w:rsidP="007B2B30">
      <w:pPr>
        <w:spacing w:line="276" w:lineRule="auto"/>
        <w:ind w:left="851" w:right="618"/>
        <w:jc w:val="both"/>
        <w:rPr>
          <w:rFonts w:ascii="Verdana" w:eastAsia="Arial" w:hAnsi="Verdana"/>
          <w:color w:val="000000"/>
          <w:sz w:val="22"/>
          <w:szCs w:val="22"/>
        </w:rPr>
      </w:pPr>
    </w:p>
    <w:p w:rsidR="007B2B30" w:rsidRPr="006B22CB" w:rsidRDefault="007B2B30" w:rsidP="007B2B30">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7B2B30" w:rsidRPr="006B22CB" w:rsidRDefault="007B2B30" w:rsidP="007B2B30">
      <w:pPr>
        <w:spacing w:line="276" w:lineRule="auto"/>
        <w:ind w:left="567" w:right="616"/>
        <w:jc w:val="both"/>
        <w:rPr>
          <w:rFonts w:ascii="Verdana" w:eastAsia="Arial" w:hAnsi="Verdana"/>
          <w:color w:val="000000"/>
          <w:sz w:val="22"/>
          <w:szCs w:val="22"/>
        </w:rPr>
      </w:pPr>
    </w:p>
    <w:p w:rsidR="007B2B30" w:rsidRPr="006B22CB" w:rsidRDefault="007B2B30" w:rsidP="007B2B30">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7B2B30" w:rsidRPr="006B22CB" w:rsidRDefault="007B2B30" w:rsidP="007B2B30">
      <w:pPr>
        <w:spacing w:line="276" w:lineRule="auto"/>
        <w:jc w:val="both"/>
        <w:rPr>
          <w:rFonts w:ascii="Verdana" w:eastAsia="Arial" w:hAnsi="Verdana"/>
          <w:sz w:val="22"/>
          <w:szCs w:val="22"/>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lastRenderedPageBreak/>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7B2B30" w:rsidRPr="006B22CB" w:rsidRDefault="007B2B30" w:rsidP="007B2B30">
      <w:pPr>
        <w:pStyle w:val="Sinespaciado"/>
        <w:spacing w:line="276" w:lineRule="auto"/>
        <w:jc w:val="both"/>
        <w:rPr>
          <w:rStyle w:val="CharacterStyle1"/>
          <w:rFonts w:ascii="Verdana" w:hAnsi="Verdana" w:cs="Times New Roman"/>
          <w:b/>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7B2B30" w:rsidRPr="006B22CB" w:rsidRDefault="007B2B30" w:rsidP="007B2B30">
      <w:pPr>
        <w:spacing w:line="276" w:lineRule="auto"/>
        <w:ind w:left="567" w:right="616"/>
        <w:jc w:val="both"/>
        <w:rPr>
          <w:rFonts w:ascii="Verdana" w:eastAsia="Arial" w:hAnsi="Verdana"/>
          <w:b/>
          <w:i/>
          <w:sz w:val="22"/>
          <w:szCs w:val="22"/>
        </w:rPr>
      </w:pPr>
    </w:p>
    <w:p w:rsidR="007B2B30" w:rsidRPr="006B22CB" w:rsidRDefault="007B2B30" w:rsidP="007B2B30">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7B2B30" w:rsidRPr="006B22CB" w:rsidRDefault="007B2B30" w:rsidP="007B2B30">
      <w:pPr>
        <w:spacing w:line="276" w:lineRule="auto"/>
        <w:ind w:left="567" w:right="616"/>
        <w:jc w:val="both"/>
        <w:rPr>
          <w:rFonts w:ascii="Verdana" w:eastAsia="Arial" w:hAnsi="Verdana"/>
          <w:b/>
          <w:sz w:val="22"/>
          <w:szCs w:val="22"/>
        </w:rPr>
      </w:pPr>
    </w:p>
    <w:p w:rsidR="007B2B30" w:rsidRPr="006B22CB" w:rsidRDefault="007B2B30" w:rsidP="007B2B30">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w:t>
      </w:r>
      <w:r w:rsidRPr="006B22CB">
        <w:rPr>
          <w:rFonts w:ascii="Verdana" w:eastAsia="Arial" w:hAnsi="Verdana"/>
          <w:sz w:val="22"/>
          <w:szCs w:val="22"/>
        </w:rPr>
        <w:lastRenderedPageBreak/>
        <w:t xml:space="preserve">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7B2B30" w:rsidRPr="006B22CB" w:rsidRDefault="007B2B30" w:rsidP="007B2B30">
      <w:pPr>
        <w:spacing w:line="276" w:lineRule="auto"/>
        <w:jc w:val="both"/>
        <w:rPr>
          <w:rFonts w:ascii="Verdana" w:eastAsia="Arial" w:hAnsi="Verdana"/>
          <w:sz w:val="22"/>
          <w:szCs w:val="22"/>
        </w:rPr>
      </w:pPr>
    </w:p>
    <w:p w:rsidR="007B2B30" w:rsidRPr="006B22CB" w:rsidRDefault="007B2B30" w:rsidP="007B2B30">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7B2B30" w:rsidRPr="006B22CB" w:rsidRDefault="007B2B30" w:rsidP="007B2B30">
      <w:pPr>
        <w:spacing w:line="276" w:lineRule="auto"/>
        <w:jc w:val="both"/>
        <w:rPr>
          <w:rFonts w:ascii="Verdana" w:eastAsia="Arial" w:hAnsi="Verdana"/>
          <w:sz w:val="22"/>
          <w:szCs w:val="22"/>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w:t>
      </w:r>
      <w:r w:rsidRPr="006B22CB">
        <w:rPr>
          <w:rStyle w:val="CharacterStyle1"/>
          <w:rFonts w:ascii="Verdana" w:hAnsi="Verdana" w:cs="Times New Roman"/>
          <w:bCs/>
          <w:spacing w:val="9"/>
          <w:sz w:val="22"/>
          <w:szCs w:val="22"/>
          <w:lang w:val="es-ES"/>
        </w:rPr>
        <w:lastRenderedPageBreak/>
        <w:t xml:space="preserve">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7B2B30" w:rsidRPr="006B22CB" w:rsidRDefault="007B2B30" w:rsidP="007B2B30">
      <w:pPr>
        <w:pStyle w:val="Sinespaciado"/>
        <w:spacing w:line="276" w:lineRule="auto"/>
        <w:ind w:left="567" w:right="616"/>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7B2B30" w:rsidRPr="006B22CB" w:rsidRDefault="007B2B30" w:rsidP="007B2B30">
      <w:pPr>
        <w:pStyle w:val="Sinespaciado"/>
        <w:spacing w:line="276" w:lineRule="auto"/>
        <w:ind w:left="567" w:right="616"/>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 xml:space="preserve">apego a los criterios de razonabilidad y proporcionalidad que rigen la materia,  los </w:t>
      </w:r>
      <w:r w:rsidRPr="006B22CB">
        <w:rPr>
          <w:rFonts w:ascii="Verdana" w:eastAsia="Arial" w:hAnsi="Verdana" w:cs="Times New Roman"/>
          <w:i/>
        </w:rPr>
        <w:lastRenderedPageBreak/>
        <w:t>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7B2B30" w:rsidRPr="006B22CB" w:rsidRDefault="007B2B30" w:rsidP="007B2B30">
      <w:pPr>
        <w:spacing w:line="276" w:lineRule="auto"/>
        <w:ind w:left="567" w:right="616"/>
        <w:jc w:val="both"/>
        <w:rPr>
          <w:rFonts w:ascii="Verdana" w:eastAsia="Arial" w:hAnsi="Verdana"/>
          <w:i/>
          <w:sz w:val="22"/>
          <w:szCs w:val="22"/>
        </w:rPr>
      </w:pPr>
    </w:p>
    <w:p w:rsidR="007B2B30" w:rsidRPr="006B22CB" w:rsidRDefault="007B2B30" w:rsidP="007B2B30">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7B2B30" w:rsidRPr="006B22CB" w:rsidRDefault="007B2B30" w:rsidP="007B2B30">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7B2B30" w:rsidRPr="006B22CB" w:rsidRDefault="007B2B30" w:rsidP="007B2B30">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7B2B30" w:rsidRPr="006B22CB" w:rsidRDefault="007B2B30" w:rsidP="007B2B30">
      <w:pPr>
        <w:suppressAutoHyphens/>
        <w:spacing w:line="276" w:lineRule="auto"/>
        <w:ind w:left="567" w:right="616"/>
        <w:jc w:val="both"/>
        <w:rPr>
          <w:rFonts w:ascii="Verdana" w:eastAsia="Arial" w:hAnsi="Verdana"/>
          <w:i/>
          <w:sz w:val="22"/>
          <w:szCs w:val="22"/>
        </w:rPr>
      </w:pPr>
    </w:p>
    <w:p w:rsidR="007B2B30" w:rsidRPr="006B22CB" w:rsidRDefault="007B2B30" w:rsidP="007B2B30">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7B2B30" w:rsidRPr="006B22CB" w:rsidRDefault="007B2B30" w:rsidP="007B2B30">
      <w:pPr>
        <w:suppressAutoHyphens/>
        <w:spacing w:line="276" w:lineRule="auto"/>
        <w:ind w:left="567" w:right="616"/>
        <w:jc w:val="both"/>
        <w:rPr>
          <w:rFonts w:ascii="Verdana" w:eastAsia="Arial" w:hAnsi="Verdana"/>
          <w:i/>
          <w:sz w:val="22"/>
          <w:szCs w:val="22"/>
        </w:rPr>
      </w:pPr>
    </w:p>
    <w:p w:rsidR="007B2B30" w:rsidRPr="006B22CB" w:rsidRDefault="007B2B30" w:rsidP="007B2B30">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w:t>
      </w:r>
      <w:r w:rsidRPr="006B22CB">
        <w:rPr>
          <w:rFonts w:ascii="Verdana" w:eastAsia="Arial" w:hAnsi="Verdana"/>
          <w:i/>
          <w:sz w:val="22"/>
          <w:szCs w:val="22"/>
        </w:rPr>
        <w:lastRenderedPageBreak/>
        <w:t>para el año 2017.”…</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7B2B30" w:rsidRPr="006B22CB" w:rsidRDefault="007B2B30" w:rsidP="007B2B30">
      <w:pPr>
        <w:spacing w:line="276" w:lineRule="auto"/>
        <w:ind w:left="567" w:right="616"/>
        <w:jc w:val="both"/>
        <w:rPr>
          <w:rFonts w:ascii="Verdana" w:hAnsi="Verdana"/>
          <w:sz w:val="22"/>
          <w:szCs w:val="22"/>
        </w:rPr>
      </w:pPr>
    </w:p>
    <w:p w:rsidR="007B2B30" w:rsidRPr="006B22CB" w:rsidRDefault="007B2B30" w:rsidP="007B2B30">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 xml:space="preserve">se encuentra conforme en todos sus elementos esenciales y adecuadamente motivado, pues la decisión tomada, no </w:t>
      </w:r>
      <w:r w:rsidRPr="006B22CB">
        <w:rPr>
          <w:rFonts w:ascii="Verdana" w:hAnsi="Verdana"/>
          <w:sz w:val="22"/>
          <w:szCs w:val="22"/>
        </w:rPr>
        <w:lastRenderedPageBreak/>
        <w:t>constituye un acto discrecional de la Administración sino un mandato de Ley que debe el CTP que cumplir.</w:t>
      </w:r>
    </w:p>
    <w:p w:rsidR="007B2B30" w:rsidRDefault="007B2B30" w:rsidP="007B2B30">
      <w:pPr>
        <w:spacing w:line="276" w:lineRule="auto"/>
        <w:ind w:left="567" w:right="616"/>
        <w:jc w:val="both"/>
        <w:rPr>
          <w:rFonts w:ascii="Verdana" w:hAnsi="Verdana"/>
          <w:b/>
          <w:sz w:val="22"/>
          <w:szCs w:val="22"/>
        </w:rPr>
      </w:pPr>
    </w:p>
    <w:p w:rsidR="007B2B30" w:rsidRDefault="007B2B30" w:rsidP="007B2B30">
      <w:pPr>
        <w:spacing w:line="276" w:lineRule="auto"/>
        <w:ind w:left="567" w:right="616"/>
        <w:jc w:val="both"/>
        <w:rPr>
          <w:rFonts w:ascii="Verdana" w:hAnsi="Verdana"/>
          <w:b/>
          <w:sz w:val="22"/>
          <w:szCs w:val="22"/>
        </w:rPr>
      </w:pPr>
    </w:p>
    <w:p w:rsidR="007B2B30" w:rsidRPr="006B22CB" w:rsidRDefault="007B2B30" w:rsidP="007B2B30">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7B2B30" w:rsidRPr="006B22CB" w:rsidRDefault="007B2B30" w:rsidP="007B2B30">
      <w:pPr>
        <w:spacing w:line="276" w:lineRule="auto"/>
        <w:ind w:left="567" w:right="616"/>
        <w:jc w:val="both"/>
        <w:rPr>
          <w:rFonts w:ascii="Verdana" w:hAnsi="Verdana"/>
          <w:sz w:val="22"/>
          <w:szCs w:val="22"/>
        </w:rPr>
      </w:pPr>
    </w:p>
    <w:p w:rsidR="007B2B30" w:rsidRPr="006B22CB" w:rsidRDefault="007B2B30" w:rsidP="007B2B30">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B2B30" w:rsidRPr="006B22CB" w:rsidRDefault="007B2B30" w:rsidP="007B2B30">
      <w:pPr>
        <w:spacing w:line="276" w:lineRule="auto"/>
        <w:ind w:left="851" w:right="618"/>
        <w:jc w:val="both"/>
        <w:rPr>
          <w:rFonts w:ascii="Verdana" w:hAnsi="Verdana"/>
          <w:i/>
          <w:sz w:val="22"/>
          <w:szCs w:val="22"/>
        </w:rPr>
      </w:pPr>
    </w:p>
    <w:p w:rsidR="007B2B30" w:rsidRPr="006B22CB" w:rsidRDefault="007B2B30" w:rsidP="007B2B30">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7B2B30" w:rsidRPr="006B22CB" w:rsidRDefault="007B2B30" w:rsidP="007B2B30">
      <w:pPr>
        <w:spacing w:line="276" w:lineRule="auto"/>
        <w:ind w:left="567" w:right="616"/>
        <w:jc w:val="center"/>
        <w:rPr>
          <w:rFonts w:ascii="Verdana" w:hAnsi="Verdana"/>
          <w:b/>
          <w:sz w:val="22"/>
          <w:szCs w:val="22"/>
        </w:rPr>
      </w:pPr>
    </w:p>
    <w:p w:rsidR="007B2B30" w:rsidRPr="006B22CB" w:rsidRDefault="007B2B30" w:rsidP="007B2B30">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7B2B30" w:rsidRDefault="007B2B30" w:rsidP="007B2B30">
      <w:pPr>
        <w:spacing w:line="276" w:lineRule="auto"/>
        <w:ind w:left="567" w:right="616"/>
        <w:jc w:val="both"/>
        <w:rPr>
          <w:rFonts w:ascii="Verdana" w:hAnsi="Verdana"/>
          <w:sz w:val="22"/>
          <w:szCs w:val="22"/>
        </w:rPr>
      </w:pPr>
    </w:p>
    <w:p w:rsidR="007B2B30" w:rsidRPr="006B22CB" w:rsidRDefault="007B2B30" w:rsidP="007B2B30">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7B2B30" w:rsidRDefault="007B2B30" w:rsidP="007B2B30">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7B2B30" w:rsidRPr="00C81DC8"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lastRenderedPageBreak/>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7B2B30" w:rsidRDefault="007B2B30" w:rsidP="007B2B30">
      <w:pPr>
        <w:spacing w:line="276" w:lineRule="auto"/>
        <w:jc w:val="both"/>
        <w:rPr>
          <w:rStyle w:val="CharacterStyle1"/>
          <w:rFonts w:ascii="Verdana" w:hAnsi="Verdana"/>
          <w:spacing w:val="9"/>
          <w:sz w:val="22"/>
          <w:szCs w:val="22"/>
          <w:lang w:val="es-ES"/>
        </w:rPr>
      </w:pPr>
    </w:p>
    <w:p w:rsidR="007B2B30" w:rsidRPr="00C81DC8" w:rsidRDefault="007B2B30" w:rsidP="007B2B30">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7B2B30" w:rsidRPr="00C81DC8" w:rsidRDefault="007B2B30" w:rsidP="007B2B30">
      <w:pPr>
        <w:spacing w:line="276" w:lineRule="auto"/>
        <w:jc w:val="both"/>
        <w:rPr>
          <w:rStyle w:val="CharacterStyle1"/>
          <w:rFonts w:ascii="Verdana" w:hAnsi="Verdana"/>
          <w:spacing w:val="9"/>
          <w:sz w:val="22"/>
          <w:szCs w:val="22"/>
          <w:lang w:val="es-ES"/>
        </w:rPr>
      </w:pPr>
    </w:p>
    <w:p w:rsidR="007B2B30" w:rsidRPr="00C81DC8" w:rsidRDefault="007B2B30" w:rsidP="007B2B30">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7B2B30" w:rsidRPr="00C81DC8" w:rsidRDefault="007B2B30" w:rsidP="007B2B30">
      <w:pPr>
        <w:spacing w:line="276" w:lineRule="auto"/>
        <w:jc w:val="both"/>
        <w:rPr>
          <w:rStyle w:val="CharacterStyle1"/>
          <w:rFonts w:ascii="Verdana" w:hAnsi="Verdana"/>
          <w:spacing w:val="9"/>
          <w:sz w:val="22"/>
          <w:szCs w:val="22"/>
          <w:lang w:val="es-ES"/>
        </w:rPr>
      </w:pPr>
    </w:p>
    <w:p w:rsidR="007B2B30" w:rsidRPr="00C81DC8" w:rsidRDefault="007B2B30" w:rsidP="007B2B30">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7B2B30" w:rsidRPr="006B22CB" w:rsidRDefault="007B2B30" w:rsidP="007B2B30">
      <w:pPr>
        <w:pStyle w:val="Sinespaciado"/>
        <w:spacing w:line="276" w:lineRule="auto"/>
        <w:jc w:val="both"/>
        <w:rPr>
          <w:rStyle w:val="CharacterStyle1"/>
          <w:rFonts w:ascii="Verdana" w:hAnsi="Verdana" w:cs="Times New Roman"/>
          <w:bCs/>
          <w:spacing w:val="9"/>
          <w:sz w:val="22"/>
          <w:szCs w:val="22"/>
          <w:lang w:val="es-ES"/>
        </w:rPr>
      </w:pPr>
    </w:p>
    <w:p w:rsidR="007B2B30" w:rsidRPr="006B22CB" w:rsidRDefault="007B2B30" w:rsidP="007B2B30">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7B2B30" w:rsidRDefault="007B2B30" w:rsidP="007B2B30">
      <w:pPr>
        <w:pStyle w:val="Textoindependiente"/>
        <w:spacing w:line="276" w:lineRule="auto"/>
        <w:jc w:val="both"/>
        <w:rPr>
          <w:rFonts w:ascii="Verdana" w:hAnsi="Verdana"/>
          <w:sz w:val="22"/>
          <w:szCs w:val="22"/>
        </w:rPr>
      </w:pPr>
    </w:p>
    <w:p w:rsidR="007B2B30" w:rsidRPr="006B22CB" w:rsidRDefault="007B2B30" w:rsidP="007B2B30">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7B2B30" w:rsidRPr="006B22CB" w:rsidRDefault="007B2B30" w:rsidP="007B2B30">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7B2B30" w:rsidRDefault="007B2B30" w:rsidP="007B2B30">
      <w:pPr>
        <w:pStyle w:val="Sinespaciado"/>
        <w:spacing w:line="276" w:lineRule="auto"/>
        <w:jc w:val="center"/>
        <w:rPr>
          <w:rStyle w:val="CharacterStyle1"/>
          <w:rFonts w:ascii="Verdana" w:hAnsi="Verdana" w:cs="Times New Roman"/>
          <w:b/>
          <w:spacing w:val="9"/>
          <w:sz w:val="22"/>
          <w:szCs w:val="22"/>
          <w:lang w:val="es-ES"/>
        </w:rPr>
      </w:pPr>
    </w:p>
    <w:p w:rsidR="007B2B30" w:rsidRDefault="007B2B30" w:rsidP="007B2B30">
      <w:pPr>
        <w:pStyle w:val="Sinespaciado"/>
        <w:spacing w:line="276" w:lineRule="auto"/>
        <w:jc w:val="center"/>
        <w:rPr>
          <w:rStyle w:val="CharacterStyle1"/>
          <w:rFonts w:ascii="Verdana" w:hAnsi="Verdana" w:cs="Times New Roman"/>
          <w:b/>
          <w:spacing w:val="9"/>
          <w:sz w:val="22"/>
          <w:szCs w:val="22"/>
          <w:lang w:val="es-ES"/>
        </w:rPr>
      </w:pPr>
    </w:p>
    <w:p w:rsidR="007B2B30" w:rsidRPr="007E321C" w:rsidRDefault="007B2B30" w:rsidP="007B2B30">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lastRenderedPageBreak/>
        <w:t>POR TANTO</w:t>
      </w:r>
    </w:p>
    <w:p w:rsidR="007B2B30" w:rsidRPr="006B22CB" w:rsidRDefault="007B2B30" w:rsidP="007B2B30">
      <w:pPr>
        <w:spacing w:line="276" w:lineRule="auto"/>
        <w:jc w:val="both"/>
        <w:rPr>
          <w:rStyle w:val="CharacterStyle1"/>
          <w:rFonts w:ascii="Verdana" w:hAnsi="Verdana"/>
          <w:bCs/>
          <w:spacing w:val="9"/>
          <w:sz w:val="22"/>
          <w:szCs w:val="22"/>
          <w:lang w:val="es-ES"/>
        </w:rPr>
      </w:pPr>
    </w:p>
    <w:p w:rsidR="007B2B30" w:rsidRDefault="007B2B30" w:rsidP="007B2B30">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00DA0B86" w:rsidRPr="006B22CB">
        <w:rPr>
          <w:rFonts w:ascii="Verdana" w:hAnsi="Verdana"/>
          <w:b/>
          <w:sz w:val="22"/>
          <w:szCs w:val="22"/>
        </w:rPr>
        <w:t xml:space="preserve">RECURSO DE APELACIÓN EN SUBSIDIO </w:t>
      </w:r>
      <w:r w:rsidR="00DA0B86">
        <w:rPr>
          <w:rFonts w:ascii="Verdana" w:hAnsi="Verdana"/>
          <w:b/>
          <w:sz w:val="22"/>
          <w:szCs w:val="22"/>
        </w:rPr>
        <w:t>y</w:t>
      </w:r>
      <w:r w:rsidR="00DA0B86" w:rsidRPr="006B22CB">
        <w:rPr>
          <w:rFonts w:ascii="Verdana" w:hAnsi="Verdana"/>
          <w:b/>
          <w:sz w:val="22"/>
          <w:szCs w:val="22"/>
        </w:rPr>
        <w:t xml:space="preserve"> NULIDAD</w:t>
      </w:r>
      <w:r w:rsidR="00DA0B86">
        <w:rPr>
          <w:rFonts w:ascii="Verdana" w:hAnsi="Verdana"/>
          <w:b/>
          <w:sz w:val="22"/>
          <w:szCs w:val="22"/>
        </w:rPr>
        <w:t xml:space="preserve"> CONCOMITANTE</w:t>
      </w:r>
      <w:r w:rsidR="00DA0B86" w:rsidRPr="006B22CB">
        <w:rPr>
          <w:rFonts w:ascii="Verdana" w:hAnsi="Verdana"/>
          <w:b/>
          <w:sz w:val="22"/>
          <w:szCs w:val="22"/>
        </w:rPr>
        <w:t xml:space="preserve"> </w:t>
      </w:r>
      <w:r w:rsidR="00DA0B86" w:rsidRPr="006B22CB">
        <w:rPr>
          <w:rFonts w:ascii="Verdana" w:hAnsi="Verdana"/>
          <w:sz w:val="22"/>
          <w:szCs w:val="22"/>
          <w:lang w:val="es-ES"/>
        </w:rPr>
        <w:t>presentado</w:t>
      </w:r>
      <w:r w:rsidR="00DA0B86" w:rsidRPr="006B22CB">
        <w:rPr>
          <w:rFonts w:ascii="Verdana" w:hAnsi="Verdana"/>
          <w:sz w:val="22"/>
          <w:szCs w:val="22"/>
        </w:rPr>
        <w:t xml:space="preserve"> por la </w:t>
      </w:r>
      <w:r w:rsidR="00DA0B86">
        <w:rPr>
          <w:rFonts w:ascii="Verdana" w:hAnsi="Verdana"/>
          <w:sz w:val="22"/>
          <w:szCs w:val="22"/>
        </w:rPr>
        <w:t>e</w:t>
      </w:r>
      <w:r w:rsidR="00DA0B86" w:rsidRPr="006B22CB">
        <w:rPr>
          <w:rFonts w:ascii="Verdana" w:hAnsi="Verdana"/>
          <w:sz w:val="22"/>
          <w:szCs w:val="22"/>
        </w:rPr>
        <w:t xml:space="preserve">mpresa </w:t>
      </w:r>
      <w:r w:rsidR="00DA0B86">
        <w:rPr>
          <w:rFonts w:ascii="Verdana" w:hAnsi="Verdana"/>
          <w:b/>
          <w:sz w:val="22"/>
          <w:szCs w:val="22"/>
        </w:rPr>
        <w:t>A</w:t>
      </w:r>
      <w:r w:rsidR="00EC00A3">
        <w:rPr>
          <w:rFonts w:ascii="Verdana" w:hAnsi="Verdana"/>
          <w:b/>
          <w:sz w:val="22"/>
          <w:szCs w:val="22"/>
        </w:rPr>
        <w:t>.H.N.S.A.</w:t>
      </w:r>
      <w:r w:rsidR="00DA0B86" w:rsidRPr="006B22CB">
        <w:rPr>
          <w:rFonts w:ascii="Verdana" w:hAnsi="Verdana"/>
          <w:sz w:val="22"/>
          <w:szCs w:val="22"/>
        </w:rPr>
        <w:t xml:space="preserve">, </w:t>
      </w:r>
      <w:r w:rsidR="00DA0B86" w:rsidRPr="006B22CB">
        <w:rPr>
          <w:rFonts w:ascii="Verdana" w:hAnsi="Verdana"/>
          <w:b/>
          <w:sz w:val="22"/>
          <w:szCs w:val="22"/>
        </w:rPr>
        <w:t xml:space="preserve">cédula jurídica número </w:t>
      </w:r>
      <w:r w:rsidR="00EC00A3">
        <w:rPr>
          <w:rFonts w:ascii="Verdana" w:hAnsi="Verdana"/>
          <w:b/>
          <w:sz w:val="22"/>
          <w:szCs w:val="22"/>
        </w:rPr>
        <w:t>…</w:t>
      </w:r>
      <w:r w:rsidR="00DA0B86" w:rsidRPr="006B22CB">
        <w:rPr>
          <w:rFonts w:ascii="Verdana" w:hAnsi="Verdana"/>
          <w:sz w:val="22"/>
          <w:szCs w:val="22"/>
        </w:rPr>
        <w:t>, representada por su Apoderad</w:t>
      </w:r>
      <w:r w:rsidR="00DA0B86">
        <w:rPr>
          <w:rFonts w:ascii="Verdana" w:hAnsi="Verdana"/>
          <w:sz w:val="22"/>
          <w:szCs w:val="22"/>
        </w:rPr>
        <w:t>o Generalísimo</w:t>
      </w:r>
      <w:r w:rsidR="00DA0B86" w:rsidRPr="006B22CB">
        <w:rPr>
          <w:rFonts w:ascii="Verdana" w:hAnsi="Verdana"/>
          <w:sz w:val="22"/>
          <w:szCs w:val="22"/>
        </w:rPr>
        <w:t xml:space="preserve"> sin Límite de Suma, </w:t>
      </w:r>
      <w:r w:rsidR="00DA0B86">
        <w:rPr>
          <w:rFonts w:ascii="Verdana" w:hAnsi="Verdana"/>
          <w:sz w:val="22"/>
          <w:szCs w:val="22"/>
        </w:rPr>
        <w:t>s</w:t>
      </w:r>
      <w:r w:rsidR="00DA0B86" w:rsidRPr="006B22CB">
        <w:rPr>
          <w:rFonts w:ascii="Verdana" w:hAnsi="Verdana"/>
          <w:sz w:val="22"/>
          <w:szCs w:val="22"/>
        </w:rPr>
        <w:t xml:space="preserve">eñor </w:t>
      </w:r>
      <w:r w:rsidR="00DA0B86">
        <w:rPr>
          <w:rFonts w:ascii="Verdana" w:hAnsi="Verdana"/>
          <w:b/>
          <w:sz w:val="22"/>
          <w:szCs w:val="22"/>
        </w:rPr>
        <w:t>M</w:t>
      </w:r>
      <w:r w:rsidR="00EC00A3">
        <w:rPr>
          <w:rFonts w:ascii="Verdana" w:hAnsi="Verdana"/>
          <w:b/>
          <w:sz w:val="22"/>
          <w:szCs w:val="22"/>
        </w:rPr>
        <w:t>.D.R.</w:t>
      </w:r>
      <w:r w:rsidR="00DA0B86">
        <w:rPr>
          <w:rFonts w:ascii="Verdana" w:hAnsi="Verdana"/>
          <w:b/>
          <w:sz w:val="22"/>
          <w:szCs w:val="22"/>
        </w:rPr>
        <w:t xml:space="preserve">, cédula de identidad número </w:t>
      </w:r>
      <w:r w:rsidR="00EC00A3">
        <w:rPr>
          <w:rFonts w:ascii="Verdana" w:hAnsi="Verdana"/>
          <w:b/>
          <w:sz w:val="22"/>
          <w:szCs w:val="22"/>
        </w:rPr>
        <w:t>…</w:t>
      </w:r>
      <w:r w:rsidR="00DA0B86" w:rsidRPr="006B22CB">
        <w:rPr>
          <w:rFonts w:ascii="Verdana" w:hAnsi="Verdana"/>
          <w:b/>
          <w:sz w:val="22"/>
          <w:szCs w:val="22"/>
        </w:rPr>
        <w:t>,</w:t>
      </w:r>
      <w:r w:rsidR="00DA0B86">
        <w:rPr>
          <w:rFonts w:ascii="Verdana" w:hAnsi="Verdana"/>
          <w:b/>
          <w:sz w:val="22"/>
          <w:szCs w:val="22"/>
        </w:rPr>
        <w:t xml:space="preserve"> </w:t>
      </w:r>
      <w:r w:rsidR="00DA0B86" w:rsidRPr="006B22CB">
        <w:rPr>
          <w:rStyle w:val="CharacterStyle1"/>
          <w:rFonts w:ascii="Verdana" w:hAnsi="Verdana"/>
          <w:spacing w:val="9"/>
          <w:sz w:val="22"/>
          <w:szCs w:val="22"/>
          <w:lang w:val="es-ES"/>
        </w:rPr>
        <w:t xml:space="preserve">contra el </w:t>
      </w:r>
      <w:r w:rsidR="00DA0B86">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p>
    <w:p w:rsidR="007B2B30" w:rsidRPr="006B22CB" w:rsidRDefault="007B2B30" w:rsidP="007B2B30">
      <w:pPr>
        <w:spacing w:line="276" w:lineRule="auto"/>
        <w:jc w:val="both"/>
        <w:rPr>
          <w:rStyle w:val="CharacterStyle1"/>
          <w:rFonts w:ascii="Verdana" w:hAnsi="Verdana"/>
          <w:bCs/>
          <w:spacing w:val="9"/>
          <w:sz w:val="22"/>
          <w:szCs w:val="22"/>
          <w:lang w:val="es-ES"/>
        </w:rPr>
      </w:pPr>
    </w:p>
    <w:p w:rsidR="007B2B30" w:rsidRPr="006B22CB" w:rsidRDefault="007B2B30" w:rsidP="007B2B30">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7B2B30" w:rsidRPr="006B22CB" w:rsidRDefault="007B2B30" w:rsidP="007B2B30">
      <w:pPr>
        <w:spacing w:line="276" w:lineRule="auto"/>
        <w:jc w:val="both"/>
        <w:rPr>
          <w:rFonts w:ascii="Verdana" w:hAnsi="Verdana"/>
          <w:b/>
          <w:color w:val="000000" w:themeColor="text1"/>
          <w:sz w:val="22"/>
          <w:szCs w:val="22"/>
        </w:rPr>
      </w:pPr>
    </w:p>
    <w:p w:rsidR="007B2B30" w:rsidRDefault="007B2B30" w:rsidP="007B2B30">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7B2B30" w:rsidRPr="006B22CB" w:rsidRDefault="007B2B30" w:rsidP="007B2B30">
      <w:pPr>
        <w:spacing w:line="276" w:lineRule="auto"/>
        <w:jc w:val="both"/>
        <w:rPr>
          <w:rFonts w:ascii="Verdana" w:hAnsi="Verdana"/>
          <w:b/>
          <w:color w:val="000000" w:themeColor="text1"/>
          <w:sz w:val="22"/>
          <w:szCs w:val="22"/>
        </w:rPr>
      </w:pPr>
    </w:p>
    <w:p w:rsidR="007B2B30" w:rsidRPr="006B22CB" w:rsidRDefault="007B2B30" w:rsidP="007B2B30">
      <w:pPr>
        <w:spacing w:line="276" w:lineRule="auto"/>
        <w:jc w:val="both"/>
        <w:rPr>
          <w:rFonts w:ascii="Verdana" w:hAnsi="Verdana"/>
          <w:b/>
          <w:color w:val="000000" w:themeColor="text1"/>
          <w:sz w:val="22"/>
          <w:szCs w:val="22"/>
        </w:rPr>
      </w:pPr>
    </w:p>
    <w:p w:rsidR="007B2B30" w:rsidRPr="006B22CB" w:rsidRDefault="007B2B30" w:rsidP="007B2B30">
      <w:pPr>
        <w:spacing w:line="276" w:lineRule="auto"/>
        <w:rPr>
          <w:rFonts w:ascii="Verdana" w:hAnsi="Verdana"/>
          <w:b/>
          <w:color w:val="000000" w:themeColor="text1"/>
          <w:sz w:val="22"/>
          <w:szCs w:val="22"/>
        </w:rPr>
      </w:pPr>
    </w:p>
    <w:p w:rsidR="007B2B30" w:rsidRPr="006B22CB" w:rsidRDefault="007B2B30" w:rsidP="007B2B30">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7B2B30" w:rsidRDefault="007B2B30" w:rsidP="007B2B30">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7B2B30" w:rsidRPr="006B22CB" w:rsidRDefault="007B2B30" w:rsidP="007B2B30">
      <w:pPr>
        <w:spacing w:line="276" w:lineRule="auto"/>
        <w:jc w:val="center"/>
        <w:rPr>
          <w:rFonts w:ascii="Verdana" w:hAnsi="Verdana"/>
        </w:rPr>
      </w:pPr>
    </w:p>
    <w:p w:rsidR="007B2B30" w:rsidRPr="006B22CB" w:rsidRDefault="007B2B30" w:rsidP="007B2B30">
      <w:pPr>
        <w:spacing w:line="276" w:lineRule="auto"/>
        <w:rPr>
          <w:rFonts w:ascii="Verdana" w:hAnsi="Verdana"/>
          <w:b/>
          <w:color w:val="000000" w:themeColor="text1"/>
          <w:sz w:val="22"/>
          <w:szCs w:val="22"/>
        </w:rPr>
      </w:pPr>
    </w:p>
    <w:p w:rsidR="007B2B30" w:rsidRPr="006B22CB" w:rsidRDefault="007B2B30" w:rsidP="007B2B30">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7B2B30" w:rsidRPr="006B22CB" w:rsidRDefault="007B2B30" w:rsidP="007B2B30">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7B2B30" w:rsidRPr="006B22CB" w:rsidRDefault="007B2B30" w:rsidP="007B2B30">
      <w:pPr>
        <w:spacing w:line="276" w:lineRule="auto"/>
        <w:jc w:val="center"/>
        <w:rPr>
          <w:rFonts w:ascii="Verdana" w:hAnsi="Verdana"/>
          <w:sz w:val="22"/>
          <w:szCs w:val="22"/>
        </w:rPr>
      </w:pPr>
    </w:p>
    <w:p w:rsidR="007B2B30" w:rsidRPr="006B22CB" w:rsidRDefault="007B2B30" w:rsidP="007B2B30">
      <w:pPr>
        <w:spacing w:line="276" w:lineRule="auto"/>
        <w:rPr>
          <w:rFonts w:ascii="Verdana" w:hAnsi="Verdana"/>
          <w:sz w:val="22"/>
          <w:szCs w:val="22"/>
        </w:rPr>
      </w:pPr>
    </w:p>
    <w:p w:rsidR="007B2B30" w:rsidRDefault="007B2B30" w:rsidP="007B2B30"/>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837" w:rsidRDefault="002D2837" w:rsidP="007B2B30">
      <w:r>
        <w:separator/>
      </w:r>
    </w:p>
  </w:endnote>
  <w:endnote w:type="continuationSeparator" w:id="0">
    <w:p w:rsidR="002D2837" w:rsidRDefault="002D2837" w:rsidP="007B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837" w:rsidRDefault="002D2837" w:rsidP="007B2B30">
      <w:r>
        <w:separator/>
      </w:r>
    </w:p>
  </w:footnote>
  <w:footnote w:type="continuationSeparator" w:id="0">
    <w:p w:rsidR="002D2837" w:rsidRDefault="002D2837" w:rsidP="007B2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30"/>
    <w:rsid w:val="000F6C03"/>
    <w:rsid w:val="002D2837"/>
    <w:rsid w:val="003143D6"/>
    <w:rsid w:val="003B75CD"/>
    <w:rsid w:val="003D6CF0"/>
    <w:rsid w:val="004860A8"/>
    <w:rsid w:val="00585504"/>
    <w:rsid w:val="005A1C6C"/>
    <w:rsid w:val="007B2B30"/>
    <w:rsid w:val="008C2176"/>
    <w:rsid w:val="009907B7"/>
    <w:rsid w:val="00D278C1"/>
    <w:rsid w:val="00DA0B86"/>
    <w:rsid w:val="00DE4F25"/>
    <w:rsid w:val="00EC00A3"/>
    <w:rsid w:val="00EE3097"/>
    <w:rsid w:val="00F1240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EBFEB-3F5D-4465-8491-C3AF54EA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30"/>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7B2B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B30"/>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7B2B30"/>
    <w:pPr>
      <w:spacing w:after="0" w:line="240" w:lineRule="auto"/>
    </w:pPr>
  </w:style>
  <w:style w:type="character" w:customStyle="1" w:styleId="CharacterStyle1">
    <w:name w:val="Character Style 1"/>
    <w:uiPriority w:val="99"/>
    <w:rsid w:val="007B2B30"/>
    <w:rPr>
      <w:sz w:val="25"/>
      <w:szCs w:val="25"/>
    </w:rPr>
  </w:style>
  <w:style w:type="character" w:customStyle="1" w:styleId="SinespaciadoCar">
    <w:name w:val="Sin espaciado Car"/>
    <w:basedOn w:val="Fuentedeprrafopredeter"/>
    <w:link w:val="Sinespaciado"/>
    <w:uiPriority w:val="1"/>
    <w:rsid w:val="007B2B30"/>
  </w:style>
  <w:style w:type="paragraph" w:styleId="Piedepgina">
    <w:name w:val="footer"/>
    <w:basedOn w:val="Normal"/>
    <w:link w:val="PiedepginaCar"/>
    <w:uiPriority w:val="99"/>
    <w:unhideWhenUsed/>
    <w:rsid w:val="007B2B30"/>
    <w:pPr>
      <w:tabs>
        <w:tab w:val="center" w:pos="4419"/>
        <w:tab w:val="right" w:pos="8838"/>
      </w:tabs>
    </w:pPr>
  </w:style>
  <w:style w:type="character" w:customStyle="1" w:styleId="PiedepginaCar">
    <w:name w:val="Pie de página Car"/>
    <w:basedOn w:val="Fuentedeprrafopredeter"/>
    <w:link w:val="Piedepgina"/>
    <w:uiPriority w:val="99"/>
    <w:rsid w:val="007B2B30"/>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7B2B30"/>
    <w:pPr>
      <w:ind w:left="720"/>
      <w:contextualSpacing/>
    </w:pPr>
  </w:style>
  <w:style w:type="paragraph" w:customStyle="1" w:styleId="Default">
    <w:name w:val="Default"/>
    <w:rsid w:val="007B2B30"/>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7B2B30"/>
    <w:pPr>
      <w:spacing w:after="120"/>
    </w:pPr>
  </w:style>
  <w:style w:type="character" w:customStyle="1" w:styleId="TextoindependienteCar">
    <w:name w:val="Texto independiente Car"/>
    <w:basedOn w:val="Fuentedeprrafopredeter"/>
    <w:link w:val="Textoindependiente"/>
    <w:uiPriority w:val="99"/>
    <w:rsid w:val="007B2B30"/>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7B2B30"/>
    <w:pPr>
      <w:tabs>
        <w:tab w:val="center" w:pos="4252"/>
        <w:tab w:val="right" w:pos="8504"/>
      </w:tabs>
    </w:pPr>
  </w:style>
  <w:style w:type="character" w:customStyle="1" w:styleId="EncabezadoCar">
    <w:name w:val="Encabezado Car"/>
    <w:basedOn w:val="Fuentedeprrafopredeter"/>
    <w:link w:val="Encabezado"/>
    <w:uiPriority w:val="99"/>
    <w:rsid w:val="007B2B30"/>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9426</Words>
  <Characters>51847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2018-09-28T16:41:00Z</cp:lastPrinted>
  <dcterms:created xsi:type="dcterms:W3CDTF">2019-04-25T17:53:00Z</dcterms:created>
  <dcterms:modified xsi:type="dcterms:W3CDTF">2019-04-25T17:53:00Z</dcterms:modified>
</cp:coreProperties>
</file>