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9FC" w:rsidRPr="00072D24" w:rsidRDefault="005E69FC" w:rsidP="00FF46E1">
      <w:pPr>
        <w:spacing w:line="276" w:lineRule="auto"/>
        <w:jc w:val="both"/>
        <w:rPr>
          <w:sz w:val="25"/>
          <w:szCs w:val="25"/>
          <w:lang w:val="es-MX"/>
        </w:rPr>
      </w:pPr>
    </w:p>
    <w:p w:rsidR="005E69FC" w:rsidRPr="00072D24" w:rsidRDefault="005E69FC" w:rsidP="00FF46E1">
      <w:pPr>
        <w:spacing w:line="276" w:lineRule="auto"/>
        <w:jc w:val="center"/>
        <w:rPr>
          <w:b/>
          <w:sz w:val="25"/>
          <w:szCs w:val="25"/>
          <w:lang w:val="es-MX"/>
        </w:rPr>
      </w:pPr>
      <w:r w:rsidRPr="00072D24">
        <w:rPr>
          <w:b/>
          <w:sz w:val="25"/>
          <w:szCs w:val="25"/>
          <w:lang w:val="es-MX"/>
        </w:rPr>
        <w:t>Resolución No. TAT-</w:t>
      </w:r>
      <w:r w:rsidR="00C156AF" w:rsidRPr="00072D24">
        <w:rPr>
          <w:b/>
          <w:sz w:val="25"/>
          <w:szCs w:val="25"/>
          <w:lang w:val="es-MX"/>
        </w:rPr>
        <w:t>3573</w:t>
      </w:r>
      <w:r w:rsidRPr="00072D24">
        <w:rPr>
          <w:b/>
          <w:sz w:val="25"/>
          <w:szCs w:val="25"/>
          <w:lang w:val="es-MX"/>
        </w:rPr>
        <w:t>-2018</w:t>
      </w:r>
    </w:p>
    <w:p w:rsidR="005E69FC" w:rsidRPr="00072D24" w:rsidRDefault="005E69FC" w:rsidP="00FF46E1">
      <w:pPr>
        <w:pStyle w:val="Textoindependiente2"/>
        <w:spacing w:line="276" w:lineRule="auto"/>
        <w:rPr>
          <w:b/>
          <w:sz w:val="25"/>
          <w:szCs w:val="25"/>
        </w:rPr>
      </w:pPr>
    </w:p>
    <w:p w:rsidR="005E69FC" w:rsidRPr="00072D24" w:rsidRDefault="005E69FC" w:rsidP="00FF46E1">
      <w:pPr>
        <w:pStyle w:val="Textoindependiente2"/>
        <w:spacing w:line="276" w:lineRule="auto"/>
        <w:rPr>
          <w:sz w:val="25"/>
          <w:szCs w:val="25"/>
        </w:rPr>
      </w:pPr>
      <w:r w:rsidRPr="00072D24">
        <w:rPr>
          <w:b/>
          <w:sz w:val="25"/>
          <w:szCs w:val="25"/>
        </w:rPr>
        <w:t>TRIBUNAL ADMINISTRATIVO DE TRANSPORTE</w:t>
      </w:r>
      <w:r w:rsidRPr="00072D24">
        <w:rPr>
          <w:sz w:val="25"/>
          <w:szCs w:val="25"/>
        </w:rPr>
        <w:t>. San José, a las 10:</w:t>
      </w:r>
      <w:r w:rsidR="00C156AF" w:rsidRPr="00072D24">
        <w:rPr>
          <w:sz w:val="25"/>
          <w:szCs w:val="25"/>
        </w:rPr>
        <w:t>30</w:t>
      </w:r>
      <w:r w:rsidRPr="00072D24">
        <w:rPr>
          <w:sz w:val="25"/>
          <w:szCs w:val="25"/>
        </w:rPr>
        <w:t xml:space="preserve"> horas del día </w:t>
      </w:r>
      <w:r w:rsidR="00C156AF" w:rsidRPr="00072D24">
        <w:rPr>
          <w:sz w:val="25"/>
          <w:szCs w:val="25"/>
        </w:rPr>
        <w:t>Veintinueve</w:t>
      </w:r>
      <w:r w:rsidRPr="00072D24">
        <w:rPr>
          <w:sz w:val="25"/>
          <w:szCs w:val="25"/>
        </w:rPr>
        <w:t xml:space="preserve"> de Noviembre del Dos Mil </w:t>
      </w:r>
      <w:proofErr w:type="gramStart"/>
      <w:r w:rsidRPr="00072D24">
        <w:rPr>
          <w:sz w:val="25"/>
          <w:szCs w:val="25"/>
        </w:rPr>
        <w:t>Dieciocho.---------------------------</w:t>
      </w:r>
      <w:r w:rsidR="00FF46E1" w:rsidRPr="00072D24">
        <w:rPr>
          <w:sz w:val="25"/>
          <w:szCs w:val="25"/>
        </w:rPr>
        <w:t>---------</w:t>
      </w:r>
      <w:proofErr w:type="gramEnd"/>
    </w:p>
    <w:p w:rsidR="005E69FC" w:rsidRPr="00072D24" w:rsidRDefault="005E69FC" w:rsidP="00FF46E1">
      <w:pPr>
        <w:pStyle w:val="Sinespaciado"/>
        <w:spacing w:line="276" w:lineRule="auto"/>
        <w:jc w:val="both"/>
        <w:rPr>
          <w:sz w:val="25"/>
          <w:szCs w:val="25"/>
        </w:rPr>
      </w:pPr>
    </w:p>
    <w:p w:rsidR="005E69FC" w:rsidRPr="00072D24" w:rsidRDefault="005E69FC" w:rsidP="00FF46E1">
      <w:pPr>
        <w:pStyle w:val="Sinespaciado"/>
        <w:spacing w:line="276" w:lineRule="auto"/>
        <w:jc w:val="both"/>
        <w:rPr>
          <w:sz w:val="25"/>
          <w:szCs w:val="25"/>
        </w:rPr>
      </w:pPr>
    </w:p>
    <w:p w:rsidR="005E69FC" w:rsidRPr="00072D24" w:rsidRDefault="005E69FC" w:rsidP="00FF46E1">
      <w:pPr>
        <w:pStyle w:val="Textoindependiente2"/>
        <w:spacing w:line="276" w:lineRule="auto"/>
        <w:rPr>
          <w:b/>
          <w:i/>
          <w:sz w:val="25"/>
          <w:szCs w:val="25"/>
        </w:rPr>
      </w:pPr>
      <w:r w:rsidRPr="00072D24">
        <w:rPr>
          <w:sz w:val="25"/>
          <w:szCs w:val="25"/>
        </w:rPr>
        <w:t xml:space="preserve">Se conoce por este medio de </w:t>
      </w:r>
      <w:r w:rsidRPr="00072D24">
        <w:rPr>
          <w:b/>
          <w:sz w:val="25"/>
          <w:szCs w:val="25"/>
        </w:rPr>
        <w:t xml:space="preserve">RECURSO DE APELACIÓN </w:t>
      </w:r>
      <w:r w:rsidR="00DF7C4F" w:rsidRPr="00072D24">
        <w:rPr>
          <w:i/>
          <w:sz w:val="25"/>
          <w:szCs w:val="25"/>
        </w:rPr>
        <w:t>(Directa)</w:t>
      </w:r>
      <w:r w:rsidRPr="00072D24">
        <w:rPr>
          <w:sz w:val="25"/>
          <w:szCs w:val="25"/>
        </w:rPr>
        <w:t xml:space="preserve"> con</w:t>
      </w:r>
      <w:r w:rsidRPr="00072D24">
        <w:rPr>
          <w:b/>
          <w:sz w:val="25"/>
          <w:szCs w:val="25"/>
        </w:rPr>
        <w:t xml:space="preserve"> NULIDAD ABSOLUTA </w:t>
      </w:r>
      <w:r w:rsidRPr="00072D24">
        <w:rPr>
          <w:sz w:val="25"/>
          <w:szCs w:val="25"/>
        </w:rPr>
        <w:t>concomitante, presentados por la firma</w:t>
      </w:r>
      <w:r w:rsidRPr="00072D24">
        <w:rPr>
          <w:b/>
          <w:sz w:val="25"/>
          <w:szCs w:val="25"/>
        </w:rPr>
        <w:t xml:space="preserve"> T</w:t>
      </w:r>
      <w:r w:rsidR="00766495">
        <w:rPr>
          <w:b/>
          <w:sz w:val="25"/>
          <w:szCs w:val="25"/>
        </w:rPr>
        <w:t>.L.P.L.</w:t>
      </w:r>
      <w:r w:rsidRPr="00072D24">
        <w:rPr>
          <w:b/>
          <w:sz w:val="25"/>
          <w:szCs w:val="25"/>
        </w:rPr>
        <w:t xml:space="preserve">, </w:t>
      </w:r>
      <w:r w:rsidRPr="00072D24">
        <w:rPr>
          <w:sz w:val="25"/>
          <w:szCs w:val="25"/>
        </w:rPr>
        <w:t xml:space="preserve">cédula jurídica número </w:t>
      </w:r>
      <w:r w:rsidR="00167A9E">
        <w:rPr>
          <w:sz w:val="25"/>
          <w:szCs w:val="25"/>
        </w:rPr>
        <w:t>…</w:t>
      </w:r>
      <w:r w:rsidRPr="00072D24">
        <w:rPr>
          <w:sz w:val="25"/>
          <w:szCs w:val="25"/>
        </w:rPr>
        <w:t>,</w:t>
      </w:r>
      <w:r w:rsidRPr="00072D24">
        <w:rPr>
          <w:b/>
          <w:sz w:val="25"/>
          <w:szCs w:val="25"/>
        </w:rPr>
        <w:t xml:space="preserve"> </w:t>
      </w:r>
      <w:r w:rsidRPr="00072D24">
        <w:rPr>
          <w:sz w:val="25"/>
          <w:szCs w:val="25"/>
        </w:rPr>
        <w:t xml:space="preserve">representada a los efectos por el Señor </w:t>
      </w:r>
      <w:r w:rsidRPr="00072D24">
        <w:rPr>
          <w:i/>
          <w:sz w:val="25"/>
          <w:szCs w:val="25"/>
        </w:rPr>
        <w:t>R</w:t>
      </w:r>
      <w:r w:rsidR="00766495">
        <w:rPr>
          <w:i/>
          <w:sz w:val="25"/>
          <w:szCs w:val="25"/>
        </w:rPr>
        <w:t>.B.C.</w:t>
      </w:r>
      <w:r w:rsidRPr="00072D24">
        <w:rPr>
          <w:sz w:val="25"/>
          <w:szCs w:val="25"/>
        </w:rPr>
        <w:t xml:space="preserve">, de calidades conocidas y portador de la cédula de identidad número </w:t>
      </w:r>
      <w:r w:rsidR="00766495">
        <w:rPr>
          <w:sz w:val="25"/>
          <w:szCs w:val="25"/>
        </w:rPr>
        <w:t>…</w:t>
      </w:r>
      <w:r w:rsidRPr="00072D24">
        <w:rPr>
          <w:sz w:val="25"/>
          <w:szCs w:val="25"/>
        </w:rPr>
        <w:t xml:space="preserve">, en contra del Artículo No. 3.1 de la Sesión Ordinaria No. 32-2018 del 18 de Setiembre del 2018, de la Junta Directiva del Consejo de Transporte </w:t>
      </w:r>
      <w:proofErr w:type="gramStart"/>
      <w:r w:rsidRPr="00072D24">
        <w:rPr>
          <w:sz w:val="25"/>
          <w:szCs w:val="25"/>
        </w:rPr>
        <w:t>Público.-</w:t>
      </w:r>
      <w:proofErr w:type="gramEnd"/>
      <w:r w:rsidRPr="00072D24">
        <w:rPr>
          <w:sz w:val="25"/>
          <w:szCs w:val="25"/>
        </w:rPr>
        <w:t xml:space="preserve"> </w:t>
      </w:r>
      <w:r w:rsidRPr="00072D24">
        <w:rPr>
          <w:b/>
          <w:i/>
          <w:sz w:val="25"/>
          <w:szCs w:val="25"/>
        </w:rPr>
        <w:t xml:space="preserve">EXPEDIENTE ADMINISTRATIVO No. TAT-158-18.-         </w:t>
      </w:r>
    </w:p>
    <w:p w:rsidR="005E69FC" w:rsidRPr="00072D24" w:rsidRDefault="005E69FC" w:rsidP="00FF46E1">
      <w:pPr>
        <w:pStyle w:val="Textoindependiente2"/>
        <w:spacing w:line="276" w:lineRule="auto"/>
        <w:rPr>
          <w:b/>
          <w:i/>
          <w:sz w:val="25"/>
          <w:szCs w:val="25"/>
        </w:rPr>
      </w:pPr>
    </w:p>
    <w:p w:rsidR="005E69FC" w:rsidRPr="00072D24" w:rsidRDefault="005E69FC" w:rsidP="00FF46E1">
      <w:pPr>
        <w:pStyle w:val="Textoindependiente2"/>
        <w:spacing w:line="276" w:lineRule="auto"/>
        <w:jc w:val="center"/>
        <w:rPr>
          <w:b/>
          <w:i/>
          <w:sz w:val="25"/>
          <w:szCs w:val="25"/>
        </w:rPr>
      </w:pPr>
      <w:r w:rsidRPr="00072D24">
        <w:rPr>
          <w:b/>
          <w:i/>
          <w:sz w:val="25"/>
          <w:szCs w:val="25"/>
        </w:rPr>
        <w:t>Resultando</w:t>
      </w:r>
    </w:p>
    <w:p w:rsidR="005E69FC" w:rsidRPr="00072D24" w:rsidRDefault="005E69FC" w:rsidP="00FF46E1">
      <w:pPr>
        <w:pStyle w:val="Textoindependiente2"/>
        <w:spacing w:line="276" w:lineRule="auto"/>
        <w:rPr>
          <w:b/>
          <w:i/>
          <w:sz w:val="25"/>
          <w:szCs w:val="25"/>
        </w:rPr>
      </w:pPr>
    </w:p>
    <w:p w:rsidR="005E69FC" w:rsidRPr="00072D24" w:rsidRDefault="005E69FC" w:rsidP="00FF46E1">
      <w:pPr>
        <w:pStyle w:val="Textoindependiente2"/>
        <w:spacing w:line="276" w:lineRule="auto"/>
        <w:rPr>
          <w:sz w:val="25"/>
          <w:szCs w:val="25"/>
        </w:rPr>
      </w:pPr>
      <w:r w:rsidRPr="00072D24">
        <w:rPr>
          <w:b/>
          <w:sz w:val="25"/>
          <w:szCs w:val="25"/>
        </w:rPr>
        <w:t>PRIMERO:</w:t>
      </w:r>
      <w:r w:rsidRPr="00072D24">
        <w:rPr>
          <w:sz w:val="25"/>
          <w:szCs w:val="25"/>
        </w:rPr>
        <w:t xml:space="preserve"> </w:t>
      </w:r>
      <w:r w:rsidR="00DF7C4F" w:rsidRPr="00072D24">
        <w:rPr>
          <w:sz w:val="25"/>
          <w:szCs w:val="25"/>
        </w:rPr>
        <w:t xml:space="preserve"> </w:t>
      </w:r>
      <w:r w:rsidRPr="00072D24">
        <w:rPr>
          <w:sz w:val="25"/>
          <w:szCs w:val="25"/>
        </w:rPr>
        <w:t xml:space="preserve">Como parte de una Acción Cautelar y en el entorno de un Procedimiento para </w:t>
      </w:r>
      <w:r w:rsidR="00DF7C4F" w:rsidRPr="00072D24">
        <w:rPr>
          <w:sz w:val="25"/>
          <w:szCs w:val="25"/>
        </w:rPr>
        <w:t>C</w:t>
      </w:r>
      <w:r w:rsidRPr="00072D24">
        <w:rPr>
          <w:sz w:val="25"/>
          <w:szCs w:val="25"/>
        </w:rPr>
        <w:t xml:space="preserve">ancelar el Permiso que detentara </w:t>
      </w:r>
      <w:r w:rsidR="00FF46E1" w:rsidRPr="00072D24">
        <w:rPr>
          <w:sz w:val="25"/>
          <w:szCs w:val="25"/>
        </w:rPr>
        <w:t xml:space="preserve">anterior e inmediatamente </w:t>
      </w:r>
      <w:r w:rsidRPr="00072D24">
        <w:rPr>
          <w:sz w:val="25"/>
          <w:szCs w:val="25"/>
        </w:rPr>
        <w:t xml:space="preserve">la firma </w:t>
      </w:r>
      <w:r w:rsidRPr="00072D24">
        <w:rPr>
          <w:b/>
          <w:sz w:val="25"/>
          <w:szCs w:val="25"/>
        </w:rPr>
        <w:t>T</w:t>
      </w:r>
      <w:r w:rsidR="00766495">
        <w:rPr>
          <w:b/>
          <w:sz w:val="25"/>
          <w:szCs w:val="25"/>
        </w:rPr>
        <w:t>.L.P.L.</w:t>
      </w:r>
      <w:r w:rsidR="00DF7C4F" w:rsidRPr="00072D24">
        <w:rPr>
          <w:sz w:val="25"/>
          <w:szCs w:val="25"/>
        </w:rPr>
        <w:t>,</w:t>
      </w:r>
      <w:r w:rsidRPr="00072D24">
        <w:rPr>
          <w:sz w:val="25"/>
          <w:szCs w:val="25"/>
        </w:rPr>
        <w:t xml:space="preserve"> en cuanto a la Operación del Servicio Público de Transporte Remunerado de Personas, modalidad Autobús, </w:t>
      </w:r>
      <w:r w:rsidRPr="00072D24">
        <w:rPr>
          <w:b/>
          <w:i/>
          <w:sz w:val="25"/>
          <w:szCs w:val="25"/>
        </w:rPr>
        <w:t>mediante el Artículo No. 3.1 de su Sesión Ordinaria No. 32-2018 del 18 de Setiembre del 2018</w:t>
      </w:r>
      <w:r w:rsidRPr="00072D24">
        <w:rPr>
          <w:sz w:val="25"/>
          <w:szCs w:val="25"/>
        </w:rPr>
        <w:t xml:space="preserve">, la Junta Directiva del Consejo de Transporte Público dispone: </w:t>
      </w:r>
    </w:p>
    <w:p w:rsidR="005E69FC" w:rsidRPr="00072D24" w:rsidRDefault="005E69FC" w:rsidP="00FF46E1">
      <w:pPr>
        <w:pStyle w:val="Textoindependiente2"/>
        <w:spacing w:line="276" w:lineRule="auto"/>
        <w:rPr>
          <w:sz w:val="25"/>
          <w:szCs w:val="25"/>
        </w:rPr>
      </w:pPr>
    </w:p>
    <w:p w:rsidR="005E69FC" w:rsidRPr="00072D24" w:rsidRDefault="005E69FC" w:rsidP="00FF46E1">
      <w:pPr>
        <w:pStyle w:val="Default"/>
        <w:spacing w:line="276" w:lineRule="auto"/>
        <w:ind w:left="567" w:right="566"/>
        <w:jc w:val="both"/>
        <w:rPr>
          <w:rFonts w:ascii="Times New Roman" w:hAnsi="Times New Roman" w:cs="Times New Roman"/>
          <w:sz w:val="25"/>
          <w:szCs w:val="25"/>
        </w:rPr>
      </w:pPr>
      <w:proofErr w:type="gramStart"/>
      <w:r w:rsidRPr="00072D24">
        <w:rPr>
          <w:rFonts w:ascii="Times New Roman" w:hAnsi="Times New Roman" w:cs="Times New Roman"/>
          <w:b/>
          <w:bCs/>
          <w:sz w:val="25"/>
          <w:szCs w:val="25"/>
        </w:rPr>
        <w:t>…”POR</w:t>
      </w:r>
      <w:proofErr w:type="gramEnd"/>
      <w:r w:rsidRPr="00072D24">
        <w:rPr>
          <w:rFonts w:ascii="Times New Roman" w:hAnsi="Times New Roman" w:cs="Times New Roman"/>
          <w:b/>
          <w:bCs/>
          <w:sz w:val="25"/>
          <w:szCs w:val="25"/>
        </w:rPr>
        <w:t xml:space="preserve"> TANTO, SE ACUERDA</w:t>
      </w:r>
      <w:r w:rsidR="00D0058F">
        <w:rPr>
          <w:rFonts w:ascii="Times New Roman" w:hAnsi="Times New Roman" w:cs="Times New Roman"/>
          <w:b/>
          <w:bCs/>
          <w:sz w:val="25"/>
          <w:szCs w:val="25"/>
        </w:rPr>
        <w:t>:</w:t>
      </w:r>
      <w:r w:rsidRPr="00072D24">
        <w:rPr>
          <w:rFonts w:ascii="Times New Roman" w:hAnsi="Times New Roman" w:cs="Times New Roman"/>
          <w:b/>
          <w:bCs/>
          <w:sz w:val="25"/>
          <w:szCs w:val="25"/>
        </w:rPr>
        <w:t xml:space="preserve"> </w:t>
      </w:r>
    </w:p>
    <w:p w:rsidR="005E69FC" w:rsidRPr="00072D24" w:rsidRDefault="005E69FC" w:rsidP="00FF46E1">
      <w:pPr>
        <w:pStyle w:val="Default"/>
        <w:spacing w:after="18" w:line="276" w:lineRule="auto"/>
        <w:ind w:left="567" w:right="566"/>
        <w:jc w:val="both"/>
        <w:rPr>
          <w:rFonts w:ascii="Times New Roman" w:hAnsi="Times New Roman" w:cs="Times New Roman"/>
          <w:sz w:val="25"/>
          <w:szCs w:val="25"/>
        </w:rPr>
      </w:pPr>
    </w:p>
    <w:p w:rsidR="005E69FC" w:rsidRPr="00072D24" w:rsidRDefault="005E69FC" w:rsidP="00FF46E1">
      <w:pPr>
        <w:pStyle w:val="Default"/>
        <w:spacing w:after="18" w:line="276" w:lineRule="auto"/>
        <w:ind w:left="567" w:right="566"/>
        <w:jc w:val="both"/>
        <w:rPr>
          <w:rFonts w:ascii="Times New Roman" w:hAnsi="Times New Roman" w:cs="Times New Roman"/>
          <w:sz w:val="25"/>
          <w:szCs w:val="25"/>
        </w:rPr>
      </w:pPr>
      <w:r w:rsidRPr="00072D24">
        <w:rPr>
          <w:rFonts w:ascii="Times New Roman" w:hAnsi="Times New Roman" w:cs="Times New Roman"/>
          <w:sz w:val="25"/>
          <w:szCs w:val="25"/>
        </w:rPr>
        <w:t xml:space="preserve">1. Aprobar, basados en los fundamentos, motivos y contenidos, desarrollados en los considerandos del oficio </w:t>
      </w:r>
      <w:r w:rsidRPr="00072D24">
        <w:rPr>
          <w:rFonts w:ascii="Times New Roman" w:hAnsi="Times New Roman" w:cs="Times New Roman"/>
          <w:b/>
          <w:bCs/>
          <w:sz w:val="25"/>
          <w:szCs w:val="25"/>
        </w:rPr>
        <w:t>DIC 2018-1025</w:t>
      </w:r>
      <w:r w:rsidRPr="00072D24">
        <w:rPr>
          <w:rFonts w:ascii="Times New Roman" w:hAnsi="Times New Roman" w:cs="Times New Roman"/>
          <w:sz w:val="25"/>
          <w:szCs w:val="25"/>
        </w:rPr>
        <w:t xml:space="preserve">, todas las recomendaciones contenidas en el oficio dicho, el cual forma parte integral de este acuerdo. </w:t>
      </w:r>
    </w:p>
    <w:p w:rsidR="005E69FC" w:rsidRPr="00072D24" w:rsidRDefault="005E69FC" w:rsidP="00FF46E1">
      <w:pPr>
        <w:pStyle w:val="Default"/>
        <w:spacing w:after="18" w:line="276" w:lineRule="auto"/>
        <w:ind w:left="567" w:right="566"/>
        <w:jc w:val="both"/>
        <w:rPr>
          <w:rFonts w:ascii="Times New Roman" w:hAnsi="Times New Roman" w:cs="Times New Roman"/>
          <w:sz w:val="25"/>
          <w:szCs w:val="25"/>
        </w:rPr>
      </w:pPr>
    </w:p>
    <w:p w:rsidR="005E69FC" w:rsidRPr="00072D24" w:rsidRDefault="005E69FC" w:rsidP="00FF46E1">
      <w:pPr>
        <w:pStyle w:val="Default"/>
        <w:spacing w:after="18" w:line="276" w:lineRule="auto"/>
        <w:ind w:left="567" w:right="566"/>
        <w:jc w:val="both"/>
        <w:rPr>
          <w:rFonts w:ascii="Times New Roman" w:hAnsi="Times New Roman" w:cs="Times New Roman"/>
          <w:sz w:val="25"/>
          <w:szCs w:val="25"/>
        </w:rPr>
      </w:pPr>
      <w:r w:rsidRPr="00072D24">
        <w:rPr>
          <w:rFonts w:ascii="Times New Roman" w:hAnsi="Times New Roman" w:cs="Times New Roman"/>
          <w:sz w:val="25"/>
          <w:szCs w:val="25"/>
        </w:rPr>
        <w:t xml:space="preserve">2. Escoger la oferta presentada por la empresa </w:t>
      </w:r>
      <w:r w:rsidRPr="00072D24">
        <w:rPr>
          <w:rFonts w:ascii="Times New Roman" w:hAnsi="Times New Roman" w:cs="Times New Roman"/>
          <w:b/>
          <w:bCs/>
          <w:sz w:val="25"/>
          <w:szCs w:val="25"/>
        </w:rPr>
        <w:t>M</w:t>
      </w:r>
      <w:r w:rsidR="00766495">
        <w:rPr>
          <w:rFonts w:ascii="Times New Roman" w:hAnsi="Times New Roman" w:cs="Times New Roman"/>
          <w:b/>
          <w:bCs/>
          <w:sz w:val="25"/>
          <w:szCs w:val="25"/>
        </w:rPr>
        <w:t>.</w:t>
      </w:r>
      <w:r w:rsidRPr="00072D24">
        <w:rPr>
          <w:rFonts w:ascii="Times New Roman" w:hAnsi="Times New Roman" w:cs="Times New Roman"/>
          <w:b/>
          <w:bCs/>
          <w:sz w:val="25"/>
          <w:szCs w:val="25"/>
        </w:rPr>
        <w:t>S.A.</w:t>
      </w:r>
      <w:r w:rsidRPr="00072D24">
        <w:rPr>
          <w:rFonts w:ascii="Times New Roman" w:hAnsi="Times New Roman" w:cs="Times New Roman"/>
          <w:sz w:val="25"/>
          <w:szCs w:val="25"/>
        </w:rPr>
        <w:t xml:space="preserve">, como permisionaria de la ruta número 537 descrita como: Bolsón - Ortega – </w:t>
      </w:r>
      <w:proofErr w:type="spellStart"/>
      <w:r w:rsidRPr="00072D24">
        <w:rPr>
          <w:rFonts w:ascii="Times New Roman" w:hAnsi="Times New Roman" w:cs="Times New Roman"/>
          <w:sz w:val="25"/>
          <w:szCs w:val="25"/>
        </w:rPr>
        <w:t>Talolinga</w:t>
      </w:r>
      <w:proofErr w:type="spellEnd"/>
      <w:r w:rsidRPr="00072D24">
        <w:rPr>
          <w:rFonts w:ascii="Times New Roman" w:hAnsi="Times New Roman" w:cs="Times New Roman"/>
          <w:sz w:val="25"/>
          <w:szCs w:val="25"/>
        </w:rPr>
        <w:t xml:space="preserve"> - Santa Bárbara - Los Ángeles – </w:t>
      </w:r>
      <w:proofErr w:type="spellStart"/>
      <w:r w:rsidRPr="00072D24">
        <w:rPr>
          <w:rFonts w:ascii="Times New Roman" w:hAnsi="Times New Roman" w:cs="Times New Roman"/>
          <w:sz w:val="25"/>
          <w:szCs w:val="25"/>
        </w:rPr>
        <w:t>Guaitil</w:t>
      </w:r>
      <w:proofErr w:type="spellEnd"/>
      <w:r w:rsidRPr="00072D24">
        <w:rPr>
          <w:rFonts w:ascii="Times New Roman" w:hAnsi="Times New Roman" w:cs="Times New Roman"/>
          <w:sz w:val="25"/>
          <w:szCs w:val="25"/>
        </w:rPr>
        <w:t xml:space="preserve"> - San Vicente - San Lázaro - Santa Cruz y Viceversa, de conformidad con lo establecido en el artículo 8 del “Reglamento para el Otorgamiento de Permisos en el Servicio Regular de Transporte Remunerado de Personas en Vehículos Automotores Colectivos”. </w:t>
      </w:r>
    </w:p>
    <w:p w:rsidR="005E69FC" w:rsidRPr="00072D24" w:rsidRDefault="005E69FC" w:rsidP="00FF46E1">
      <w:pPr>
        <w:pStyle w:val="Default"/>
        <w:spacing w:after="18" w:line="276" w:lineRule="auto"/>
        <w:ind w:left="567" w:right="566"/>
        <w:jc w:val="both"/>
        <w:rPr>
          <w:rFonts w:ascii="Times New Roman" w:hAnsi="Times New Roman" w:cs="Times New Roman"/>
          <w:sz w:val="25"/>
          <w:szCs w:val="25"/>
        </w:rPr>
      </w:pPr>
    </w:p>
    <w:p w:rsidR="005E69FC" w:rsidRPr="00072D24" w:rsidRDefault="005E69FC" w:rsidP="00FF46E1">
      <w:pPr>
        <w:pStyle w:val="Default"/>
        <w:spacing w:after="18" w:line="276" w:lineRule="auto"/>
        <w:ind w:left="567" w:right="566"/>
        <w:jc w:val="both"/>
        <w:rPr>
          <w:rFonts w:ascii="Times New Roman" w:hAnsi="Times New Roman" w:cs="Times New Roman"/>
          <w:sz w:val="25"/>
          <w:szCs w:val="25"/>
        </w:rPr>
      </w:pPr>
      <w:r w:rsidRPr="00072D24">
        <w:rPr>
          <w:rFonts w:ascii="Times New Roman" w:hAnsi="Times New Roman" w:cs="Times New Roman"/>
          <w:sz w:val="25"/>
          <w:szCs w:val="25"/>
        </w:rPr>
        <w:t xml:space="preserve">3. Ordenar a la empresa </w:t>
      </w:r>
      <w:r w:rsidRPr="00072D24">
        <w:rPr>
          <w:rFonts w:ascii="Times New Roman" w:hAnsi="Times New Roman" w:cs="Times New Roman"/>
          <w:b/>
          <w:bCs/>
          <w:sz w:val="25"/>
          <w:szCs w:val="25"/>
        </w:rPr>
        <w:t>M</w:t>
      </w:r>
      <w:r w:rsidR="00766495">
        <w:rPr>
          <w:rFonts w:ascii="Times New Roman" w:hAnsi="Times New Roman" w:cs="Times New Roman"/>
          <w:b/>
          <w:bCs/>
          <w:sz w:val="25"/>
          <w:szCs w:val="25"/>
        </w:rPr>
        <w:t>.</w:t>
      </w:r>
      <w:r w:rsidRPr="00072D24">
        <w:rPr>
          <w:rFonts w:ascii="Times New Roman" w:hAnsi="Times New Roman" w:cs="Times New Roman"/>
          <w:b/>
          <w:bCs/>
          <w:sz w:val="25"/>
          <w:szCs w:val="25"/>
        </w:rPr>
        <w:t>S.A.</w:t>
      </w:r>
      <w:r w:rsidRPr="00072D24">
        <w:rPr>
          <w:rFonts w:ascii="Times New Roman" w:hAnsi="Times New Roman" w:cs="Times New Roman"/>
          <w:sz w:val="25"/>
          <w:szCs w:val="25"/>
        </w:rPr>
        <w:t xml:space="preserve">, nueva operadora de la ruta </w:t>
      </w:r>
      <w:proofErr w:type="spellStart"/>
      <w:r w:rsidRPr="00072D24">
        <w:rPr>
          <w:rFonts w:ascii="Times New Roman" w:hAnsi="Times New Roman" w:cs="Times New Roman"/>
          <w:sz w:val="25"/>
          <w:szCs w:val="25"/>
        </w:rPr>
        <w:t>N°</w:t>
      </w:r>
      <w:proofErr w:type="spellEnd"/>
      <w:r w:rsidRPr="00072D24">
        <w:rPr>
          <w:rFonts w:ascii="Times New Roman" w:hAnsi="Times New Roman" w:cs="Times New Roman"/>
          <w:sz w:val="25"/>
          <w:szCs w:val="25"/>
        </w:rPr>
        <w:t xml:space="preserve"> 537, descrita como Bolsón - Ortega – </w:t>
      </w:r>
      <w:proofErr w:type="spellStart"/>
      <w:r w:rsidRPr="00072D24">
        <w:rPr>
          <w:rFonts w:ascii="Times New Roman" w:hAnsi="Times New Roman" w:cs="Times New Roman"/>
          <w:sz w:val="25"/>
          <w:szCs w:val="25"/>
        </w:rPr>
        <w:t>Talolinga</w:t>
      </w:r>
      <w:proofErr w:type="spellEnd"/>
      <w:r w:rsidRPr="00072D24">
        <w:rPr>
          <w:rFonts w:ascii="Times New Roman" w:hAnsi="Times New Roman" w:cs="Times New Roman"/>
          <w:sz w:val="25"/>
          <w:szCs w:val="25"/>
        </w:rPr>
        <w:t xml:space="preserve"> - Santa Bárbara - Los Ángeles – </w:t>
      </w:r>
      <w:proofErr w:type="spellStart"/>
      <w:r w:rsidRPr="00072D24">
        <w:rPr>
          <w:rFonts w:ascii="Times New Roman" w:hAnsi="Times New Roman" w:cs="Times New Roman"/>
          <w:sz w:val="25"/>
          <w:szCs w:val="25"/>
        </w:rPr>
        <w:t>Guaitil</w:t>
      </w:r>
      <w:proofErr w:type="spellEnd"/>
      <w:r w:rsidRPr="00072D24">
        <w:rPr>
          <w:rFonts w:ascii="Times New Roman" w:hAnsi="Times New Roman" w:cs="Times New Roman"/>
          <w:sz w:val="25"/>
          <w:szCs w:val="25"/>
        </w:rPr>
        <w:t xml:space="preserve"> - San Vicente - San Lázaro - Santa Cruz y Viceversa, que en un plazo de </w:t>
      </w:r>
      <w:r w:rsidRPr="00072D24">
        <w:rPr>
          <w:rFonts w:ascii="Times New Roman" w:hAnsi="Times New Roman" w:cs="Times New Roman"/>
          <w:b/>
          <w:bCs/>
          <w:sz w:val="25"/>
          <w:szCs w:val="25"/>
        </w:rPr>
        <w:t xml:space="preserve">10 </w:t>
      </w:r>
      <w:r w:rsidRPr="00072D24">
        <w:rPr>
          <w:rFonts w:ascii="Times New Roman" w:hAnsi="Times New Roman" w:cs="Times New Roman"/>
          <w:b/>
          <w:bCs/>
          <w:sz w:val="25"/>
          <w:szCs w:val="25"/>
        </w:rPr>
        <w:lastRenderedPageBreak/>
        <w:t xml:space="preserve">días hábiles </w:t>
      </w:r>
      <w:r w:rsidRPr="00072D24">
        <w:rPr>
          <w:rFonts w:ascii="Times New Roman" w:hAnsi="Times New Roman" w:cs="Times New Roman"/>
          <w:sz w:val="25"/>
          <w:szCs w:val="25"/>
        </w:rPr>
        <w:t xml:space="preserve">debe proceder a inscribir la flota propuesta en su oferta para la operación de la ruta </w:t>
      </w:r>
      <w:proofErr w:type="spellStart"/>
      <w:r w:rsidRPr="00072D24">
        <w:rPr>
          <w:rFonts w:ascii="Times New Roman" w:hAnsi="Times New Roman" w:cs="Times New Roman"/>
          <w:sz w:val="25"/>
          <w:szCs w:val="25"/>
        </w:rPr>
        <w:t>N°</w:t>
      </w:r>
      <w:proofErr w:type="spellEnd"/>
      <w:r w:rsidRPr="00072D24">
        <w:rPr>
          <w:rFonts w:ascii="Times New Roman" w:hAnsi="Times New Roman" w:cs="Times New Roman"/>
          <w:sz w:val="25"/>
          <w:szCs w:val="25"/>
        </w:rPr>
        <w:t xml:space="preserve"> 537. </w:t>
      </w:r>
    </w:p>
    <w:p w:rsidR="005E69FC" w:rsidRPr="00072D24" w:rsidRDefault="005E69FC" w:rsidP="00FF46E1">
      <w:pPr>
        <w:pStyle w:val="Default"/>
        <w:spacing w:after="18" w:line="276" w:lineRule="auto"/>
        <w:ind w:left="567" w:right="566"/>
        <w:jc w:val="both"/>
        <w:rPr>
          <w:rFonts w:ascii="Times New Roman" w:hAnsi="Times New Roman" w:cs="Times New Roman"/>
          <w:sz w:val="25"/>
          <w:szCs w:val="25"/>
        </w:rPr>
      </w:pPr>
    </w:p>
    <w:p w:rsidR="005E69FC" w:rsidRPr="00072D24" w:rsidRDefault="005E69FC" w:rsidP="00FF46E1">
      <w:pPr>
        <w:pStyle w:val="Default"/>
        <w:spacing w:after="18" w:line="276" w:lineRule="auto"/>
        <w:ind w:left="567" w:right="566"/>
        <w:jc w:val="both"/>
        <w:rPr>
          <w:rFonts w:ascii="Times New Roman" w:hAnsi="Times New Roman" w:cs="Times New Roman"/>
          <w:sz w:val="25"/>
          <w:szCs w:val="25"/>
        </w:rPr>
      </w:pPr>
      <w:r w:rsidRPr="00072D24">
        <w:rPr>
          <w:rFonts w:ascii="Times New Roman" w:hAnsi="Times New Roman" w:cs="Times New Roman"/>
          <w:sz w:val="25"/>
          <w:szCs w:val="25"/>
        </w:rPr>
        <w:t xml:space="preserve">4. Ordenar a la empresa </w:t>
      </w:r>
      <w:r w:rsidRPr="00072D24">
        <w:rPr>
          <w:rFonts w:ascii="Times New Roman" w:hAnsi="Times New Roman" w:cs="Times New Roman"/>
          <w:b/>
          <w:bCs/>
          <w:sz w:val="25"/>
          <w:szCs w:val="25"/>
        </w:rPr>
        <w:t>M</w:t>
      </w:r>
      <w:r w:rsidR="00766495">
        <w:rPr>
          <w:rFonts w:ascii="Times New Roman" w:hAnsi="Times New Roman" w:cs="Times New Roman"/>
          <w:b/>
          <w:bCs/>
          <w:sz w:val="25"/>
          <w:szCs w:val="25"/>
        </w:rPr>
        <w:t>.</w:t>
      </w:r>
      <w:r w:rsidRPr="00072D24">
        <w:rPr>
          <w:rFonts w:ascii="Times New Roman" w:hAnsi="Times New Roman" w:cs="Times New Roman"/>
          <w:b/>
          <w:bCs/>
          <w:sz w:val="25"/>
          <w:szCs w:val="25"/>
        </w:rPr>
        <w:t>S.A.</w:t>
      </w:r>
      <w:r w:rsidRPr="00072D24">
        <w:rPr>
          <w:rFonts w:ascii="Times New Roman" w:hAnsi="Times New Roman" w:cs="Times New Roman"/>
          <w:sz w:val="25"/>
          <w:szCs w:val="25"/>
        </w:rPr>
        <w:t xml:space="preserve">, que debe entrar a brindar el servicio el día 22 de setiembre del 2018, a la hora que determine la Dirección Técnica del Consejo, y en estricta coordinación con dicha Dirección. </w:t>
      </w:r>
    </w:p>
    <w:p w:rsidR="005E69FC" w:rsidRPr="00072D24" w:rsidRDefault="005E69FC" w:rsidP="00FF46E1">
      <w:pPr>
        <w:pStyle w:val="Default"/>
        <w:spacing w:after="18" w:line="276" w:lineRule="auto"/>
        <w:ind w:left="567" w:right="566"/>
        <w:jc w:val="both"/>
        <w:rPr>
          <w:rFonts w:ascii="Times New Roman" w:hAnsi="Times New Roman" w:cs="Times New Roman"/>
          <w:sz w:val="25"/>
          <w:szCs w:val="25"/>
        </w:rPr>
      </w:pPr>
    </w:p>
    <w:p w:rsidR="005E69FC" w:rsidRPr="00072D24" w:rsidRDefault="005E69FC" w:rsidP="00FF46E1">
      <w:pPr>
        <w:pStyle w:val="Default"/>
        <w:spacing w:after="18" w:line="276" w:lineRule="auto"/>
        <w:ind w:left="567" w:right="566"/>
        <w:jc w:val="both"/>
        <w:rPr>
          <w:rFonts w:ascii="Times New Roman" w:hAnsi="Times New Roman" w:cs="Times New Roman"/>
          <w:sz w:val="25"/>
          <w:szCs w:val="25"/>
        </w:rPr>
      </w:pPr>
      <w:r w:rsidRPr="00072D24">
        <w:rPr>
          <w:rFonts w:ascii="Times New Roman" w:hAnsi="Times New Roman" w:cs="Times New Roman"/>
          <w:sz w:val="25"/>
          <w:szCs w:val="25"/>
        </w:rPr>
        <w:t xml:space="preserve">5. Ordenar a la empresa </w:t>
      </w:r>
      <w:r w:rsidRPr="00072D24">
        <w:rPr>
          <w:rFonts w:ascii="Times New Roman" w:hAnsi="Times New Roman" w:cs="Times New Roman"/>
          <w:b/>
          <w:bCs/>
          <w:sz w:val="25"/>
          <w:szCs w:val="25"/>
        </w:rPr>
        <w:t>M</w:t>
      </w:r>
      <w:r w:rsidR="00766495">
        <w:rPr>
          <w:rFonts w:ascii="Times New Roman" w:hAnsi="Times New Roman" w:cs="Times New Roman"/>
          <w:b/>
          <w:bCs/>
          <w:sz w:val="25"/>
          <w:szCs w:val="25"/>
        </w:rPr>
        <w:t>.</w:t>
      </w:r>
      <w:r w:rsidRPr="00072D24">
        <w:rPr>
          <w:rFonts w:ascii="Times New Roman" w:hAnsi="Times New Roman" w:cs="Times New Roman"/>
          <w:b/>
          <w:bCs/>
          <w:sz w:val="25"/>
          <w:szCs w:val="25"/>
        </w:rPr>
        <w:t>S.A.</w:t>
      </w:r>
      <w:r w:rsidRPr="00072D24">
        <w:rPr>
          <w:rFonts w:ascii="Times New Roman" w:hAnsi="Times New Roman" w:cs="Times New Roman"/>
          <w:sz w:val="25"/>
          <w:szCs w:val="25"/>
        </w:rPr>
        <w:t xml:space="preserve">, que la parada terminal de dicha ruta sigue siendo en el mercado municipal de Santa Cruz. </w:t>
      </w:r>
    </w:p>
    <w:p w:rsidR="005E69FC" w:rsidRPr="00072D24" w:rsidRDefault="005E69FC" w:rsidP="00FF46E1">
      <w:pPr>
        <w:pStyle w:val="Default"/>
        <w:spacing w:after="18" w:line="276" w:lineRule="auto"/>
        <w:ind w:left="567" w:right="566"/>
        <w:jc w:val="both"/>
        <w:rPr>
          <w:rFonts w:ascii="Times New Roman" w:hAnsi="Times New Roman" w:cs="Times New Roman"/>
          <w:sz w:val="25"/>
          <w:szCs w:val="25"/>
        </w:rPr>
      </w:pPr>
    </w:p>
    <w:p w:rsidR="005E69FC" w:rsidRPr="00072D24" w:rsidRDefault="005E69FC" w:rsidP="00FF46E1">
      <w:pPr>
        <w:pStyle w:val="Default"/>
        <w:spacing w:after="18" w:line="276" w:lineRule="auto"/>
        <w:ind w:left="567" w:right="566"/>
        <w:jc w:val="both"/>
        <w:rPr>
          <w:rFonts w:ascii="Times New Roman" w:hAnsi="Times New Roman" w:cs="Times New Roman"/>
          <w:sz w:val="25"/>
          <w:szCs w:val="25"/>
        </w:rPr>
      </w:pPr>
      <w:r w:rsidRPr="00072D24">
        <w:rPr>
          <w:rFonts w:ascii="Times New Roman" w:hAnsi="Times New Roman" w:cs="Times New Roman"/>
          <w:sz w:val="25"/>
          <w:szCs w:val="25"/>
        </w:rPr>
        <w:t>6. Notifíquese: M</w:t>
      </w:r>
      <w:r w:rsidR="00766495">
        <w:rPr>
          <w:rFonts w:ascii="Times New Roman" w:hAnsi="Times New Roman" w:cs="Times New Roman"/>
          <w:sz w:val="25"/>
          <w:szCs w:val="25"/>
        </w:rPr>
        <w:t>.</w:t>
      </w:r>
      <w:r w:rsidRPr="00072D24">
        <w:rPr>
          <w:rFonts w:ascii="Times New Roman" w:hAnsi="Times New Roman" w:cs="Times New Roman"/>
          <w:sz w:val="25"/>
          <w:szCs w:val="25"/>
        </w:rPr>
        <w:t xml:space="preserve">S.A., al correo </w:t>
      </w:r>
      <w:r w:rsidR="00766495">
        <w:rPr>
          <w:rFonts w:ascii="Times New Roman" w:hAnsi="Times New Roman" w:cs="Times New Roman"/>
          <w:sz w:val="25"/>
          <w:szCs w:val="25"/>
        </w:rPr>
        <w:t>xxxxxxxx</w:t>
      </w:r>
      <w:r w:rsidRPr="00072D24">
        <w:rPr>
          <w:rFonts w:ascii="Times New Roman" w:hAnsi="Times New Roman" w:cs="Times New Roman"/>
          <w:sz w:val="25"/>
          <w:szCs w:val="25"/>
        </w:rPr>
        <w:t xml:space="preserve">@hotmail.com </w:t>
      </w:r>
      <w:r w:rsidRPr="00072D24">
        <w:rPr>
          <w:rFonts w:ascii="Times New Roman" w:hAnsi="Times New Roman" w:cs="Times New Roman"/>
          <w:b/>
          <w:bCs/>
          <w:sz w:val="25"/>
          <w:szCs w:val="25"/>
        </w:rPr>
        <w:t xml:space="preserve">(ADJUNTAR COPIA DEL OFICIO DIC 2018-1025) </w:t>
      </w:r>
      <w:r w:rsidRPr="00072D24">
        <w:rPr>
          <w:rFonts w:ascii="Times New Roman" w:hAnsi="Times New Roman" w:cs="Times New Roman"/>
          <w:sz w:val="25"/>
          <w:szCs w:val="25"/>
        </w:rPr>
        <w:t>/ T</w:t>
      </w:r>
      <w:r w:rsidR="00766495">
        <w:rPr>
          <w:rFonts w:ascii="Times New Roman" w:hAnsi="Times New Roman" w:cs="Times New Roman"/>
          <w:sz w:val="25"/>
          <w:szCs w:val="25"/>
        </w:rPr>
        <w:t>.</w:t>
      </w:r>
      <w:r w:rsidR="0048098D">
        <w:rPr>
          <w:rFonts w:ascii="Times New Roman" w:hAnsi="Times New Roman" w:cs="Times New Roman"/>
          <w:sz w:val="25"/>
          <w:szCs w:val="25"/>
        </w:rPr>
        <w:t>L.P.L.</w:t>
      </w:r>
      <w:r w:rsidRPr="00072D24">
        <w:rPr>
          <w:rFonts w:ascii="Times New Roman" w:hAnsi="Times New Roman" w:cs="Times New Roman"/>
          <w:sz w:val="25"/>
          <w:szCs w:val="25"/>
        </w:rPr>
        <w:t xml:space="preserve">, a los correos </w:t>
      </w:r>
      <w:r w:rsidR="0048098D">
        <w:rPr>
          <w:rFonts w:ascii="Times New Roman" w:hAnsi="Times New Roman" w:cs="Times New Roman"/>
          <w:sz w:val="25"/>
          <w:szCs w:val="25"/>
        </w:rPr>
        <w:t>xxxxxxx</w:t>
      </w:r>
      <w:r w:rsidRPr="00072D24">
        <w:rPr>
          <w:rFonts w:ascii="Times New Roman" w:hAnsi="Times New Roman" w:cs="Times New Roman"/>
          <w:sz w:val="25"/>
          <w:szCs w:val="25"/>
        </w:rPr>
        <w:t xml:space="preserve">@hotmail.com y </w:t>
      </w:r>
      <w:r w:rsidR="0048098D">
        <w:rPr>
          <w:rFonts w:ascii="Times New Roman" w:hAnsi="Times New Roman" w:cs="Times New Roman"/>
          <w:sz w:val="25"/>
          <w:szCs w:val="25"/>
        </w:rPr>
        <w:t>xxxxxx</w:t>
      </w:r>
      <w:r w:rsidRPr="00072D24">
        <w:rPr>
          <w:rFonts w:ascii="Times New Roman" w:hAnsi="Times New Roman" w:cs="Times New Roman"/>
          <w:sz w:val="25"/>
          <w:szCs w:val="25"/>
        </w:rPr>
        <w:t>@</w:t>
      </w:r>
      <w:r w:rsidR="0048098D">
        <w:rPr>
          <w:rFonts w:ascii="Times New Roman" w:hAnsi="Times New Roman" w:cs="Times New Roman"/>
          <w:sz w:val="25"/>
          <w:szCs w:val="25"/>
        </w:rPr>
        <w:t>xxxxxxx</w:t>
      </w:r>
      <w:r w:rsidRPr="00072D24">
        <w:rPr>
          <w:rFonts w:ascii="Times New Roman" w:hAnsi="Times New Roman" w:cs="Times New Roman"/>
          <w:sz w:val="25"/>
          <w:szCs w:val="25"/>
        </w:rPr>
        <w:t xml:space="preserve">.com </w:t>
      </w:r>
      <w:r w:rsidRPr="00072D24">
        <w:rPr>
          <w:rFonts w:ascii="Times New Roman" w:hAnsi="Times New Roman" w:cs="Times New Roman"/>
          <w:b/>
          <w:bCs/>
          <w:sz w:val="25"/>
          <w:szCs w:val="25"/>
        </w:rPr>
        <w:t xml:space="preserve">(ADJUNTAR COPIA DEL OFICIO DIC 2018-1025) / </w:t>
      </w:r>
      <w:r w:rsidRPr="00072D24">
        <w:rPr>
          <w:rFonts w:ascii="Times New Roman" w:hAnsi="Times New Roman" w:cs="Times New Roman"/>
          <w:sz w:val="25"/>
          <w:szCs w:val="25"/>
        </w:rPr>
        <w:t xml:space="preserve">Dirección Ejecutiva a los correos mfallas@ctp.go.cr y sfonseca@ctp.go.cr </w:t>
      </w:r>
      <w:r w:rsidRPr="00072D24">
        <w:rPr>
          <w:rFonts w:ascii="Times New Roman" w:hAnsi="Times New Roman" w:cs="Times New Roman"/>
          <w:b/>
          <w:bCs/>
          <w:sz w:val="25"/>
          <w:szCs w:val="25"/>
        </w:rPr>
        <w:t xml:space="preserve">(ADJUNTAR COPIA DEL OFICIO DIC 2018-1025) </w:t>
      </w:r>
      <w:r w:rsidRPr="00072D24">
        <w:rPr>
          <w:rFonts w:ascii="Times New Roman" w:hAnsi="Times New Roman" w:cs="Times New Roman"/>
          <w:sz w:val="25"/>
          <w:szCs w:val="25"/>
        </w:rPr>
        <w:t xml:space="preserve">/ Dirección Técnica al correo aorozco@ctp.go.cr </w:t>
      </w:r>
      <w:r w:rsidRPr="00072D24">
        <w:rPr>
          <w:rFonts w:ascii="Times New Roman" w:hAnsi="Times New Roman" w:cs="Times New Roman"/>
          <w:b/>
          <w:bCs/>
          <w:sz w:val="25"/>
          <w:szCs w:val="25"/>
        </w:rPr>
        <w:t xml:space="preserve">(ADJUNTAR COPIA DEL OFICIO DIC 2018-1025) </w:t>
      </w:r>
      <w:r w:rsidRPr="00072D24">
        <w:rPr>
          <w:rFonts w:ascii="Times New Roman" w:hAnsi="Times New Roman" w:cs="Times New Roman"/>
          <w:sz w:val="25"/>
          <w:szCs w:val="25"/>
        </w:rPr>
        <w:t xml:space="preserve">/ Dirección de Asuntos Jurídicos al correo scerdas@ctp.go.cr </w:t>
      </w:r>
      <w:r w:rsidRPr="00072D24">
        <w:rPr>
          <w:rFonts w:ascii="Times New Roman" w:hAnsi="Times New Roman" w:cs="Times New Roman"/>
          <w:b/>
          <w:bCs/>
          <w:sz w:val="25"/>
          <w:szCs w:val="25"/>
        </w:rPr>
        <w:t xml:space="preserve">(ADJUNTAR COPIA DEL OFICIO DIC 2018-1025) </w:t>
      </w:r>
      <w:r w:rsidRPr="00072D24">
        <w:rPr>
          <w:rFonts w:ascii="Times New Roman" w:hAnsi="Times New Roman" w:cs="Times New Roman"/>
          <w:sz w:val="25"/>
          <w:szCs w:val="25"/>
        </w:rPr>
        <w:t xml:space="preserve">/ Despacho del Ministro MOPT </w:t>
      </w:r>
      <w:r w:rsidRPr="00072D24">
        <w:rPr>
          <w:rFonts w:ascii="Times New Roman" w:hAnsi="Times New Roman" w:cs="Times New Roman"/>
          <w:b/>
          <w:bCs/>
          <w:sz w:val="25"/>
          <w:szCs w:val="25"/>
        </w:rPr>
        <w:t xml:space="preserve">(ADJUNTAR COPIA DEL OFICIO DIC 2018-1025) </w:t>
      </w:r>
      <w:r w:rsidRPr="00072D24">
        <w:rPr>
          <w:rFonts w:ascii="Times New Roman" w:hAnsi="Times New Roman" w:cs="Times New Roman"/>
          <w:sz w:val="25"/>
          <w:szCs w:val="25"/>
        </w:rPr>
        <w:t xml:space="preserve">/ Departamento de Administración de Concesiones y Permisos y Plataforma de Servicios a los correos prosales@ctp.go.cr sfallas@ctp.go.cr </w:t>
      </w:r>
      <w:proofErr w:type="spellStart"/>
      <w:r w:rsidRPr="00072D24">
        <w:rPr>
          <w:rFonts w:ascii="Times New Roman" w:hAnsi="Times New Roman" w:cs="Times New Roman"/>
          <w:sz w:val="25"/>
          <w:szCs w:val="25"/>
        </w:rPr>
        <w:t>jberrocal@ctp</w:t>
      </w:r>
      <w:proofErr w:type="spellEnd"/>
      <w:r w:rsidRPr="00072D24">
        <w:rPr>
          <w:rFonts w:ascii="Times New Roman" w:hAnsi="Times New Roman" w:cs="Times New Roman"/>
          <w:sz w:val="25"/>
          <w:szCs w:val="25"/>
        </w:rPr>
        <w:t xml:space="preserve">.,go.cr </w:t>
      </w:r>
      <w:r w:rsidRPr="00072D24">
        <w:rPr>
          <w:rFonts w:ascii="Times New Roman" w:hAnsi="Times New Roman" w:cs="Times New Roman"/>
          <w:b/>
          <w:bCs/>
          <w:sz w:val="25"/>
          <w:szCs w:val="25"/>
        </w:rPr>
        <w:t xml:space="preserve">(ADJUNTAR COPIA DEL OFICIO DIC 2018-1025) </w:t>
      </w:r>
      <w:r w:rsidRPr="00072D24">
        <w:rPr>
          <w:rFonts w:ascii="Times New Roman" w:hAnsi="Times New Roman" w:cs="Times New Roman"/>
          <w:sz w:val="25"/>
          <w:szCs w:val="25"/>
        </w:rPr>
        <w:t xml:space="preserve">/ Regional de Liberia CTP al correo dsanchez@ctp.go.cr </w:t>
      </w:r>
      <w:r w:rsidRPr="00072D24">
        <w:rPr>
          <w:rFonts w:ascii="Times New Roman" w:hAnsi="Times New Roman" w:cs="Times New Roman"/>
          <w:b/>
          <w:bCs/>
          <w:sz w:val="25"/>
          <w:szCs w:val="25"/>
        </w:rPr>
        <w:t xml:space="preserve">(ADJUNTAR COPIA DEL OFICIO DIC 2018-1025) </w:t>
      </w:r>
      <w:r w:rsidRPr="00072D24">
        <w:rPr>
          <w:rFonts w:ascii="Times New Roman" w:hAnsi="Times New Roman" w:cs="Times New Roman"/>
          <w:sz w:val="25"/>
          <w:szCs w:val="25"/>
        </w:rPr>
        <w:t xml:space="preserve">/ Dirección General de la Policía de Tránsito a los correos gms@mopt.go.cr y cariasar@mopt.go.cr </w:t>
      </w:r>
      <w:r w:rsidRPr="00072D24">
        <w:rPr>
          <w:rFonts w:ascii="Times New Roman" w:hAnsi="Times New Roman" w:cs="Times New Roman"/>
          <w:b/>
          <w:bCs/>
          <w:sz w:val="25"/>
          <w:szCs w:val="25"/>
        </w:rPr>
        <w:t xml:space="preserve">(ADJUNTAR COPIA DEL OFICIO DIC 2018-1025) </w:t>
      </w:r>
      <w:r w:rsidRPr="00072D24">
        <w:rPr>
          <w:rFonts w:ascii="Times New Roman" w:hAnsi="Times New Roman" w:cs="Times New Roman"/>
          <w:sz w:val="25"/>
          <w:szCs w:val="25"/>
        </w:rPr>
        <w:t xml:space="preserve">/ Departamento de Inspección y Control al correo fquesada@ctp.go.cr </w:t>
      </w:r>
      <w:r w:rsidRPr="00072D24">
        <w:rPr>
          <w:rFonts w:ascii="Times New Roman" w:hAnsi="Times New Roman" w:cs="Times New Roman"/>
          <w:b/>
          <w:bCs/>
          <w:sz w:val="25"/>
          <w:szCs w:val="25"/>
        </w:rPr>
        <w:t xml:space="preserve">(ADJUNTAR COPIA DEL OFICIO DIC 2018-1025) </w:t>
      </w:r>
      <w:r w:rsidRPr="00072D24">
        <w:rPr>
          <w:rFonts w:ascii="Times New Roman" w:hAnsi="Times New Roman" w:cs="Times New Roman"/>
          <w:sz w:val="25"/>
          <w:szCs w:val="25"/>
        </w:rPr>
        <w:t xml:space="preserve">/ Empresa Folklórica Playa Potrero al fax 2680-4533 </w:t>
      </w:r>
      <w:r w:rsidRPr="00072D24">
        <w:rPr>
          <w:rFonts w:ascii="Times New Roman" w:hAnsi="Times New Roman" w:cs="Times New Roman"/>
          <w:b/>
          <w:bCs/>
          <w:sz w:val="25"/>
          <w:szCs w:val="25"/>
        </w:rPr>
        <w:t xml:space="preserve">(ADJUNTAR COPIA DEL OFICIO DIC 2018-1025) / </w:t>
      </w:r>
      <w:r w:rsidRPr="00072D24">
        <w:rPr>
          <w:rFonts w:ascii="Times New Roman" w:hAnsi="Times New Roman" w:cs="Times New Roman"/>
          <w:sz w:val="25"/>
          <w:szCs w:val="25"/>
        </w:rPr>
        <w:t xml:space="preserve">Dirección Ejecutiva a los correos mfallas@ctp.go.cr y sfonseca@ctp.go.cr </w:t>
      </w:r>
      <w:r w:rsidRPr="00072D24">
        <w:rPr>
          <w:rFonts w:ascii="Times New Roman" w:hAnsi="Times New Roman" w:cs="Times New Roman"/>
          <w:b/>
          <w:bCs/>
          <w:sz w:val="25"/>
          <w:szCs w:val="25"/>
        </w:rPr>
        <w:t xml:space="preserve">(ADJUNTAR COPIA DEL OFICIO DIC 2018-1025). </w:t>
      </w:r>
    </w:p>
    <w:p w:rsidR="005E69FC" w:rsidRPr="00072D24" w:rsidRDefault="005E69FC" w:rsidP="00FF46E1">
      <w:pPr>
        <w:pStyle w:val="Default"/>
        <w:spacing w:line="276" w:lineRule="auto"/>
        <w:ind w:left="567" w:right="566"/>
        <w:jc w:val="both"/>
        <w:rPr>
          <w:rFonts w:ascii="Times New Roman" w:hAnsi="Times New Roman" w:cs="Times New Roman"/>
          <w:sz w:val="25"/>
          <w:szCs w:val="25"/>
        </w:rPr>
      </w:pPr>
    </w:p>
    <w:p w:rsidR="005E69FC" w:rsidRPr="00072D24" w:rsidRDefault="005E69FC" w:rsidP="00FF46E1">
      <w:pPr>
        <w:pStyle w:val="Default"/>
        <w:spacing w:line="276" w:lineRule="auto"/>
        <w:ind w:left="567" w:right="566"/>
        <w:jc w:val="both"/>
        <w:rPr>
          <w:rFonts w:ascii="Times New Roman" w:hAnsi="Times New Roman" w:cs="Times New Roman"/>
          <w:b/>
          <w:bCs/>
          <w:sz w:val="25"/>
          <w:szCs w:val="25"/>
        </w:rPr>
      </w:pPr>
      <w:r w:rsidRPr="00072D24">
        <w:rPr>
          <w:rFonts w:ascii="Times New Roman" w:hAnsi="Times New Roman" w:cs="Times New Roman"/>
          <w:sz w:val="25"/>
          <w:szCs w:val="25"/>
        </w:rPr>
        <w:t xml:space="preserve">7. </w:t>
      </w:r>
      <w:r w:rsidRPr="00072D24">
        <w:rPr>
          <w:rFonts w:ascii="Times New Roman" w:hAnsi="Times New Roman" w:cs="Times New Roman"/>
          <w:b/>
          <w:bCs/>
          <w:sz w:val="25"/>
          <w:szCs w:val="25"/>
        </w:rPr>
        <w:t xml:space="preserve">Se declara </w:t>
      </w:r>
      <w:proofErr w:type="gramStart"/>
      <w:r w:rsidRPr="00072D24">
        <w:rPr>
          <w:rFonts w:ascii="Times New Roman" w:hAnsi="Times New Roman" w:cs="Times New Roman"/>
          <w:b/>
          <w:bCs/>
          <w:sz w:val="25"/>
          <w:szCs w:val="25"/>
        </w:rPr>
        <w:t>firme.-</w:t>
      </w:r>
      <w:proofErr w:type="gramEnd"/>
      <w:r w:rsidRPr="00072D24">
        <w:rPr>
          <w:rFonts w:ascii="Times New Roman" w:hAnsi="Times New Roman" w:cs="Times New Roman"/>
          <w:b/>
          <w:bCs/>
          <w:sz w:val="25"/>
          <w:szCs w:val="25"/>
        </w:rPr>
        <w:t xml:space="preserve"> “…</w:t>
      </w:r>
    </w:p>
    <w:p w:rsidR="005E69FC" w:rsidRPr="00072D24" w:rsidRDefault="005E69FC" w:rsidP="00FF46E1">
      <w:pPr>
        <w:pStyle w:val="Default"/>
        <w:spacing w:line="276" w:lineRule="auto"/>
        <w:jc w:val="both"/>
        <w:rPr>
          <w:rFonts w:ascii="Times New Roman" w:hAnsi="Times New Roman" w:cs="Times New Roman"/>
          <w:sz w:val="25"/>
          <w:szCs w:val="25"/>
        </w:rPr>
      </w:pPr>
    </w:p>
    <w:p w:rsidR="005E69FC" w:rsidRPr="00072D24" w:rsidRDefault="005E69FC" w:rsidP="00FF46E1">
      <w:pPr>
        <w:pStyle w:val="Default"/>
        <w:spacing w:line="276" w:lineRule="auto"/>
        <w:jc w:val="both"/>
        <w:rPr>
          <w:rFonts w:ascii="Times New Roman" w:hAnsi="Times New Roman" w:cs="Times New Roman"/>
          <w:sz w:val="25"/>
          <w:szCs w:val="25"/>
        </w:rPr>
      </w:pPr>
    </w:p>
    <w:p w:rsidR="005E69FC" w:rsidRPr="00072D24" w:rsidRDefault="005E69FC" w:rsidP="00FF46E1">
      <w:pPr>
        <w:pStyle w:val="Default"/>
        <w:spacing w:line="276" w:lineRule="auto"/>
        <w:jc w:val="both"/>
        <w:rPr>
          <w:rFonts w:ascii="Times New Roman" w:hAnsi="Times New Roman" w:cs="Times New Roman"/>
          <w:sz w:val="25"/>
          <w:szCs w:val="25"/>
        </w:rPr>
      </w:pPr>
      <w:r w:rsidRPr="00072D24">
        <w:rPr>
          <w:rFonts w:ascii="Times New Roman" w:hAnsi="Times New Roman" w:cs="Times New Roman"/>
          <w:b/>
          <w:sz w:val="25"/>
          <w:szCs w:val="25"/>
        </w:rPr>
        <w:t>SEGUNDO:</w:t>
      </w:r>
      <w:r w:rsidRPr="00072D24">
        <w:rPr>
          <w:rFonts w:ascii="Times New Roman" w:hAnsi="Times New Roman" w:cs="Times New Roman"/>
          <w:sz w:val="25"/>
          <w:szCs w:val="25"/>
        </w:rPr>
        <w:t xml:space="preserve">  </w:t>
      </w:r>
      <w:r w:rsidR="00DF7C4F" w:rsidRPr="00072D24">
        <w:rPr>
          <w:rFonts w:ascii="Times New Roman" w:hAnsi="Times New Roman" w:cs="Times New Roman"/>
          <w:sz w:val="25"/>
          <w:szCs w:val="25"/>
        </w:rPr>
        <w:t xml:space="preserve"> </w:t>
      </w:r>
      <w:r w:rsidRPr="00072D24">
        <w:rPr>
          <w:rFonts w:ascii="Times New Roman" w:hAnsi="Times New Roman" w:cs="Times New Roman"/>
          <w:sz w:val="25"/>
          <w:szCs w:val="25"/>
        </w:rPr>
        <w:t xml:space="preserve">Contra el referido Acto, la firma </w:t>
      </w:r>
      <w:r w:rsidRPr="00072D24">
        <w:rPr>
          <w:rFonts w:ascii="Times New Roman" w:hAnsi="Times New Roman" w:cs="Times New Roman"/>
          <w:b/>
          <w:sz w:val="25"/>
          <w:szCs w:val="25"/>
        </w:rPr>
        <w:t>T</w:t>
      </w:r>
      <w:r w:rsidR="0048098D">
        <w:rPr>
          <w:rFonts w:ascii="Times New Roman" w:hAnsi="Times New Roman" w:cs="Times New Roman"/>
          <w:b/>
          <w:sz w:val="25"/>
          <w:szCs w:val="25"/>
        </w:rPr>
        <w:t>.L.P.L.</w:t>
      </w:r>
      <w:r w:rsidRPr="00072D24">
        <w:rPr>
          <w:rFonts w:ascii="Times New Roman" w:hAnsi="Times New Roman" w:cs="Times New Roman"/>
          <w:sz w:val="25"/>
          <w:szCs w:val="25"/>
        </w:rPr>
        <w:t xml:space="preserve"> presenta las Impugnaciones que nos ocupan, las cuales interpone en consideración </w:t>
      </w:r>
      <w:r w:rsidR="00D0058F">
        <w:rPr>
          <w:rFonts w:ascii="Times New Roman" w:hAnsi="Times New Roman" w:cs="Times New Roman"/>
          <w:sz w:val="25"/>
          <w:szCs w:val="25"/>
        </w:rPr>
        <w:t xml:space="preserve">de </w:t>
      </w:r>
      <w:r w:rsidRPr="00072D24">
        <w:rPr>
          <w:rFonts w:ascii="Times New Roman" w:hAnsi="Times New Roman" w:cs="Times New Roman"/>
          <w:sz w:val="25"/>
          <w:szCs w:val="25"/>
        </w:rPr>
        <w:t xml:space="preserve">que </w:t>
      </w:r>
      <w:r w:rsidR="00D0058F">
        <w:rPr>
          <w:rFonts w:ascii="Times New Roman" w:hAnsi="Times New Roman" w:cs="Times New Roman"/>
          <w:sz w:val="25"/>
          <w:szCs w:val="25"/>
        </w:rPr>
        <w:t>c</w:t>
      </w:r>
      <w:r w:rsidRPr="00072D24">
        <w:rPr>
          <w:rFonts w:ascii="Times New Roman" w:hAnsi="Times New Roman" w:cs="Times New Roman"/>
          <w:sz w:val="25"/>
          <w:szCs w:val="25"/>
        </w:rPr>
        <w:t xml:space="preserve">omo Operadora del Servicio en la Ruta No. 550, debió de darse le Audiencia y Participación en cuanto a la Autorización del Servicio en la Ruta No. 537 y que al Omitirse ello se le Violenta su </w:t>
      </w:r>
      <w:r w:rsidRPr="00072D24">
        <w:rPr>
          <w:rFonts w:ascii="Times New Roman" w:hAnsi="Times New Roman" w:cs="Times New Roman"/>
          <w:sz w:val="25"/>
          <w:szCs w:val="25"/>
        </w:rPr>
        <w:lastRenderedPageBreak/>
        <w:t>Derecho</w:t>
      </w:r>
      <w:r w:rsidR="00DF7C4F" w:rsidRPr="00072D24">
        <w:rPr>
          <w:rFonts w:ascii="Times New Roman" w:hAnsi="Times New Roman" w:cs="Times New Roman"/>
          <w:sz w:val="25"/>
          <w:szCs w:val="25"/>
        </w:rPr>
        <w:t xml:space="preserve"> de Debido Proceso. Amén de que conforme las Reglas de los Numerales 7 y 8 del Reglamento No. 34992-MOPT, detentaba y detenta mejor Derecho para Asumir el Servicio en cuestión.</w:t>
      </w:r>
    </w:p>
    <w:p w:rsidR="00DF7C4F" w:rsidRPr="00072D24" w:rsidRDefault="00DF7C4F" w:rsidP="00FF46E1">
      <w:pPr>
        <w:pStyle w:val="Default"/>
        <w:spacing w:line="276" w:lineRule="auto"/>
        <w:jc w:val="both"/>
        <w:rPr>
          <w:rFonts w:ascii="Times New Roman" w:hAnsi="Times New Roman" w:cs="Times New Roman"/>
          <w:sz w:val="25"/>
          <w:szCs w:val="25"/>
        </w:rPr>
      </w:pPr>
    </w:p>
    <w:p w:rsidR="00DF7C4F" w:rsidRPr="00072D24" w:rsidRDefault="00DF7C4F" w:rsidP="00FF46E1">
      <w:pPr>
        <w:pStyle w:val="Default"/>
        <w:spacing w:line="276" w:lineRule="auto"/>
        <w:jc w:val="both"/>
        <w:rPr>
          <w:rFonts w:ascii="Times New Roman" w:hAnsi="Times New Roman" w:cs="Times New Roman"/>
          <w:sz w:val="25"/>
          <w:szCs w:val="25"/>
        </w:rPr>
      </w:pPr>
      <w:r w:rsidRPr="00072D24">
        <w:rPr>
          <w:rFonts w:ascii="Times New Roman" w:hAnsi="Times New Roman" w:cs="Times New Roman"/>
          <w:b/>
          <w:sz w:val="25"/>
          <w:szCs w:val="25"/>
        </w:rPr>
        <w:t>TERCERO:</w:t>
      </w:r>
      <w:r w:rsidRPr="00072D24">
        <w:rPr>
          <w:rFonts w:ascii="Times New Roman" w:hAnsi="Times New Roman" w:cs="Times New Roman"/>
          <w:sz w:val="25"/>
          <w:szCs w:val="25"/>
        </w:rPr>
        <w:t xml:space="preserve">  En lo conducente y según consta en el Expediente del Caso, se ha dado Audiencia y Participación tanto al </w:t>
      </w:r>
      <w:r w:rsidRPr="00072D24">
        <w:rPr>
          <w:rFonts w:ascii="Times New Roman" w:hAnsi="Times New Roman" w:cs="Times New Roman"/>
          <w:b/>
          <w:sz w:val="25"/>
          <w:szCs w:val="25"/>
        </w:rPr>
        <w:t>Consejo de Transporte Público</w:t>
      </w:r>
      <w:r w:rsidRPr="00072D24">
        <w:rPr>
          <w:rFonts w:ascii="Times New Roman" w:hAnsi="Times New Roman" w:cs="Times New Roman"/>
          <w:sz w:val="25"/>
          <w:szCs w:val="25"/>
        </w:rPr>
        <w:t xml:space="preserve">, como a la firma </w:t>
      </w:r>
      <w:proofErr w:type="spellStart"/>
      <w:r w:rsidRPr="00072D24">
        <w:rPr>
          <w:rFonts w:ascii="Times New Roman" w:hAnsi="Times New Roman" w:cs="Times New Roman"/>
          <w:sz w:val="25"/>
          <w:szCs w:val="25"/>
        </w:rPr>
        <w:t>co-interesada</w:t>
      </w:r>
      <w:proofErr w:type="spellEnd"/>
      <w:r w:rsidRPr="00072D24">
        <w:rPr>
          <w:rFonts w:ascii="Times New Roman" w:hAnsi="Times New Roman" w:cs="Times New Roman"/>
          <w:sz w:val="25"/>
          <w:szCs w:val="25"/>
        </w:rPr>
        <w:t xml:space="preserve">, </w:t>
      </w:r>
      <w:r w:rsidRPr="00072D24">
        <w:rPr>
          <w:rFonts w:ascii="Times New Roman" w:hAnsi="Times New Roman" w:cs="Times New Roman"/>
          <w:b/>
          <w:sz w:val="25"/>
          <w:szCs w:val="25"/>
        </w:rPr>
        <w:t>M</w:t>
      </w:r>
      <w:r w:rsidR="0048098D">
        <w:rPr>
          <w:rFonts w:ascii="Times New Roman" w:hAnsi="Times New Roman" w:cs="Times New Roman"/>
          <w:b/>
          <w:sz w:val="25"/>
          <w:szCs w:val="25"/>
        </w:rPr>
        <w:t>.S.A.</w:t>
      </w:r>
    </w:p>
    <w:p w:rsidR="00DF7C4F" w:rsidRPr="00072D24" w:rsidRDefault="00DF7C4F" w:rsidP="00FF46E1">
      <w:pPr>
        <w:pStyle w:val="Default"/>
        <w:spacing w:line="276" w:lineRule="auto"/>
        <w:jc w:val="both"/>
        <w:rPr>
          <w:rFonts w:ascii="Times New Roman" w:hAnsi="Times New Roman" w:cs="Times New Roman"/>
          <w:sz w:val="25"/>
          <w:szCs w:val="25"/>
        </w:rPr>
      </w:pPr>
    </w:p>
    <w:p w:rsidR="00DF7C4F" w:rsidRPr="00072D24" w:rsidRDefault="00DF7C4F" w:rsidP="00FF46E1">
      <w:pPr>
        <w:pStyle w:val="Default"/>
        <w:spacing w:line="276" w:lineRule="auto"/>
        <w:jc w:val="both"/>
        <w:rPr>
          <w:rFonts w:ascii="Times New Roman" w:hAnsi="Times New Roman" w:cs="Times New Roman"/>
          <w:sz w:val="25"/>
          <w:szCs w:val="25"/>
        </w:rPr>
      </w:pPr>
      <w:r w:rsidRPr="00072D24">
        <w:rPr>
          <w:rFonts w:ascii="Times New Roman" w:hAnsi="Times New Roman" w:cs="Times New Roman"/>
          <w:b/>
          <w:sz w:val="25"/>
          <w:szCs w:val="25"/>
        </w:rPr>
        <w:t>CUARTO:</w:t>
      </w:r>
      <w:r w:rsidRPr="00072D24">
        <w:rPr>
          <w:rFonts w:ascii="Times New Roman" w:hAnsi="Times New Roman" w:cs="Times New Roman"/>
          <w:sz w:val="25"/>
          <w:szCs w:val="25"/>
        </w:rPr>
        <w:t xml:space="preserve">  El Asunto de marras se Conoce y Resuelve en Atención a los Términos y Prescripciones de Ley.</w:t>
      </w:r>
    </w:p>
    <w:p w:rsidR="00DF7C4F" w:rsidRPr="00072D24" w:rsidRDefault="00DF7C4F" w:rsidP="00FF46E1">
      <w:pPr>
        <w:pStyle w:val="Default"/>
        <w:spacing w:line="276" w:lineRule="auto"/>
        <w:jc w:val="both"/>
        <w:rPr>
          <w:rFonts w:ascii="Times New Roman" w:hAnsi="Times New Roman" w:cs="Times New Roman"/>
          <w:b/>
          <w:i/>
          <w:sz w:val="25"/>
          <w:szCs w:val="25"/>
        </w:rPr>
      </w:pPr>
    </w:p>
    <w:p w:rsidR="00DF7C4F" w:rsidRPr="00072D24" w:rsidRDefault="00DF7C4F" w:rsidP="00FF46E1">
      <w:pPr>
        <w:pStyle w:val="Default"/>
        <w:spacing w:line="276" w:lineRule="auto"/>
        <w:jc w:val="both"/>
        <w:rPr>
          <w:rFonts w:ascii="Times New Roman" w:hAnsi="Times New Roman" w:cs="Times New Roman"/>
          <w:b/>
          <w:i/>
          <w:sz w:val="25"/>
          <w:szCs w:val="25"/>
        </w:rPr>
      </w:pPr>
    </w:p>
    <w:p w:rsidR="00DF7C4F" w:rsidRPr="00072D24" w:rsidRDefault="00DF7C4F" w:rsidP="00FF46E1">
      <w:pPr>
        <w:pStyle w:val="Default"/>
        <w:spacing w:line="276" w:lineRule="auto"/>
        <w:jc w:val="both"/>
        <w:rPr>
          <w:rFonts w:ascii="Times New Roman" w:hAnsi="Times New Roman" w:cs="Times New Roman"/>
          <w:b/>
          <w:i/>
          <w:sz w:val="25"/>
          <w:szCs w:val="25"/>
        </w:rPr>
      </w:pPr>
      <w:r w:rsidRPr="00072D24">
        <w:rPr>
          <w:rFonts w:ascii="Times New Roman" w:hAnsi="Times New Roman" w:cs="Times New Roman"/>
          <w:b/>
          <w:i/>
          <w:sz w:val="25"/>
          <w:szCs w:val="25"/>
        </w:rPr>
        <w:t>REDACTA EL JUEZ QUESADA AGUIRRE,</w:t>
      </w:r>
    </w:p>
    <w:p w:rsidR="00DF7C4F" w:rsidRPr="00072D24" w:rsidRDefault="00DF7C4F" w:rsidP="00FF46E1">
      <w:pPr>
        <w:pStyle w:val="Default"/>
        <w:spacing w:line="276" w:lineRule="auto"/>
        <w:jc w:val="both"/>
        <w:rPr>
          <w:rFonts w:ascii="Times New Roman" w:hAnsi="Times New Roman" w:cs="Times New Roman"/>
          <w:b/>
          <w:i/>
          <w:sz w:val="25"/>
          <w:szCs w:val="25"/>
        </w:rPr>
      </w:pPr>
    </w:p>
    <w:p w:rsidR="00DF7C4F" w:rsidRPr="00072D24" w:rsidRDefault="00DF7C4F" w:rsidP="00FF46E1">
      <w:pPr>
        <w:pStyle w:val="Default"/>
        <w:spacing w:line="276" w:lineRule="auto"/>
        <w:jc w:val="center"/>
        <w:rPr>
          <w:rFonts w:ascii="Times New Roman" w:hAnsi="Times New Roman" w:cs="Times New Roman"/>
          <w:b/>
          <w:i/>
          <w:sz w:val="25"/>
          <w:szCs w:val="25"/>
        </w:rPr>
      </w:pPr>
      <w:r w:rsidRPr="00072D24">
        <w:rPr>
          <w:rFonts w:ascii="Times New Roman" w:hAnsi="Times New Roman" w:cs="Times New Roman"/>
          <w:b/>
          <w:i/>
          <w:sz w:val="25"/>
          <w:szCs w:val="25"/>
        </w:rPr>
        <w:t>Considerando Único</w:t>
      </w:r>
    </w:p>
    <w:p w:rsidR="00DF7C4F" w:rsidRPr="00072D24" w:rsidRDefault="00DF7C4F" w:rsidP="00FF46E1">
      <w:pPr>
        <w:pStyle w:val="Default"/>
        <w:spacing w:line="276" w:lineRule="auto"/>
        <w:jc w:val="both"/>
        <w:rPr>
          <w:rFonts w:ascii="Times New Roman" w:hAnsi="Times New Roman" w:cs="Times New Roman"/>
          <w:sz w:val="25"/>
          <w:szCs w:val="25"/>
        </w:rPr>
      </w:pPr>
    </w:p>
    <w:p w:rsidR="00DF7C4F" w:rsidRPr="00072D24" w:rsidRDefault="00DF7C4F" w:rsidP="00FF46E1">
      <w:pPr>
        <w:pStyle w:val="Default"/>
        <w:spacing w:line="276" w:lineRule="auto"/>
        <w:jc w:val="both"/>
        <w:rPr>
          <w:rFonts w:ascii="Times New Roman" w:hAnsi="Times New Roman" w:cs="Times New Roman"/>
          <w:i/>
          <w:sz w:val="25"/>
          <w:szCs w:val="25"/>
        </w:rPr>
      </w:pPr>
      <w:r w:rsidRPr="00072D24">
        <w:rPr>
          <w:rFonts w:ascii="Times New Roman" w:hAnsi="Times New Roman" w:cs="Times New Roman"/>
          <w:sz w:val="25"/>
          <w:szCs w:val="25"/>
        </w:rPr>
        <w:t xml:space="preserve">En la especie se tiene que ante Incumplimientos Acreditados de la Firma </w:t>
      </w:r>
      <w:r w:rsidRPr="00072D24">
        <w:rPr>
          <w:rFonts w:ascii="Times New Roman" w:hAnsi="Times New Roman" w:cs="Times New Roman"/>
          <w:b/>
          <w:sz w:val="25"/>
          <w:szCs w:val="25"/>
        </w:rPr>
        <w:t>T</w:t>
      </w:r>
      <w:r w:rsidR="0048098D">
        <w:rPr>
          <w:rFonts w:ascii="Times New Roman" w:hAnsi="Times New Roman" w:cs="Times New Roman"/>
          <w:b/>
          <w:sz w:val="25"/>
          <w:szCs w:val="25"/>
        </w:rPr>
        <w:t>.L.P.L.</w:t>
      </w:r>
      <w:r w:rsidRPr="00072D24">
        <w:rPr>
          <w:rFonts w:ascii="Times New Roman" w:hAnsi="Times New Roman" w:cs="Times New Roman"/>
          <w:sz w:val="25"/>
          <w:szCs w:val="25"/>
        </w:rPr>
        <w:t xml:space="preserve"> en cuanto a la Prestación del Servicio en la Ruta No. 537, se dispuso la Cancelación del Derecho con que Operaba y, de forma Cautelar, su Sustitución </w:t>
      </w:r>
      <w:proofErr w:type="gramStart"/>
      <w:r w:rsidRPr="00072D24">
        <w:rPr>
          <w:rFonts w:ascii="Times New Roman" w:hAnsi="Times New Roman" w:cs="Times New Roman"/>
          <w:sz w:val="25"/>
          <w:szCs w:val="25"/>
        </w:rPr>
        <w:t>Inmediata</w:t>
      </w:r>
      <w:proofErr w:type="gramEnd"/>
      <w:r w:rsidRPr="00072D24">
        <w:rPr>
          <w:rFonts w:ascii="Times New Roman" w:hAnsi="Times New Roman" w:cs="Times New Roman"/>
          <w:sz w:val="25"/>
          <w:szCs w:val="25"/>
        </w:rPr>
        <w:t xml:space="preserve"> </w:t>
      </w:r>
      <w:r w:rsidR="00D0058F">
        <w:rPr>
          <w:rFonts w:ascii="Times New Roman" w:hAnsi="Times New Roman" w:cs="Times New Roman"/>
          <w:sz w:val="25"/>
          <w:szCs w:val="25"/>
        </w:rPr>
        <w:t>así</w:t>
      </w:r>
      <w:r w:rsidR="00FF46E1" w:rsidRPr="00072D24">
        <w:rPr>
          <w:rFonts w:ascii="Times New Roman" w:hAnsi="Times New Roman" w:cs="Times New Roman"/>
          <w:sz w:val="25"/>
          <w:szCs w:val="25"/>
        </w:rPr>
        <w:t xml:space="preserve"> como </w:t>
      </w:r>
      <w:r w:rsidRPr="00072D24">
        <w:rPr>
          <w:rFonts w:ascii="Times New Roman" w:hAnsi="Times New Roman" w:cs="Times New Roman"/>
          <w:sz w:val="25"/>
          <w:szCs w:val="25"/>
        </w:rPr>
        <w:t xml:space="preserve">de la Prestación del Servicio en cuanto a la Ruta señalada, conforme las disposiciones del Decreto No. 34992-MOPT: </w:t>
      </w:r>
      <w:r w:rsidRPr="00072D24">
        <w:rPr>
          <w:rFonts w:ascii="Times New Roman" w:hAnsi="Times New Roman" w:cs="Times New Roman"/>
          <w:i/>
          <w:sz w:val="25"/>
          <w:szCs w:val="25"/>
        </w:rPr>
        <w:t>Reglamento para el Otorgamiento de Permisos de Operación en el Servicio Regular de Transporte Remunerado de Personas en Vehículos Automotores Colectivos.</w:t>
      </w:r>
    </w:p>
    <w:p w:rsidR="00DF7C4F" w:rsidRPr="00072D24" w:rsidRDefault="00DF7C4F" w:rsidP="00FF46E1">
      <w:pPr>
        <w:pStyle w:val="Default"/>
        <w:spacing w:line="276" w:lineRule="auto"/>
        <w:jc w:val="both"/>
        <w:rPr>
          <w:rFonts w:ascii="Times New Roman" w:hAnsi="Times New Roman" w:cs="Times New Roman"/>
          <w:sz w:val="25"/>
          <w:szCs w:val="25"/>
        </w:rPr>
      </w:pPr>
    </w:p>
    <w:p w:rsidR="00DF7C4F" w:rsidRPr="00072D24" w:rsidRDefault="00DF7C4F" w:rsidP="00FF46E1">
      <w:pPr>
        <w:pStyle w:val="Default"/>
        <w:spacing w:line="276" w:lineRule="auto"/>
        <w:jc w:val="both"/>
        <w:rPr>
          <w:rFonts w:ascii="Times New Roman" w:hAnsi="Times New Roman" w:cs="Times New Roman"/>
          <w:sz w:val="25"/>
          <w:szCs w:val="25"/>
        </w:rPr>
      </w:pPr>
      <w:r w:rsidRPr="00072D24">
        <w:rPr>
          <w:rFonts w:ascii="Times New Roman" w:hAnsi="Times New Roman" w:cs="Times New Roman"/>
          <w:sz w:val="25"/>
          <w:szCs w:val="25"/>
        </w:rPr>
        <w:t>Siendo la Sustitución Cautelar Ordenada en el caso general de referencia, la que ha llevado, en un final, a la incorporación de la Empresa M</w:t>
      </w:r>
      <w:r w:rsidR="0048098D">
        <w:rPr>
          <w:rFonts w:ascii="Times New Roman" w:hAnsi="Times New Roman" w:cs="Times New Roman"/>
          <w:sz w:val="25"/>
          <w:szCs w:val="25"/>
        </w:rPr>
        <w:t>.S.A.</w:t>
      </w:r>
      <w:r w:rsidRPr="00072D24">
        <w:rPr>
          <w:rFonts w:ascii="Times New Roman" w:hAnsi="Times New Roman" w:cs="Times New Roman"/>
          <w:sz w:val="25"/>
          <w:szCs w:val="25"/>
        </w:rPr>
        <w:t xml:space="preserve"> como Operadora del Servicio en cuanto a la Ruta No. 537, según lo determinado mediante el Acuerdo que es objeto de la Impugnación que se atiende por este medio.</w:t>
      </w:r>
    </w:p>
    <w:p w:rsidR="00E221FE" w:rsidRPr="00072D24" w:rsidRDefault="00E221FE" w:rsidP="00FF46E1">
      <w:pPr>
        <w:pStyle w:val="Default"/>
        <w:spacing w:line="276" w:lineRule="auto"/>
        <w:jc w:val="both"/>
        <w:rPr>
          <w:rFonts w:ascii="Times New Roman" w:hAnsi="Times New Roman" w:cs="Times New Roman"/>
          <w:sz w:val="25"/>
          <w:szCs w:val="25"/>
        </w:rPr>
      </w:pPr>
    </w:p>
    <w:p w:rsidR="00E221FE" w:rsidRPr="00072D24" w:rsidRDefault="00E221FE" w:rsidP="00FF46E1">
      <w:pPr>
        <w:pStyle w:val="Default"/>
        <w:spacing w:line="276" w:lineRule="auto"/>
        <w:jc w:val="both"/>
        <w:rPr>
          <w:rFonts w:ascii="Times New Roman" w:hAnsi="Times New Roman" w:cs="Times New Roman"/>
          <w:b/>
          <w:sz w:val="25"/>
          <w:szCs w:val="25"/>
        </w:rPr>
      </w:pPr>
      <w:r w:rsidRPr="00072D24">
        <w:rPr>
          <w:rFonts w:ascii="Times New Roman" w:hAnsi="Times New Roman" w:cs="Times New Roman"/>
          <w:sz w:val="25"/>
          <w:szCs w:val="25"/>
        </w:rPr>
        <w:t xml:space="preserve">Lo paradójico, </w:t>
      </w:r>
      <w:r w:rsidRPr="00072D24">
        <w:rPr>
          <w:rFonts w:ascii="Times New Roman" w:hAnsi="Times New Roman" w:cs="Times New Roman"/>
          <w:i/>
          <w:sz w:val="25"/>
          <w:szCs w:val="25"/>
        </w:rPr>
        <w:t>per se</w:t>
      </w:r>
      <w:r w:rsidRPr="00072D24">
        <w:rPr>
          <w:rFonts w:ascii="Times New Roman" w:hAnsi="Times New Roman" w:cs="Times New Roman"/>
          <w:sz w:val="25"/>
          <w:szCs w:val="25"/>
        </w:rPr>
        <w:t>, es que fueron precisamente la Actividad Impropia y/o los Incumplimientos de la firma T</w:t>
      </w:r>
      <w:r w:rsidR="0048098D">
        <w:rPr>
          <w:rFonts w:ascii="Times New Roman" w:hAnsi="Times New Roman" w:cs="Times New Roman"/>
          <w:sz w:val="25"/>
          <w:szCs w:val="25"/>
        </w:rPr>
        <w:t>.L.P.L.</w:t>
      </w:r>
      <w:r w:rsidRPr="00072D24">
        <w:rPr>
          <w:rFonts w:ascii="Times New Roman" w:hAnsi="Times New Roman" w:cs="Times New Roman"/>
          <w:sz w:val="25"/>
          <w:szCs w:val="25"/>
        </w:rPr>
        <w:t xml:space="preserve"> lo que llevó al Desarrollo del </w:t>
      </w:r>
      <w:r w:rsidR="00FF46E1" w:rsidRPr="00072D24">
        <w:rPr>
          <w:rFonts w:ascii="Times New Roman" w:hAnsi="Times New Roman" w:cs="Times New Roman"/>
          <w:sz w:val="25"/>
          <w:szCs w:val="25"/>
        </w:rPr>
        <w:t>P</w:t>
      </w:r>
      <w:r w:rsidRPr="00072D24">
        <w:rPr>
          <w:rFonts w:ascii="Times New Roman" w:hAnsi="Times New Roman" w:cs="Times New Roman"/>
          <w:sz w:val="25"/>
          <w:szCs w:val="25"/>
        </w:rPr>
        <w:t xml:space="preserve">rocedimiento de Sustitución y la toma del Acto que ella misma cuestiona. </w:t>
      </w:r>
      <w:r w:rsidRPr="00072D24">
        <w:rPr>
          <w:rFonts w:ascii="Times New Roman" w:hAnsi="Times New Roman" w:cs="Times New Roman"/>
          <w:b/>
          <w:sz w:val="25"/>
          <w:szCs w:val="25"/>
        </w:rPr>
        <w:t xml:space="preserve">Alegando supuestos Vicios en cuanto a su NO PARTICIPACIÓN o A SU MEJOR DERECHO </w:t>
      </w:r>
      <w:r w:rsidR="00FF46E1" w:rsidRPr="00072D24">
        <w:rPr>
          <w:rFonts w:ascii="Times New Roman" w:hAnsi="Times New Roman" w:cs="Times New Roman"/>
          <w:b/>
          <w:sz w:val="25"/>
          <w:szCs w:val="25"/>
        </w:rPr>
        <w:t>p</w:t>
      </w:r>
      <w:r w:rsidRPr="00072D24">
        <w:rPr>
          <w:rFonts w:ascii="Times New Roman" w:hAnsi="Times New Roman" w:cs="Times New Roman"/>
          <w:b/>
          <w:sz w:val="25"/>
          <w:szCs w:val="25"/>
        </w:rPr>
        <w:t>ara Asumir “Nuevamente” el Servicio que a ella se le Resta POR HABERLO INCUMPLIDO.</w:t>
      </w:r>
    </w:p>
    <w:p w:rsidR="00E221FE" w:rsidRPr="00072D24" w:rsidRDefault="00E221FE" w:rsidP="00FF46E1">
      <w:pPr>
        <w:pStyle w:val="Default"/>
        <w:spacing w:line="276" w:lineRule="auto"/>
        <w:jc w:val="both"/>
        <w:rPr>
          <w:rFonts w:ascii="Times New Roman" w:hAnsi="Times New Roman" w:cs="Times New Roman"/>
          <w:sz w:val="25"/>
          <w:szCs w:val="25"/>
        </w:rPr>
      </w:pPr>
    </w:p>
    <w:p w:rsidR="00E221FE" w:rsidRPr="00072D24" w:rsidRDefault="00E221FE" w:rsidP="00FF46E1">
      <w:pPr>
        <w:pStyle w:val="Default"/>
        <w:spacing w:line="276" w:lineRule="auto"/>
        <w:jc w:val="both"/>
        <w:rPr>
          <w:rFonts w:ascii="Times New Roman" w:hAnsi="Times New Roman" w:cs="Times New Roman"/>
          <w:sz w:val="25"/>
          <w:szCs w:val="25"/>
        </w:rPr>
      </w:pPr>
      <w:r w:rsidRPr="00072D24">
        <w:rPr>
          <w:rFonts w:ascii="Times New Roman" w:hAnsi="Times New Roman" w:cs="Times New Roman"/>
          <w:sz w:val="25"/>
          <w:szCs w:val="25"/>
        </w:rPr>
        <w:t xml:space="preserve">Lo cierto es que como Empresa </w:t>
      </w:r>
      <w:proofErr w:type="spellStart"/>
      <w:r w:rsidRPr="00072D24">
        <w:rPr>
          <w:rFonts w:ascii="Times New Roman" w:hAnsi="Times New Roman" w:cs="Times New Roman"/>
          <w:sz w:val="25"/>
          <w:szCs w:val="25"/>
        </w:rPr>
        <w:t>Incumpliente</w:t>
      </w:r>
      <w:proofErr w:type="spellEnd"/>
      <w:r w:rsidRPr="00072D24">
        <w:rPr>
          <w:rFonts w:ascii="Times New Roman" w:hAnsi="Times New Roman" w:cs="Times New Roman"/>
          <w:sz w:val="25"/>
          <w:szCs w:val="25"/>
        </w:rPr>
        <w:t xml:space="preserve"> y como Despojada del Servicio en la Ruta No. 537, la firma T</w:t>
      </w:r>
      <w:r w:rsidR="0048098D">
        <w:rPr>
          <w:rFonts w:ascii="Times New Roman" w:hAnsi="Times New Roman" w:cs="Times New Roman"/>
          <w:sz w:val="25"/>
          <w:szCs w:val="25"/>
        </w:rPr>
        <w:t>.L.P.L.</w:t>
      </w:r>
      <w:r w:rsidRPr="00072D24">
        <w:rPr>
          <w:rFonts w:ascii="Times New Roman" w:hAnsi="Times New Roman" w:cs="Times New Roman"/>
          <w:sz w:val="25"/>
          <w:szCs w:val="25"/>
        </w:rPr>
        <w:t xml:space="preserve"> no detenta Derecho alguno a efecto REASUMIR COMO SUSTITUTA DE SÍ MISMA EL SERVICIO QUE SE LE DESPOJA. Entonces, para qué la Medida Sustitutiva tomada. </w:t>
      </w:r>
    </w:p>
    <w:p w:rsidR="00E221FE" w:rsidRPr="00072D24" w:rsidRDefault="00E221FE" w:rsidP="00FF46E1">
      <w:pPr>
        <w:pStyle w:val="Default"/>
        <w:spacing w:line="276" w:lineRule="auto"/>
        <w:jc w:val="both"/>
        <w:rPr>
          <w:rFonts w:ascii="Times New Roman" w:hAnsi="Times New Roman" w:cs="Times New Roman"/>
          <w:sz w:val="25"/>
          <w:szCs w:val="25"/>
        </w:rPr>
      </w:pPr>
    </w:p>
    <w:p w:rsidR="00072D24" w:rsidRPr="00072D24" w:rsidRDefault="00072D24" w:rsidP="00FF46E1">
      <w:pPr>
        <w:pStyle w:val="Default"/>
        <w:spacing w:line="276" w:lineRule="auto"/>
        <w:jc w:val="both"/>
        <w:rPr>
          <w:rFonts w:ascii="Times New Roman" w:hAnsi="Times New Roman" w:cs="Times New Roman"/>
          <w:sz w:val="25"/>
          <w:szCs w:val="25"/>
        </w:rPr>
      </w:pPr>
    </w:p>
    <w:p w:rsidR="00E221FE" w:rsidRPr="00072D24" w:rsidRDefault="00E221FE" w:rsidP="00FF46E1">
      <w:pPr>
        <w:pStyle w:val="Default"/>
        <w:spacing w:line="276" w:lineRule="auto"/>
        <w:jc w:val="both"/>
        <w:rPr>
          <w:rFonts w:ascii="Times New Roman" w:hAnsi="Times New Roman" w:cs="Times New Roman"/>
          <w:sz w:val="25"/>
          <w:szCs w:val="25"/>
        </w:rPr>
      </w:pPr>
      <w:r w:rsidRPr="00072D24">
        <w:rPr>
          <w:rFonts w:ascii="Times New Roman" w:hAnsi="Times New Roman" w:cs="Times New Roman"/>
          <w:sz w:val="25"/>
          <w:szCs w:val="25"/>
        </w:rPr>
        <w:t xml:space="preserve">Y es bajo esa tesitura que se define que la misma </w:t>
      </w:r>
      <w:r w:rsidRPr="00072D24">
        <w:rPr>
          <w:rFonts w:ascii="Times New Roman" w:hAnsi="Times New Roman" w:cs="Times New Roman"/>
          <w:b/>
          <w:sz w:val="25"/>
          <w:szCs w:val="25"/>
        </w:rPr>
        <w:t>ADOLECE DE TODA LEGITIMACIÓN POR FALTA DE DERECHO</w:t>
      </w:r>
      <w:r w:rsidRPr="00072D24">
        <w:rPr>
          <w:rFonts w:ascii="Times New Roman" w:hAnsi="Times New Roman" w:cs="Times New Roman"/>
          <w:sz w:val="25"/>
          <w:szCs w:val="25"/>
        </w:rPr>
        <w:t>, a los efectos del Caso que nos ocupa.</w:t>
      </w:r>
    </w:p>
    <w:p w:rsidR="00E221FE" w:rsidRPr="00072D24" w:rsidRDefault="00E221FE" w:rsidP="00FF46E1">
      <w:pPr>
        <w:pStyle w:val="Sinespaciado"/>
        <w:rPr>
          <w:sz w:val="25"/>
          <w:szCs w:val="25"/>
        </w:rPr>
      </w:pPr>
    </w:p>
    <w:p w:rsidR="003B19A4" w:rsidRPr="00072D24" w:rsidRDefault="003B19A4" w:rsidP="00FF46E1">
      <w:pPr>
        <w:pStyle w:val="Sinespaciado"/>
        <w:spacing w:line="276" w:lineRule="auto"/>
        <w:ind w:right="49"/>
        <w:jc w:val="both"/>
        <w:rPr>
          <w:sz w:val="25"/>
          <w:szCs w:val="25"/>
        </w:rPr>
      </w:pPr>
      <w:r w:rsidRPr="00072D24">
        <w:rPr>
          <w:sz w:val="25"/>
          <w:szCs w:val="25"/>
        </w:rPr>
        <w:t>Sobre la Legitimación para Impugnar, en el pasado este Tribunal bien ha dicho:</w:t>
      </w:r>
    </w:p>
    <w:p w:rsidR="00072D24" w:rsidRPr="00072D24" w:rsidRDefault="00072D24" w:rsidP="00FF46E1">
      <w:pPr>
        <w:pStyle w:val="Sinespaciado"/>
        <w:spacing w:line="276" w:lineRule="auto"/>
        <w:ind w:right="49"/>
        <w:jc w:val="both"/>
        <w:rPr>
          <w:sz w:val="25"/>
          <w:szCs w:val="25"/>
        </w:rPr>
      </w:pPr>
    </w:p>
    <w:p w:rsidR="003B19A4" w:rsidRPr="00072D24" w:rsidRDefault="003B19A4" w:rsidP="00FF46E1">
      <w:pPr>
        <w:ind w:left="567" w:right="616"/>
        <w:jc w:val="both"/>
        <w:rPr>
          <w:sz w:val="25"/>
          <w:szCs w:val="25"/>
        </w:rPr>
      </w:pPr>
      <w:proofErr w:type="gramStart"/>
      <w:r w:rsidRPr="00072D24">
        <w:rPr>
          <w:sz w:val="25"/>
          <w:szCs w:val="25"/>
        </w:rPr>
        <w:t>…”Es</w:t>
      </w:r>
      <w:proofErr w:type="gramEnd"/>
      <w:r w:rsidRPr="00072D24">
        <w:rPr>
          <w:sz w:val="25"/>
          <w:szCs w:val="25"/>
        </w:rPr>
        <w:t xml:space="preserve"> requisito indispensable, para poder accionar en cualquier procedimiento jurídico </w:t>
      </w:r>
      <w:r w:rsidRPr="00072D24">
        <w:rPr>
          <w:b/>
          <w:sz w:val="25"/>
          <w:szCs w:val="25"/>
          <w:u w:val="single"/>
        </w:rPr>
        <w:t>y a esto no escapa la interposición de las acciones recursivas, contar con la debida Legitimación para ello</w:t>
      </w:r>
      <w:r w:rsidRPr="00072D24">
        <w:rPr>
          <w:sz w:val="25"/>
          <w:szCs w:val="25"/>
        </w:rPr>
        <w:t>.</w:t>
      </w:r>
    </w:p>
    <w:p w:rsidR="003B19A4" w:rsidRPr="00072D24" w:rsidRDefault="003B19A4" w:rsidP="00FF46E1">
      <w:pPr>
        <w:ind w:left="567" w:right="616"/>
        <w:jc w:val="both"/>
        <w:rPr>
          <w:sz w:val="25"/>
          <w:szCs w:val="25"/>
        </w:rPr>
      </w:pPr>
    </w:p>
    <w:p w:rsidR="003B19A4" w:rsidRPr="00072D24" w:rsidRDefault="003B19A4" w:rsidP="00FF46E1">
      <w:pPr>
        <w:ind w:left="567" w:right="616"/>
        <w:jc w:val="both"/>
        <w:rPr>
          <w:sz w:val="25"/>
          <w:szCs w:val="25"/>
        </w:rPr>
      </w:pPr>
      <w:r w:rsidRPr="00072D24">
        <w:rPr>
          <w:sz w:val="25"/>
          <w:szCs w:val="25"/>
        </w:rPr>
        <w:t xml:space="preserve">La legitimación para accionar jurídicamente, alude a la aptitud de un sujeto para ser considerado parte en un proceso concreto. </w:t>
      </w:r>
    </w:p>
    <w:p w:rsidR="003B19A4" w:rsidRPr="00072D24" w:rsidRDefault="003B19A4" w:rsidP="00FF46E1">
      <w:pPr>
        <w:ind w:left="567" w:right="616"/>
        <w:jc w:val="both"/>
        <w:rPr>
          <w:sz w:val="25"/>
          <w:szCs w:val="25"/>
        </w:rPr>
      </w:pPr>
    </w:p>
    <w:p w:rsidR="003B19A4" w:rsidRPr="00072D24" w:rsidRDefault="003B19A4" w:rsidP="00FF46E1">
      <w:pPr>
        <w:ind w:left="567" w:right="616"/>
        <w:jc w:val="both"/>
        <w:rPr>
          <w:sz w:val="25"/>
          <w:szCs w:val="25"/>
        </w:rPr>
      </w:pPr>
      <w:r w:rsidRPr="00072D24">
        <w:rPr>
          <w:sz w:val="25"/>
          <w:szCs w:val="25"/>
        </w:rPr>
        <w:t>El artículo 275 de la Ley General de la Administración Pública, en cuanto a la Legitimación indica:</w:t>
      </w:r>
    </w:p>
    <w:p w:rsidR="003B19A4" w:rsidRPr="00072D24" w:rsidRDefault="003B19A4" w:rsidP="00FF46E1">
      <w:pPr>
        <w:pStyle w:val="Sinespaciado"/>
        <w:ind w:left="567" w:right="616"/>
        <w:jc w:val="both"/>
        <w:rPr>
          <w:sz w:val="25"/>
          <w:szCs w:val="25"/>
        </w:rPr>
      </w:pPr>
    </w:p>
    <w:p w:rsidR="003B19A4" w:rsidRPr="00072D24" w:rsidRDefault="003B19A4" w:rsidP="00FF46E1">
      <w:pPr>
        <w:ind w:left="567" w:right="616"/>
        <w:jc w:val="both"/>
        <w:rPr>
          <w:rFonts w:eastAsia="MS Mincho"/>
          <w:i/>
          <w:sz w:val="25"/>
          <w:szCs w:val="25"/>
        </w:rPr>
      </w:pPr>
      <w:r w:rsidRPr="00072D24">
        <w:rPr>
          <w:b/>
          <w:i/>
          <w:sz w:val="25"/>
          <w:szCs w:val="25"/>
        </w:rPr>
        <w:t>“</w:t>
      </w:r>
      <w:r w:rsidRPr="00072D24">
        <w:rPr>
          <w:rFonts w:eastAsia="MS Mincho"/>
          <w:i/>
          <w:sz w:val="25"/>
          <w:szCs w:val="25"/>
        </w:rPr>
        <w:t>Artículo 275.- Podrá ser parte en el procedimiento administrativo, además de la Administración, todo el que tenga interés legítimo o derecho subjetivo que pueda resultar afectado, lesionado o satisfecho de manera total o parcial, por el acto final.  El interés de la parte deberá ser le</w:t>
      </w:r>
      <w:r w:rsidRPr="00072D24">
        <w:rPr>
          <w:rFonts w:eastAsia="MS Mincho"/>
          <w:sz w:val="25"/>
          <w:szCs w:val="25"/>
        </w:rPr>
        <w:t>g</w:t>
      </w:r>
      <w:r w:rsidRPr="00072D24">
        <w:rPr>
          <w:rFonts w:eastAsia="MS Mincho"/>
          <w:i/>
          <w:sz w:val="25"/>
          <w:szCs w:val="25"/>
        </w:rPr>
        <w:t>ítimo y podrá ser moral, científico, religioso, económico o de cualquier otra naturaleza.”</w:t>
      </w:r>
    </w:p>
    <w:p w:rsidR="003B19A4" w:rsidRPr="00072D24" w:rsidRDefault="003B19A4" w:rsidP="00FF46E1">
      <w:pPr>
        <w:pStyle w:val="Sinespaciado"/>
        <w:ind w:left="567" w:right="616"/>
        <w:jc w:val="both"/>
        <w:rPr>
          <w:sz w:val="25"/>
          <w:szCs w:val="25"/>
        </w:rPr>
      </w:pPr>
    </w:p>
    <w:p w:rsidR="003B19A4" w:rsidRPr="00072D24" w:rsidRDefault="003B19A4" w:rsidP="00FF46E1">
      <w:pPr>
        <w:ind w:left="567" w:right="616"/>
        <w:jc w:val="both"/>
        <w:rPr>
          <w:sz w:val="25"/>
          <w:szCs w:val="25"/>
        </w:rPr>
      </w:pPr>
      <w:r w:rsidRPr="00072D24">
        <w:rPr>
          <w:sz w:val="25"/>
          <w:szCs w:val="25"/>
        </w:rPr>
        <w:t xml:space="preserve">Con lo dicho, debe entenderse que el interés legítimo lo tiene </w:t>
      </w:r>
      <w:proofErr w:type="gramStart"/>
      <w:r w:rsidRPr="00072D24">
        <w:rPr>
          <w:sz w:val="25"/>
          <w:szCs w:val="25"/>
        </w:rPr>
        <w:t>quien</w:t>
      </w:r>
      <w:proofErr w:type="gramEnd"/>
      <w:r w:rsidRPr="00072D24">
        <w:rPr>
          <w:sz w:val="25"/>
          <w:szCs w:val="25"/>
        </w:rPr>
        <w:t xml:space="preserve"> al lograr la anulación del acto impugnado mediante el recurso de apelación, pueda ser beneficiado con el dictado de un nuevo acto que le otorgue lo que pretende y no solo que con sus acciones logre anular el acto, pero sin las posibilidades de que a la postre se le pueda otorgar lo que pretende.   Es improcedente el argumento de la recurrente, en el sentido de que tiene interés de que se saque a licitación las rutas otorgadas a </w:t>
      </w:r>
      <w:r w:rsidRPr="00072D24">
        <w:rPr>
          <w:b/>
          <w:sz w:val="25"/>
          <w:szCs w:val="25"/>
        </w:rPr>
        <w:t xml:space="preserve">..., </w:t>
      </w:r>
      <w:r w:rsidRPr="00072D24">
        <w:rPr>
          <w:sz w:val="25"/>
          <w:szCs w:val="25"/>
        </w:rPr>
        <w:t xml:space="preserve">para concursar ella, la </w:t>
      </w:r>
      <w:r w:rsidRPr="00072D24">
        <w:rPr>
          <w:b/>
          <w:sz w:val="25"/>
          <w:szCs w:val="25"/>
        </w:rPr>
        <w:t>EMPRESA …</w:t>
      </w:r>
      <w:r w:rsidRPr="00072D24">
        <w:rPr>
          <w:sz w:val="25"/>
          <w:szCs w:val="25"/>
        </w:rPr>
        <w:t>,</w:t>
      </w:r>
      <w:r w:rsidRPr="00072D24">
        <w:rPr>
          <w:b/>
          <w:sz w:val="25"/>
          <w:szCs w:val="25"/>
        </w:rPr>
        <w:t xml:space="preserve"> en la licitación pública que según ésta debe hacerse, </w:t>
      </w:r>
      <w:r w:rsidRPr="00072D24">
        <w:rPr>
          <w:sz w:val="25"/>
          <w:szCs w:val="25"/>
        </w:rPr>
        <w:t>tal intensión no le otorga legitimación a la recurrente.</w:t>
      </w:r>
    </w:p>
    <w:p w:rsidR="003B19A4" w:rsidRPr="00072D24" w:rsidRDefault="003B19A4" w:rsidP="00FF46E1">
      <w:pPr>
        <w:pStyle w:val="NormalWeb"/>
        <w:spacing w:beforeAutospacing="0" w:afterAutospacing="0"/>
        <w:ind w:left="567" w:right="616"/>
        <w:jc w:val="both"/>
        <w:rPr>
          <w:sz w:val="25"/>
          <w:szCs w:val="25"/>
        </w:rPr>
      </w:pPr>
    </w:p>
    <w:p w:rsidR="003B19A4" w:rsidRPr="00072D24" w:rsidRDefault="003B19A4" w:rsidP="00FF46E1">
      <w:pPr>
        <w:pStyle w:val="NormalWeb"/>
        <w:spacing w:beforeAutospacing="0" w:afterAutospacing="0"/>
        <w:ind w:left="567" w:right="616"/>
        <w:jc w:val="both"/>
        <w:rPr>
          <w:i/>
          <w:iCs/>
          <w:color w:val="000000"/>
          <w:sz w:val="25"/>
          <w:szCs w:val="25"/>
          <w:shd w:val="clear" w:color="auto" w:fill="FFFFFF"/>
        </w:rPr>
      </w:pPr>
      <w:r w:rsidRPr="00072D24">
        <w:rPr>
          <w:sz w:val="25"/>
          <w:szCs w:val="25"/>
        </w:rPr>
        <w:t xml:space="preserve">La Sala Primera de la Corte Suprema de Justicia en su sentencia número 00822 de fecha 04 de julio de 2013   de las 09:20 horas indicó respecto de la Legitimación lo siguiente: </w:t>
      </w:r>
    </w:p>
    <w:p w:rsidR="003B19A4" w:rsidRPr="00072D24" w:rsidRDefault="003B19A4" w:rsidP="00FF46E1">
      <w:pPr>
        <w:pStyle w:val="NormalWeb"/>
        <w:spacing w:before="0" w:beforeAutospacing="0" w:after="0" w:afterAutospacing="0"/>
        <w:ind w:left="567" w:right="616"/>
        <w:jc w:val="both"/>
        <w:rPr>
          <w:i/>
          <w:iCs/>
          <w:sz w:val="25"/>
          <w:szCs w:val="25"/>
        </w:rPr>
      </w:pPr>
    </w:p>
    <w:p w:rsidR="003B19A4" w:rsidRPr="00072D24" w:rsidRDefault="003B19A4" w:rsidP="00FF46E1">
      <w:pPr>
        <w:pStyle w:val="NormalWeb"/>
        <w:spacing w:before="0" w:beforeAutospacing="0" w:after="0" w:afterAutospacing="0"/>
        <w:ind w:left="567" w:right="616"/>
        <w:jc w:val="both"/>
        <w:rPr>
          <w:i/>
          <w:sz w:val="25"/>
          <w:szCs w:val="25"/>
        </w:rPr>
      </w:pPr>
      <w:r w:rsidRPr="00072D24">
        <w:rPr>
          <w:i/>
          <w:iCs/>
          <w:sz w:val="25"/>
          <w:szCs w:val="25"/>
        </w:rPr>
        <w:t>“La </w:t>
      </w:r>
      <w:r w:rsidRPr="00072D24">
        <w:rPr>
          <w:bCs/>
          <w:i/>
          <w:iCs/>
          <w:sz w:val="25"/>
          <w:szCs w:val="25"/>
        </w:rPr>
        <w:t>legitimación</w:t>
      </w:r>
      <w:r w:rsidRPr="00072D24">
        <w:rPr>
          <w:i/>
          <w:iCs/>
          <w:sz w:val="25"/>
          <w:szCs w:val="25"/>
        </w:rPr>
        <w:t> constituye un presupuesto de la pretensión formulada en la demanda y de la oposición hecha por el demandado, para hacer posible la sentencia de fondo que las resuelve; consecuentemente la </w:t>
      </w:r>
      <w:r w:rsidRPr="00072D24">
        <w:rPr>
          <w:bCs/>
          <w:i/>
          <w:iCs/>
          <w:sz w:val="25"/>
          <w:szCs w:val="25"/>
        </w:rPr>
        <w:t>legitimación</w:t>
      </w:r>
      <w:r w:rsidRPr="00072D24">
        <w:rPr>
          <w:i/>
          <w:iCs/>
          <w:sz w:val="25"/>
          <w:szCs w:val="25"/>
        </w:rPr>
        <w:t xml:space="preserve"> en la causa no constituye un presupuesto procesal, en tanto no se refiere al procedimiento o al válido ejercicio de la acción, antes bien se refiere a la </w:t>
      </w:r>
      <w:r w:rsidRPr="00072D24">
        <w:rPr>
          <w:i/>
          <w:iCs/>
          <w:sz w:val="25"/>
          <w:szCs w:val="25"/>
        </w:rPr>
        <w:lastRenderedPageBreak/>
        <w:t>relación sustancial que debe existir entre actor y demandado y al interés sustancial que se discute en el proceso. La </w:t>
      </w:r>
      <w:r w:rsidRPr="00072D24">
        <w:rPr>
          <w:bCs/>
          <w:i/>
          <w:iCs/>
          <w:sz w:val="25"/>
          <w:szCs w:val="25"/>
        </w:rPr>
        <w:t>legitimación</w:t>
      </w:r>
      <w:r w:rsidRPr="00072D24">
        <w:rPr>
          <w:i/>
          <w:iCs/>
          <w:sz w:val="25"/>
          <w:szCs w:val="25"/>
        </w:rPr>
        <w:t>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una </w:t>
      </w:r>
      <w:r w:rsidRPr="00072D24">
        <w:rPr>
          <w:bCs/>
          <w:i/>
          <w:iCs/>
          <w:sz w:val="25"/>
          <w:szCs w:val="25"/>
        </w:rPr>
        <w:t>legitimación</w:t>
      </w:r>
      <w:r w:rsidRPr="00072D24">
        <w:rPr>
          <w:i/>
          <w:iCs/>
          <w:sz w:val="25"/>
          <w:szCs w:val="25"/>
        </w:rPr>
        <w:t> para obtener sentencia de fondo o mérito. De acuerdo al sujeto legitimado o a su posición en la relación procesal se puede distinguir entre </w:t>
      </w:r>
      <w:r w:rsidRPr="00072D24">
        <w:rPr>
          <w:bCs/>
          <w:i/>
          <w:iCs/>
          <w:sz w:val="25"/>
          <w:szCs w:val="25"/>
        </w:rPr>
        <w:t xml:space="preserve">legitimación </w:t>
      </w:r>
      <w:r w:rsidRPr="00072D24">
        <w:rPr>
          <w:i/>
          <w:iCs/>
          <w:sz w:val="25"/>
          <w:szCs w:val="25"/>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072D24">
        <w:rPr>
          <w:bCs/>
          <w:i/>
          <w:iCs/>
          <w:sz w:val="25"/>
          <w:szCs w:val="25"/>
        </w:rPr>
        <w:t>legitimación</w:t>
      </w:r>
      <w:r w:rsidRPr="00072D24">
        <w:rPr>
          <w:i/>
          <w:iCs/>
          <w:sz w:val="25"/>
          <w:szCs w:val="25"/>
        </w:rPr>
        <w:t> en la causa constituye un impedimento sustancial, si el juzgador se percata de la falta de la misma, así debe declararlo de oficio y dictar una sentencia inhibitoria, lo que no es óbice para que sea alegada oportunamente como excepción previa… …La </w:t>
      </w:r>
      <w:r w:rsidRPr="00072D24">
        <w:rPr>
          <w:bCs/>
          <w:i/>
          <w:iCs/>
          <w:sz w:val="25"/>
          <w:szCs w:val="25"/>
        </w:rPr>
        <w:t>legitimación</w:t>
      </w:r>
      <w:r w:rsidRPr="00072D24">
        <w:rPr>
          <w:i/>
          <w:iCs/>
          <w:sz w:val="25"/>
          <w:szCs w:val="25"/>
        </w:rPr>
        <w:t xml:space="preserve"> en la causa demás de determinar </w:t>
      </w:r>
      <w:proofErr w:type="spellStart"/>
      <w:r w:rsidRPr="00072D24">
        <w:rPr>
          <w:i/>
          <w:iCs/>
          <w:sz w:val="25"/>
          <w:szCs w:val="25"/>
        </w:rPr>
        <w:t>quienes</w:t>
      </w:r>
      <w:proofErr w:type="spellEnd"/>
      <w:r w:rsidRPr="00072D24">
        <w:rPr>
          <w:i/>
          <w:iCs/>
          <w:sz w:val="25"/>
          <w:szCs w:val="25"/>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072D24">
        <w:rPr>
          <w:bCs/>
          <w:i/>
          <w:iCs/>
          <w:sz w:val="25"/>
          <w:szCs w:val="25"/>
        </w:rPr>
        <w:t>legitimación</w:t>
      </w:r>
      <w:r w:rsidRPr="00072D24">
        <w:rPr>
          <w:i/>
          <w:iCs/>
          <w:sz w:val="25"/>
          <w:szCs w:val="25"/>
        </w:rPr>
        <w:t> como un presupuesto de fondo necesario para la procedencia de la pretensión material, es decir, será parte legítima quien alega tener una determinada relación jurídica con la petitoria debatida. Ahora bien, según se ha visto, el vínculo entre la </w:t>
      </w:r>
      <w:r w:rsidRPr="00072D24">
        <w:rPr>
          <w:bCs/>
          <w:i/>
          <w:iCs/>
          <w:sz w:val="25"/>
          <w:szCs w:val="25"/>
        </w:rPr>
        <w:t>legitimación</w:t>
      </w:r>
      <w:r w:rsidRPr="00072D24">
        <w:rPr>
          <w:i/>
          <w:iCs/>
          <w:sz w:val="25"/>
          <w:szCs w:val="25"/>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072D24">
        <w:rPr>
          <w:i/>
          <w:sz w:val="25"/>
          <w:szCs w:val="25"/>
        </w:rPr>
        <w:t>”.</w:t>
      </w:r>
      <w:r w:rsidRPr="00072D24">
        <w:rPr>
          <w:i/>
          <w:iCs/>
          <w:sz w:val="25"/>
          <w:szCs w:val="25"/>
        </w:rPr>
        <w:t> No. 604 de las 10 horas del 17 de agosto de 2007. En consecuencia, la </w:t>
      </w:r>
      <w:r w:rsidRPr="00072D24">
        <w:rPr>
          <w:bCs/>
          <w:i/>
          <w:iCs/>
          <w:sz w:val="25"/>
          <w:szCs w:val="25"/>
        </w:rPr>
        <w:t>legitimación</w:t>
      </w:r>
      <w:r w:rsidRPr="00072D24">
        <w:rPr>
          <w:i/>
          <w:iCs/>
          <w:sz w:val="25"/>
          <w:szCs w:val="25"/>
        </w:rPr>
        <w:t> es la aptitud para ser parte en un proceso concreto, puede ser activa o pasiva, lo cual dependerá de las condiciones que para tal efecto establezca la ley en cuanto la pretensión procesal. Así, la </w:t>
      </w:r>
      <w:r w:rsidRPr="00072D24">
        <w:rPr>
          <w:bCs/>
          <w:i/>
          <w:iCs/>
          <w:sz w:val="25"/>
          <w:szCs w:val="25"/>
        </w:rPr>
        <w:t>legitimación</w:t>
      </w:r>
      <w:r w:rsidRPr="00072D24">
        <w:rPr>
          <w:i/>
          <w:iCs/>
          <w:sz w:val="25"/>
          <w:szCs w:val="25"/>
        </w:rPr>
        <w:t xml:space="preserve"> ad </w:t>
      </w:r>
      <w:proofErr w:type="spellStart"/>
      <w:r w:rsidRPr="00072D24">
        <w:rPr>
          <w:i/>
          <w:iCs/>
          <w:sz w:val="25"/>
          <w:szCs w:val="25"/>
        </w:rPr>
        <w:t>causam</w:t>
      </w:r>
      <w:proofErr w:type="spellEnd"/>
      <w:r w:rsidRPr="00072D24">
        <w:rPr>
          <w:i/>
          <w:iCs/>
          <w:sz w:val="25"/>
          <w:szCs w:val="25"/>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072D24">
        <w:rPr>
          <w:i/>
          <w:sz w:val="25"/>
          <w:szCs w:val="25"/>
        </w:rPr>
        <w:t>. Fallo no. 778 de las 14 horas 50 minutos del 28 de julio de 2009. Así, para que la parte cuente con </w:t>
      </w:r>
      <w:r w:rsidRPr="00072D24">
        <w:rPr>
          <w:bCs/>
          <w:i/>
          <w:sz w:val="25"/>
          <w:szCs w:val="25"/>
        </w:rPr>
        <w:t>legitimación</w:t>
      </w:r>
      <w:r w:rsidRPr="00072D24">
        <w:rPr>
          <w:i/>
          <w:sz w:val="25"/>
          <w:szCs w:val="25"/>
        </w:rPr>
        <w:t xml:space="preserve"> debe tener una determinada relación jurídica con la petitoria discutida, dicho lazo es el que se produce entre actor y demandado en virtud de lo que se debate en el proceso. Consecuentemente, la falta de </w:t>
      </w:r>
      <w:r w:rsidRPr="00072D24">
        <w:rPr>
          <w:bCs/>
          <w:i/>
          <w:sz w:val="25"/>
          <w:szCs w:val="25"/>
        </w:rPr>
        <w:lastRenderedPageBreak/>
        <w:t>legitimación</w:t>
      </w:r>
      <w:r w:rsidRPr="00072D24">
        <w:rPr>
          <w:i/>
          <w:sz w:val="25"/>
          <w:szCs w:val="25"/>
        </w:rPr>
        <w:t> en la causa constituye un impedimento sustancial para una sentencia estimatoria, ya que es la que determina quiénes deben actuar en el proceso.”</w:t>
      </w:r>
    </w:p>
    <w:p w:rsidR="003B19A4" w:rsidRPr="00072D24" w:rsidRDefault="003B19A4" w:rsidP="00FF46E1">
      <w:pPr>
        <w:pStyle w:val="NormalWeb"/>
        <w:spacing w:before="0" w:beforeAutospacing="0" w:after="0" w:afterAutospacing="0"/>
        <w:ind w:left="567" w:right="616"/>
        <w:jc w:val="both"/>
        <w:rPr>
          <w:sz w:val="25"/>
          <w:szCs w:val="25"/>
        </w:rPr>
      </w:pPr>
    </w:p>
    <w:p w:rsidR="003B19A4" w:rsidRPr="00072D24" w:rsidRDefault="003B19A4" w:rsidP="00FF46E1">
      <w:pPr>
        <w:pStyle w:val="NormalWeb"/>
        <w:spacing w:before="0" w:beforeAutospacing="0" w:after="0" w:afterAutospacing="0"/>
        <w:ind w:left="567" w:right="616"/>
        <w:jc w:val="both"/>
        <w:rPr>
          <w:sz w:val="25"/>
          <w:szCs w:val="25"/>
        </w:rPr>
      </w:pPr>
      <w:r w:rsidRPr="00072D24">
        <w:rPr>
          <w:sz w:val="25"/>
          <w:szCs w:val="25"/>
        </w:rPr>
        <w:t xml:space="preserve">Señala el Doctor Jiménez Meza lo siguiente: “... </w:t>
      </w:r>
      <w:r w:rsidRPr="00072D24">
        <w:rPr>
          <w:i/>
          <w:iCs/>
          <w:sz w:val="25"/>
          <w:szCs w:val="25"/>
        </w:rPr>
        <w:t>un sujeto queda legitimado en un procedimiento o en un determinado proceso por virtud de la afectación previa sufrida en sus intereses o derechos cualificados</w:t>
      </w:r>
      <w:r w:rsidRPr="00072D24">
        <w:rPr>
          <w:sz w:val="25"/>
          <w:szCs w:val="25"/>
        </w:rPr>
        <w:t xml:space="preserve">” (Jiménez Meza, Manrique. </w:t>
      </w:r>
      <w:r w:rsidRPr="00072D24">
        <w:rPr>
          <w:b/>
          <w:sz w:val="25"/>
          <w:szCs w:val="25"/>
          <w:u w:val="single"/>
        </w:rPr>
        <w:t>El nuevo proceso contencioso administrativo</w:t>
      </w:r>
      <w:r w:rsidRPr="00072D24">
        <w:rPr>
          <w:sz w:val="25"/>
          <w:szCs w:val="25"/>
        </w:rPr>
        <w:t>. Obra Colectiva. Poder Judicial. Escuela Judicial. San José. Costa Rica. p. 79.)</w:t>
      </w:r>
    </w:p>
    <w:p w:rsidR="003B19A4" w:rsidRPr="00072D24" w:rsidRDefault="003B19A4" w:rsidP="00FF46E1">
      <w:pPr>
        <w:pStyle w:val="NormalWeb"/>
        <w:spacing w:before="0" w:beforeAutospacing="0" w:after="0" w:afterAutospacing="0"/>
        <w:ind w:left="567" w:right="616"/>
        <w:jc w:val="both"/>
        <w:rPr>
          <w:sz w:val="25"/>
          <w:szCs w:val="25"/>
        </w:rPr>
      </w:pPr>
    </w:p>
    <w:p w:rsidR="003B19A4" w:rsidRPr="00072D24" w:rsidRDefault="003B19A4" w:rsidP="00FF46E1">
      <w:pPr>
        <w:pStyle w:val="NormalWeb"/>
        <w:spacing w:before="0" w:beforeAutospacing="0" w:after="0" w:afterAutospacing="0"/>
        <w:ind w:left="567" w:right="616"/>
        <w:jc w:val="both"/>
        <w:rPr>
          <w:b/>
          <w:sz w:val="25"/>
          <w:szCs w:val="25"/>
        </w:rPr>
      </w:pPr>
      <w:r w:rsidRPr="00072D24">
        <w:rPr>
          <w:sz w:val="25"/>
          <w:szCs w:val="25"/>
        </w:rPr>
        <w:t xml:space="preserve">Así las cosas debe rechazarse el Recurso de Apelación y la Nulidad presentadas por </w:t>
      </w:r>
      <w:r w:rsidRPr="00072D24">
        <w:rPr>
          <w:b/>
          <w:smallCaps/>
          <w:sz w:val="25"/>
          <w:szCs w:val="25"/>
        </w:rPr>
        <w:t>LA EMPRESA … LIMITADA,</w:t>
      </w:r>
      <w:r w:rsidRPr="00072D24">
        <w:rPr>
          <w:b/>
          <w:sz w:val="25"/>
          <w:szCs w:val="25"/>
        </w:rPr>
        <w:t xml:space="preserve"> </w:t>
      </w:r>
      <w:r w:rsidRPr="00072D24">
        <w:rPr>
          <w:sz w:val="25"/>
          <w:szCs w:val="25"/>
        </w:rPr>
        <w:t>ya que no cuenta con legitimación para impugnar el actor recurrido</w:t>
      </w:r>
      <w:proofErr w:type="gramStart"/>
      <w:r w:rsidRPr="00072D24">
        <w:rPr>
          <w:sz w:val="25"/>
          <w:szCs w:val="25"/>
        </w:rPr>
        <w:t>.”…</w:t>
      </w:r>
      <w:proofErr w:type="gramEnd"/>
      <w:r w:rsidRPr="00072D24">
        <w:rPr>
          <w:sz w:val="25"/>
          <w:szCs w:val="25"/>
        </w:rPr>
        <w:t xml:space="preserve">  </w:t>
      </w:r>
      <w:r w:rsidRPr="00072D24">
        <w:rPr>
          <w:b/>
          <w:sz w:val="25"/>
          <w:szCs w:val="25"/>
        </w:rPr>
        <w:t xml:space="preserve">(Resolución No. TAT-2541-2015 de las 09:30 horas del 30 de </w:t>
      </w:r>
      <w:proofErr w:type="gramStart"/>
      <w:r w:rsidRPr="00072D24">
        <w:rPr>
          <w:b/>
          <w:sz w:val="25"/>
          <w:szCs w:val="25"/>
        </w:rPr>
        <w:t>Abril</w:t>
      </w:r>
      <w:proofErr w:type="gramEnd"/>
      <w:r w:rsidRPr="00072D24">
        <w:rPr>
          <w:b/>
          <w:sz w:val="25"/>
          <w:szCs w:val="25"/>
        </w:rPr>
        <w:t xml:space="preserve"> del 2015, Expediente No. TAT-182-15</w:t>
      </w:r>
      <w:proofErr w:type="gramStart"/>
      <w:r w:rsidRPr="00072D24">
        <w:rPr>
          <w:b/>
          <w:sz w:val="25"/>
          <w:szCs w:val="25"/>
        </w:rPr>
        <w:t>)  (</w:t>
      </w:r>
      <w:proofErr w:type="gramEnd"/>
      <w:r w:rsidRPr="00072D24">
        <w:rPr>
          <w:b/>
          <w:sz w:val="25"/>
          <w:szCs w:val="25"/>
        </w:rPr>
        <w:t>el resaltado es nuestro)</w:t>
      </w:r>
    </w:p>
    <w:p w:rsidR="00E221FE" w:rsidRPr="00072D24" w:rsidRDefault="00E221FE" w:rsidP="00FF46E1">
      <w:pPr>
        <w:pStyle w:val="Sinespaciado"/>
        <w:rPr>
          <w:sz w:val="25"/>
          <w:szCs w:val="25"/>
        </w:rPr>
      </w:pPr>
    </w:p>
    <w:p w:rsidR="00FF46E1" w:rsidRPr="00072D24" w:rsidRDefault="00FF46E1" w:rsidP="00FF46E1">
      <w:pPr>
        <w:pStyle w:val="Sinespaciado"/>
        <w:rPr>
          <w:sz w:val="25"/>
          <w:szCs w:val="25"/>
        </w:rPr>
      </w:pPr>
    </w:p>
    <w:p w:rsidR="00072D24" w:rsidRPr="00072D24" w:rsidRDefault="00072D24" w:rsidP="00FF46E1">
      <w:pPr>
        <w:pStyle w:val="Sinespaciado"/>
        <w:rPr>
          <w:sz w:val="25"/>
          <w:szCs w:val="25"/>
        </w:rPr>
      </w:pPr>
    </w:p>
    <w:p w:rsidR="00E221FE" w:rsidRPr="00072D24" w:rsidRDefault="00E221FE" w:rsidP="00FF46E1">
      <w:pPr>
        <w:pStyle w:val="Default"/>
        <w:spacing w:line="276" w:lineRule="auto"/>
        <w:jc w:val="both"/>
        <w:rPr>
          <w:rFonts w:ascii="Times New Roman" w:hAnsi="Times New Roman" w:cs="Times New Roman"/>
          <w:sz w:val="25"/>
          <w:szCs w:val="25"/>
        </w:rPr>
      </w:pPr>
      <w:r w:rsidRPr="00072D24">
        <w:rPr>
          <w:rFonts w:ascii="Times New Roman" w:hAnsi="Times New Roman" w:cs="Times New Roman"/>
          <w:sz w:val="25"/>
          <w:szCs w:val="25"/>
        </w:rPr>
        <w:t xml:space="preserve">Unido a lo anterior, es claro que la Firma Recurrente </w:t>
      </w:r>
      <w:r w:rsidRPr="00072D24">
        <w:rPr>
          <w:rFonts w:ascii="Times New Roman" w:hAnsi="Times New Roman" w:cs="Times New Roman"/>
          <w:b/>
          <w:sz w:val="25"/>
          <w:szCs w:val="25"/>
        </w:rPr>
        <w:t>NO DEBÍA SER INVITADA A UN PROCEDIMIENTO</w:t>
      </w:r>
      <w:r w:rsidR="00FF46E1" w:rsidRPr="00072D24">
        <w:rPr>
          <w:rFonts w:ascii="Times New Roman" w:hAnsi="Times New Roman" w:cs="Times New Roman"/>
          <w:b/>
          <w:sz w:val="25"/>
          <w:szCs w:val="25"/>
        </w:rPr>
        <w:t xml:space="preserve"> </w:t>
      </w:r>
      <w:r w:rsidRPr="00072D24">
        <w:rPr>
          <w:rFonts w:ascii="Times New Roman" w:hAnsi="Times New Roman" w:cs="Times New Roman"/>
          <w:b/>
          <w:sz w:val="25"/>
          <w:szCs w:val="25"/>
        </w:rPr>
        <w:t>DE SELECCIÓN DE UNA OPERADORA DE LA RUTA No. 537, EL CUAL TENDÍA A SU SUSTITUCIÓN DEL SERVICIO EN DICHA RUTA, POR ASPECTOS SUYOS - PROPIOS</w:t>
      </w:r>
      <w:r w:rsidRPr="00072D24">
        <w:rPr>
          <w:rFonts w:ascii="Times New Roman" w:hAnsi="Times New Roman" w:cs="Times New Roman"/>
          <w:sz w:val="25"/>
          <w:szCs w:val="25"/>
        </w:rPr>
        <w:t xml:space="preserve">. Y pese a ello presentó una “Oferta” del Servicio, la cual sí fue Considerada y Declinada. Tal como correspondía y debido a que era ella la Operadora </w:t>
      </w:r>
      <w:proofErr w:type="spellStart"/>
      <w:r w:rsidRPr="00072D24">
        <w:rPr>
          <w:rFonts w:ascii="Times New Roman" w:hAnsi="Times New Roman" w:cs="Times New Roman"/>
          <w:sz w:val="25"/>
          <w:szCs w:val="25"/>
        </w:rPr>
        <w:t>Incumpliente</w:t>
      </w:r>
      <w:proofErr w:type="spellEnd"/>
      <w:r w:rsidRPr="00072D24">
        <w:rPr>
          <w:rFonts w:ascii="Times New Roman" w:hAnsi="Times New Roman" w:cs="Times New Roman"/>
          <w:sz w:val="25"/>
          <w:szCs w:val="25"/>
        </w:rPr>
        <w:t xml:space="preserve"> Precedente. No Violentándose en nada Ningún Debido Proceso ni Derecho a su Defensa. Y ajustándose a Derecho y a Justicia lo actuado por el Consejo de Transporte Público. Y deviniendo en Improcedentes las Acciones que nos Ocupan. Las cuales se Rechazan en Todos sus Extremos y Efectos.</w:t>
      </w:r>
    </w:p>
    <w:p w:rsidR="00E221FE" w:rsidRPr="00072D24" w:rsidRDefault="00E221FE" w:rsidP="00C46199">
      <w:pPr>
        <w:pStyle w:val="Sinespaciado"/>
        <w:rPr>
          <w:sz w:val="25"/>
          <w:szCs w:val="25"/>
        </w:rPr>
      </w:pPr>
    </w:p>
    <w:p w:rsidR="00C46199" w:rsidRDefault="00C46199" w:rsidP="00C46199">
      <w:pPr>
        <w:pStyle w:val="Sinespaciado"/>
        <w:rPr>
          <w:sz w:val="25"/>
          <w:szCs w:val="25"/>
        </w:rPr>
      </w:pPr>
    </w:p>
    <w:p w:rsidR="00072D24" w:rsidRDefault="00072D24" w:rsidP="00C46199">
      <w:pPr>
        <w:pStyle w:val="Sinespaciado"/>
        <w:rPr>
          <w:sz w:val="25"/>
          <w:szCs w:val="25"/>
        </w:rPr>
      </w:pPr>
    </w:p>
    <w:p w:rsidR="00072D24" w:rsidRDefault="00072D24" w:rsidP="00C46199">
      <w:pPr>
        <w:pStyle w:val="Sinespaciado"/>
        <w:rPr>
          <w:sz w:val="25"/>
          <w:szCs w:val="25"/>
        </w:rPr>
      </w:pPr>
    </w:p>
    <w:p w:rsidR="00072D24" w:rsidRPr="00072D24" w:rsidRDefault="00072D24" w:rsidP="00C46199">
      <w:pPr>
        <w:pStyle w:val="Sinespaciado"/>
        <w:rPr>
          <w:sz w:val="25"/>
          <w:szCs w:val="25"/>
        </w:rPr>
      </w:pPr>
    </w:p>
    <w:p w:rsidR="00FF46E1" w:rsidRPr="00072D24" w:rsidRDefault="00FF46E1" w:rsidP="00FF46E1">
      <w:pPr>
        <w:spacing w:line="276" w:lineRule="auto"/>
        <w:ind w:right="49"/>
        <w:jc w:val="center"/>
        <w:rPr>
          <w:rStyle w:val="CharacterStyle1"/>
          <w:b/>
          <w:bCs/>
          <w:i/>
          <w:spacing w:val="9"/>
          <w:sz w:val="25"/>
          <w:szCs w:val="25"/>
          <w:lang w:val="es-ES"/>
        </w:rPr>
      </w:pPr>
      <w:r w:rsidRPr="00072D24">
        <w:rPr>
          <w:rStyle w:val="CharacterStyle1"/>
          <w:b/>
          <w:i/>
          <w:spacing w:val="9"/>
          <w:sz w:val="25"/>
          <w:szCs w:val="25"/>
          <w:lang w:val="es-ES"/>
        </w:rPr>
        <w:t>Por Tanto</w:t>
      </w:r>
    </w:p>
    <w:p w:rsidR="00FF46E1" w:rsidRPr="00072D24" w:rsidRDefault="00FF46E1" w:rsidP="00FF46E1">
      <w:pPr>
        <w:spacing w:line="276" w:lineRule="auto"/>
        <w:ind w:right="49"/>
        <w:jc w:val="both"/>
        <w:rPr>
          <w:rStyle w:val="CharacterStyle1"/>
          <w:bCs/>
          <w:spacing w:val="9"/>
          <w:sz w:val="25"/>
          <w:szCs w:val="25"/>
          <w:lang w:val="es-ES"/>
        </w:rPr>
      </w:pPr>
    </w:p>
    <w:p w:rsidR="00FF46E1" w:rsidRPr="00072D24" w:rsidRDefault="00FF46E1" w:rsidP="00FF46E1">
      <w:pPr>
        <w:spacing w:line="276" w:lineRule="auto"/>
        <w:ind w:right="49"/>
        <w:jc w:val="both"/>
        <w:rPr>
          <w:b/>
          <w:smallCaps/>
          <w:color w:val="000000" w:themeColor="text1"/>
          <w:sz w:val="25"/>
          <w:szCs w:val="25"/>
        </w:rPr>
      </w:pPr>
      <w:r w:rsidRPr="00072D24">
        <w:rPr>
          <w:rStyle w:val="CharacterStyle1"/>
          <w:b/>
          <w:spacing w:val="9"/>
          <w:sz w:val="25"/>
          <w:szCs w:val="25"/>
          <w:lang w:val="es-ES"/>
        </w:rPr>
        <w:t>I.-</w:t>
      </w:r>
      <w:r w:rsidRPr="00072D24">
        <w:rPr>
          <w:rStyle w:val="CharacterStyle1"/>
          <w:b/>
          <w:spacing w:val="9"/>
          <w:sz w:val="25"/>
          <w:szCs w:val="25"/>
          <w:lang w:val="es-ES"/>
        </w:rPr>
        <w:tab/>
      </w:r>
      <w:r w:rsidRPr="00072D24">
        <w:rPr>
          <w:rStyle w:val="CharacterStyle1"/>
          <w:spacing w:val="9"/>
          <w:sz w:val="25"/>
          <w:szCs w:val="25"/>
          <w:lang w:val="es-ES"/>
        </w:rPr>
        <w:t xml:space="preserve">Se </w:t>
      </w:r>
      <w:r w:rsidRPr="00072D24">
        <w:rPr>
          <w:rStyle w:val="CharacterStyle1"/>
          <w:b/>
          <w:spacing w:val="9"/>
          <w:sz w:val="25"/>
          <w:szCs w:val="25"/>
          <w:u w:val="single"/>
          <w:lang w:val="es-ES"/>
        </w:rPr>
        <w:t>RECHAZA</w:t>
      </w:r>
      <w:r w:rsidRPr="00072D24">
        <w:rPr>
          <w:rStyle w:val="CharacterStyle1"/>
          <w:spacing w:val="9"/>
          <w:sz w:val="25"/>
          <w:szCs w:val="25"/>
          <w:lang w:val="es-ES"/>
        </w:rPr>
        <w:t xml:space="preserve"> por Falta de Legitimación, el </w:t>
      </w:r>
      <w:r w:rsidRPr="00072D24">
        <w:rPr>
          <w:b/>
          <w:sz w:val="25"/>
          <w:szCs w:val="25"/>
        </w:rPr>
        <w:t xml:space="preserve">RECURSO DE APELACIÓN </w:t>
      </w:r>
      <w:r w:rsidRPr="00072D24">
        <w:rPr>
          <w:i/>
          <w:sz w:val="25"/>
          <w:szCs w:val="25"/>
        </w:rPr>
        <w:t>(Directa)</w:t>
      </w:r>
      <w:r w:rsidRPr="00072D24">
        <w:rPr>
          <w:sz w:val="25"/>
          <w:szCs w:val="25"/>
        </w:rPr>
        <w:t xml:space="preserve"> con</w:t>
      </w:r>
      <w:r w:rsidRPr="00072D24">
        <w:rPr>
          <w:b/>
          <w:sz w:val="25"/>
          <w:szCs w:val="25"/>
        </w:rPr>
        <w:t xml:space="preserve"> NULIDAD ABSOLUTA </w:t>
      </w:r>
      <w:r w:rsidRPr="00072D24">
        <w:rPr>
          <w:sz w:val="25"/>
          <w:szCs w:val="25"/>
        </w:rPr>
        <w:t>concomitante, presentados por la firma</w:t>
      </w:r>
      <w:r w:rsidRPr="00072D24">
        <w:rPr>
          <w:b/>
          <w:sz w:val="25"/>
          <w:szCs w:val="25"/>
        </w:rPr>
        <w:t xml:space="preserve"> T</w:t>
      </w:r>
      <w:r w:rsidR="00167A9E">
        <w:rPr>
          <w:b/>
          <w:sz w:val="25"/>
          <w:szCs w:val="25"/>
        </w:rPr>
        <w:t>.L.P.L.</w:t>
      </w:r>
      <w:r w:rsidRPr="00072D24">
        <w:rPr>
          <w:b/>
          <w:sz w:val="25"/>
          <w:szCs w:val="25"/>
        </w:rPr>
        <w:t xml:space="preserve">, </w:t>
      </w:r>
      <w:r w:rsidRPr="00072D24">
        <w:rPr>
          <w:sz w:val="25"/>
          <w:szCs w:val="25"/>
        </w:rPr>
        <w:t xml:space="preserve">cédula jurídica número </w:t>
      </w:r>
      <w:r w:rsidR="00167A9E">
        <w:rPr>
          <w:sz w:val="25"/>
          <w:szCs w:val="25"/>
        </w:rPr>
        <w:t>…</w:t>
      </w:r>
      <w:r w:rsidRPr="00072D24">
        <w:rPr>
          <w:sz w:val="25"/>
          <w:szCs w:val="25"/>
        </w:rPr>
        <w:t>,</w:t>
      </w:r>
      <w:r w:rsidRPr="00072D24">
        <w:rPr>
          <w:b/>
          <w:sz w:val="25"/>
          <w:szCs w:val="25"/>
        </w:rPr>
        <w:t xml:space="preserve"> </w:t>
      </w:r>
      <w:r w:rsidRPr="00072D24">
        <w:rPr>
          <w:sz w:val="25"/>
          <w:szCs w:val="25"/>
        </w:rPr>
        <w:t xml:space="preserve">representada a los efectos por el Señor </w:t>
      </w:r>
      <w:r w:rsidRPr="00072D24">
        <w:rPr>
          <w:i/>
          <w:sz w:val="25"/>
          <w:szCs w:val="25"/>
        </w:rPr>
        <w:t>R</w:t>
      </w:r>
      <w:r w:rsidR="00167A9E">
        <w:rPr>
          <w:i/>
          <w:sz w:val="25"/>
          <w:szCs w:val="25"/>
        </w:rPr>
        <w:t>.B.C.</w:t>
      </w:r>
      <w:r w:rsidRPr="00072D24">
        <w:rPr>
          <w:sz w:val="25"/>
          <w:szCs w:val="25"/>
        </w:rPr>
        <w:t xml:space="preserve">, de calidades conocidas y portador de la cédula de identidad número </w:t>
      </w:r>
      <w:r w:rsidR="00167A9E">
        <w:rPr>
          <w:sz w:val="25"/>
          <w:szCs w:val="25"/>
        </w:rPr>
        <w:t>…</w:t>
      </w:r>
      <w:bookmarkStart w:id="0" w:name="_GoBack"/>
      <w:bookmarkEnd w:id="0"/>
      <w:r w:rsidRPr="00072D24">
        <w:rPr>
          <w:sz w:val="25"/>
          <w:szCs w:val="25"/>
        </w:rPr>
        <w:t>, en contra del Artículo No. 3.1 de la Sesión Ordinaria No. 32-2018 del 18 de Setiembre del 2018, de la Junta Directiva del Consejo de Transporte Público.</w:t>
      </w:r>
    </w:p>
    <w:p w:rsidR="00FF46E1" w:rsidRPr="00072D24" w:rsidRDefault="00FF46E1" w:rsidP="00FF46E1">
      <w:pPr>
        <w:spacing w:line="276" w:lineRule="auto"/>
        <w:ind w:right="49"/>
        <w:jc w:val="both"/>
        <w:rPr>
          <w:b/>
          <w:color w:val="000000" w:themeColor="text1"/>
          <w:sz w:val="25"/>
          <w:szCs w:val="25"/>
        </w:rPr>
      </w:pPr>
    </w:p>
    <w:p w:rsidR="00FF46E1" w:rsidRPr="00072D24" w:rsidRDefault="00FF46E1" w:rsidP="00FF46E1">
      <w:pPr>
        <w:spacing w:line="276" w:lineRule="auto"/>
        <w:ind w:right="49"/>
        <w:jc w:val="both"/>
        <w:rPr>
          <w:color w:val="000000" w:themeColor="text1"/>
          <w:sz w:val="25"/>
          <w:szCs w:val="25"/>
        </w:rPr>
      </w:pPr>
      <w:r w:rsidRPr="00072D24">
        <w:rPr>
          <w:b/>
          <w:color w:val="000000" w:themeColor="text1"/>
          <w:sz w:val="25"/>
          <w:szCs w:val="25"/>
        </w:rPr>
        <w:lastRenderedPageBreak/>
        <w:t>II</w:t>
      </w:r>
      <w:r w:rsidRPr="00072D24">
        <w:rPr>
          <w:color w:val="000000" w:themeColor="text1"/>
          <w:sz w:val="25"/>
          <w:szCs w:val="25"/>
        </w:rPr>
        <w:t xml:space="preserve">.- </w:t>
      </w:r>
      <w:r w:rsidRPr="00072D24">
        <w:rPr>
          <w:color w:val="000000" w:themeColor="text1"/>
          <w:sz w:val="25"/>
          <w:szCs w:val="25"/>
        </w:rPr>
        <w:tab/>
      </w:r>
      <w:r w:rsidRPr="00072D24">
        <w:rPr>
          <w:rStyle w:val="CharacterStyle1"/>
          <w:color w:val="000000" w:themeColor="text1"/>
          <w:spacing w:val="9"/>
          <w:sz w:val="25"/>
          <w:szCs w:val="25"/>
          <w:lang w:val="es-ES"/>
        </w:rPr>
        <w:t xml:space="preserve"> </w:t>
      </w:r>
      <w:r w:rsidRPr="00072D24">
        <w:rPr>
          <w:color w:val="000000" w:themeColor="text1"/>
          <w:sz w:val="25"/>
          <w:szCs w:val="25"/>
        </w:rPr>
        <w:t>Conforme las determinaciones del numeral 22, inciso c), de la Ley No. 7969, se Da por Agotada la Vía Administrativa, en cuanto a lo de particular resolución, toda vez que contra este Acto Resolutorio no procede Recurso alguno.</w:t>
      </w:r>
    </w:p>
    <w:p w:rsidR="00FF46E1" w:rsidRPr="00072D24" w:rsidRDefault="00FF46E1" w:rsidP="00FF46E1">
      <w:pPr>
        <w:spacing w:line="276" w:lineRule="auto"/>
        <w:ind w:right="49"/>
        <w:jc w:val="both"/>
        <w:rPr>
          <w:b/>
          <w:color w:val="000000" w:themeColor="text1"/>
          <w:sz w:val="25"/>
          <w:szCs w:val="25"/>
        </w:rPr>
      </w:pPr>
    </w:p>
    <w:p w:rsidR="00FF46E1" w:rsidRPr="00072D24" w:rsidRDefault="00FF46E1" w:rsidP="00FF46E1">
      <w:pPr>
        <w:spacing w:line="276" w:lineRule="auto"/>
        <w:ind w:right="49"/>
        <w:jc w:val="both"/>
        <w:rPr>
          <w:color w:val="000000" w:themeColor="text1"/>
          <w:sz w:val="25"/>
          <w:szCs w:val="25"/>
        </w:rPr>
      </w:pPr>
      <w:r w:rsidRPr="00072D24">
        <w:rPr>
          <w:b/>
          <w:color w:val="000000" w:themeColor="text1"/>
          <w:sz w:val="25"/>
          <w:szCs w:val="25"/>
        </w:rPr>
        <w:t>III.-</w:t>
      </w:r>
      <w:r w:rsidRPr="00072D24">
        <w:rPr>
          <w:color w:val="000000" w:themeColor="text1"/>
          <w:sz w:val="25"/>
          <w:szCs w:val="25"/>
        </w:rPr>
        <w:tab/>
        <w:t>Rige a partir de su Notificación.</w:t>
      </w:r>
    </w:p>
    <w:p w:rsidR="00FF46E1" w:rsidRPr="00072D24" w:rsidRDefault="00FF46E1" w:rsidP="00FF46E1">
      <w:pPr>
        <w:pStyle w:val="Sinespaciado"/>
        <w:spacing w:line="276" w:lineRule="auto"/>
        <w:ind w:right="49"/>
        <w:jc w:val="both"/>
        <w:rPr>
          <w:b/>
          <w:color w:val="000000" w:themeColor="text1"/>
          <w:sz w:val="25"/>
          <w:szCs w:val="25"/>
        </w:rPr>
      </w:pPr>
    </w:p>
    <w:p w:rsidR="00FF46E1" w:rsidRPr="00072D24" w:rsidRDefault="00FF46E1" w:rsidP="00FF46E1">
      <w:pPr>
        <w:spacing w:line="276" w:lineRule="auto"/>
        <w:jc w:val="both"/>
        <w:rPr>
          <w:b/>
          <w:color w:val="000000"/>
          <w:sz w:val="25"/>
          <w:szCs w:val="25"/>
        </w:rPr>
      </w:pPr>
      <w:proofErr w:type="gramStart"/>
      <w:r w:rsidRPr="00072D24">
        <w:rPr>
          <w:b/>
          <w:color w:val="000000"/>
          <w:sz w:val="25"/>
          <w:szCs w:val="25"/>
        </w:rPr>
        <w:t>NOTIFÍQUESE.-</w:t>
      </w:r>
      <w:proofErr w:type="gramEnd"/>
      <w:r w:rsidRPr="00072D24">
        <w:rPr>
          <w:b/>
          <w:color w:val="000000"/>
          <w:sz w:val="25"/>
          <w:szCs w:val="25"/>
        </w:rPr>
        <w:t xml:space="preserve"> </w:t>
      </w:r>
    </w:p>
    <w:p w:rsidR="00FF46E1" w:rsidRPr="00072D24" w:rsidRDefault="00FF46E1" w:rsidP="00FF46E1">
      <w:pPr>
        <w:pStyle w:val="Sinespaciado"/>
        <w:spacing w:line="276" w:lineRule="auto"/>
        <w:jc w:val="both"/>
        <w:rPr>
          <w:color w:val="000000"/>
          <w:sz w:val="25"/>
          <w:szCs w:val="25"/>
        </w:rPr>
      </w:pPr>
    </w:p>
    <w:p w:rsidR="00FF46E1" w:rsidRPr="00072D24" w:rsidRDefault="00FF46E1" w:rsidP="00FF46E1">
      <w:pPr>
        <w:pStyle w:val="Sinespaciado"/>
        <w:spacing w:line="276" w:lineRule="auto"/>
        <w:jc w:val="both"/>
        <w:rPr>
          <w:sz w:val="25"/>
          <w:szCs w:val="25"/>
        </w:rPr>
      </w:pPr>
    </w:p>
    <w:p w:rsidR="00FF46E1" w:rsidRPr="00072D24" w:rsidRDefault="00FF46E1" w:rsidP="00FF46E1">
      <w:pPr>
        <w:pStyle w:val="Sinespaciado"/>
        <w:spacing w:line="276" w:lineRule="auto"/>
        <w:rPr>
          <w:sz w:val="25"/>
          <w:szCs w:val="25"/>
        </w:rPr>
      </w:pPr>
    </w:p>
    <w:p w:rsidR="00FF46E1" w:rsidRPr="00072D24" w:rsidRDefault="00FF46E1" w:rsidP="00FF46E1">
      <w:pPr>
        <w:pStyle w:val="Sinespaciado"/>
        <w:spacing w:line="276" w:lineRule="auto"/>
        <w:rPr>
          <w:sz w:val="25"/>
          <w:szCs w:val="25"/>
        </w:rPr>
      </w:pPr>
    </w:p>
    <w:p w:rsidR="00FF46E1" w:rsidRPr="00072D24" w:rsidRDefault="00FF46E1" w:rsidP="00FF46E1">
      <w:pPr>
        <w:spacing w:line="276" w:lineRule="auto"/>
        <w:jc w:val="center"/>
        <w:rPr>
          <w:color w:val="000000"/>
          <w:sz w:val="25"/>
          <w:szCs w:val="25"/>
        </w:rPr>
      </w:pPr>
      <w:r w:rsidRPr="00072D24">
        <w:rPr>
          <w:color w:val="000000"/>
          <w:sz w:val="25"/>
          <w:szCs w:val="25"/>
        </w:rPr>
        <w:t>Lic. Carlos Miguel Portuguez Méndez</w:t>
      </w:r>
    </w:p>
    <w:p w:rsidR="00FF46E1" w:rsidRPr="00072D24" w:rsidRDefault="00FF46E1" w:rsidP="00FF46E1">
      <w:pPr>
        <w:spacing w:line="276" w:lineRule="auto"/>
        <w:jc w:val="center"/>
        <w:rPr>
          <w:b/>
          <w:color w:val="000000"/>
          <w:sz w:val="25"/>
          <w:szCs w:val="25"/>
        </w:rPr>
      </w:pPr>
      <w:r w:rsidRPr="00072D24">
        <w:rPr>
          <w:b/>
          <w:color w:val="000000"/>
          <w:sz w:val="25"/>
          <w:szCs w:val="25"/>
        </w:rPr>
        <w:t>PRESIDENTE</w:t>
      </w:r>
    </w:p>
    <w:p w:rsidR="00FF46E1" w:rsidRPr="00072D24" w:rsidRDefault="00FF46E1" w:rsidP="00FF46E1">
      <w:pPr>
        <w:spacing w:line="276" w:lineRule="auto"/>
        <w:rPr>
          <w:color w:val="000000"/>
          <w:sz w:val="25"/>
          <w:szCs w:val="25"/>
        </w:rPr>
      </w:pPr>
    </w:p>
    <w:p w:rsidR="00FF46E1" w:rsidRPr="00072D24" w:rsidRDefault="00FF46E1" w:rsidP="00FF46E1">
      <w:pPr>
        <w:pStyle w:val="Sinespaciado"/>
        <w:spacing w:line="276" w:lineRule="auto"/>
        <w:jc w:val="center"/>
        <w:rPr>
          <w:sz w:val="25"/>
          <w:szCs w:val="25"/>
        </w:rPr>
      </w:pPr>
    </w:p>
    <w:p w:rsidR="00FF46E1" w:rsidRPr="00072D24" w:rsidRDefault="00FF46E1" w:rsidP="00FF46E1">
      <w:pPr>
        <w:pStyle w:val="Sinespaciado"/>
        <w:spacing w:line="276" w:lineRule="auto"/>
        <w:rPr>
          <w:sz w:val="25"/>
          <w:szCs w:val="25"/>
        </w:rPr>
      </w:pPr>
    </w:p>
    <w:p w:rsidR="00FF46E1" w:rsidRPr="00072D24" w:rsidRDefault="00FF46E1" w:rsidP="00FF46E1">
      <w:pPr>
        <w:spacing w:line="276" w:lineRule="auto"/>
        <w:jc w:val="center"/>
        <w:rPr>
          <w:color w:val="000000"/>
          <w:sz w:val="25"/>
          <w:szCs w:val="25"/>
        </w:rPr>
      </w:pPr>
    </w:p>
    <w:p w:rsidR="00FF46E1" w:rsidRPr="00072D24" w:rsidRDefault="00FF46E1" w:rsidP="00FF46E1">
      <w:pPr>
        <w:spacing w:line="276" w:lineRule="auto"/>
        <w:jc w:val="center"/>
        <w:rPr>
          <w:color w:val="000000"/>
          <w:sz w:val="25"/>
          <w:szCs w:val="25"/>
        </w:rPr>
      </w:pPr>
      <w:r w:rsidRPr="00072D24">
        <w:rPr>
          <w:color w:val="000000"/>
          <w:sz w:val="25"/>
          <w:szCs w:val="25"/>
        </w:rPr>
        <w:t xml:space="preserve">Lic. Ronald Muñoz Corea     </w:t>
      </w:r>
      <w:r w:rsidRPr="00072D24">
        <w:rPr>
          <w:color w:val="000000"/>
          <w:sz w:val="25"/>
          <w:szCs w:val="25"/>
        </w:rPr>
        <w:tab/>
      </w:r>
      <w:r w:rsidRPr="00072D24">
        <w:rPr>
          <w:color w:val="000000"/>
          <w:sz w:val="25"/>
          <w:szCs w:val="25"/>
        </w:rPr>
        <w:tab/>
        <w:t xml:space="preserve">          Lic. Mario Quesada Aguirre</w:t>
      </w:r>
    </w:p>
    <w:p w:rsidR="00FF46E1" w:rsidRPr="00072D24" w:rsidRDefault="00FF46E1" w:rsidP="00FF46E1">
      <w:pPr>
        <w:spacing w:line="276" w:lineRule="auto"/>
        <w:rPr>
          <w:b/>
          <w:color w:val="000000"/>
          <w:sz w:val="25"/>
          <w:szCs w:val="25"/>
        </w:rPr>
      </w:pPr>
      <w:r w:rsidRPr="00072D24">
        <w:rPr>
          <w:b/>
          <w:color w:val="000000"/>
          <w:sz w:val="25"/>
          <w:szCs w:val="25"/>
        </w:rPr>
        <w:t xml:space="preserve">                           JUEZ</w:t>
      </w:r>
      <w:r w:rsidRPr="00072D24">
        <w:rPr>
          <w:b/>
          <w:color w:val="000000"/>
          <w:sz w:val="25"/>
          <w:szCs w:val="25"/>
        </w:rPr>
        <w:tab/>
      </w:r>
      <w:r w:rsidRPr="00072D24">
        <w:rPr>
          <w:b/>
          <w:color w:val="000000"/>
          <w:sz w:val="25"/>
          <w:szCs w:val="25"/>
        </w:rPr>
        <w:tab/>
      </w:r>
      <w:r w:rsidRPr="00072D24">
        <w:rPr>
          <w:b/>
          <w:color w:val="000000"/>
          <w:sz w:val="25"/>
          <w:szCs w:val="25"/>
        </w:rPr>
        <w:tab/>
        <w:t xml:space="preserve">     </w:t>
      </w:r>
      <w:r w:rsidRPr="00072D24">
        <w:rPr>
          <w:b/>
          <w:color w:val="000000"/>
          <w:sz w:val="25"/>
          <w:szCs w:val="25"/>
        </w:rPr>
        <w:tab/>
        <w:t xml:space="preserve">                </w:t>
      </w:r>
      <w:proofErr w:type="spellStart"/>
      <w:r w:rsidRPr="00072D24">
        <w:rPr>
          <w:b/>
          <w:color w:val="000000"/>
          <w:sz w:val="25"/>
          <w:szCs w:val="25"/>
        </w:rPr>
        <w:t>JUEZ</w:t>
      </w:r>
      <w:proofErr w:type="spellEnd"/>
    </w:p>
    <w:p w:rsidR="00FF46E1" w:rsidRPr="00072D24" w:rsidRDefault="00FF46E1" w:rsidP="00FF46E1">
      <w:pPr>
        <w:spacing w:line="276" w:lineRule="auto"/>
        <w:jc w:val="both"/>
        <w:rPr>
          <w:sz w:val="25"/>
          <w:szCs w:val="25"/>
        </w:rPr>
      </w:pPr>
    </w:p>
    <w:p w:rsidR="00FF46E1" w:rsidRPr="00072D24" w:rsidRDefault="00FF46E1" w:rsidP="00FF46E1">
      <w:pPr>
        <w:spacing w:line="276" w:lineRule="auto"/>
        <w:jc w:val="both"/>
        <w:rPr>
          <w:sz w:val="25"/>
          <w:szCs w:val="25"/>
        </w:rPr>
      </w:pPr>
    </w:p>
    <w:p w:rsidR="00FF46E1" w:rsidRPr="00072D24" w:rsidRDefault="00FF46E1" w:rsidP="00FF46E1">
      <w:pPr>
        <w:spacing w:line="276" w:lineRule="auto"/>
        <w:rPr>
          <w:sz w:val="25"/>
          <w:szCs w:val="25"/>
        </w:rPr>
      </w:pPr>
    </w:p>
    <w:p w:rsidR="00FF46E1" w:rsidRPr="00072D24" w:rsidRDefault="00FF46E1" w:rsidP="00FF46E1">
      <w:pPr>
        <w:spacing w:line="276" w:lineRule="auto"/>
        <w:rPr>
          <w:b/>
          <w:i/>
          <w:sz w:val="25"/>
          <w:szCs w:val="25"/>
        </w:rPr>
      </w:pPr>
    </w:p>
    <w:p w:rsidR="00FF46E1" w:rsidRPr="00072D24" w:rsidRDefault="00FF46E1" w:rsidP="00FF46E1">
      <w:pPr>
        <w:spacing w:line="276" w:lineRule="auto"/>
        <w:rPr>
          <w:sz w:val="25"/>
          <w:szCs w:val="25"/>
        </w:rPr>
      </w:pPr>
    </w:p>
    <w:p w:rsidR="00FF46E1" w:rsidRPr="00072D24" w:rsidRDefault="00FF46E1" w:rsidP="00FF46E1">
      <w:pPr>
        <w:spacing w:line="276" w:lineRule="auto"/>
        <w:ind w:right="49"/>
        <w:jc w:val="both"/>
        <w:rPr>
          <w:b/>
          <w:color w:val="000000" w:themeColor="text1"/>
          <w:sz w:val="25"/>
          <w:szCs w:val="25"/>
        </w:rPr>
      </w:pPr>
    </w:p>
    <w:sectPr w:rsidR="00FF46E1" w:rsidRPr="00072D24" w:rsidSect="00CA23B5">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116" w:rsidRDefault="00D12116" w:rsidP="00FF46E1">
      <w:r>
        <w:separator/>
      </w:r>
    </w:p>
  </w:endnote>
  <w:endnote w:type="continuationSeparator" w:id="0">
    <w:p w:rsidR="00D12116" w:rsidRDefault="00D12116" w:rsidP="00FF4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116" w:rsidRDefault="00D12116" w:rsidP="00FF46E1">
      <w:r>
        <w:separator/>
      </w:r>
    </w:p>
  </w:footnote>
  <w:footnote w:type="continuationSeparator" w:id="0">
    <w:p w:rsidR="00D12116" w:rsidRDefault="00D12116" w:rsidP="00FF4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9FC"/>
    <w:rsid w:val="00072D24"/>
    <w:rsid w:val="00167A9E"/>
    <w:rsid w:val="003B19A4"/>
    <w:rsid w:val="0048098D"/>
    <w:rsid w:val="00511A09"/>
    <w:rsid w:val="005E69FC"/>
    <w:rsid w:val="006E65ED"/>
    <w:rsid w:val="00766495"/>
    <w:rsid w:val="00951FB9"/>
    <w:rsid w:val="00A5285D"/>
    <w:rsid w:val="00B85749"/>
    <w:rsid w:val="00C156AF"/>
    <w:rsid w:val="00C46199"/>
    <w:rsid w:val="00CA23B5"/>
    <w:rsid w:val="00D0058F"/>
    <w:rsid w:val="00D12116"/>
    <w:rsid w:val="00DF7C4F"/>
    <w:rsid w:val="00E221FE"/>
    <w:rsid w:val="00E26D9C"/>
    <w:rsid w:val="00FF46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78E89"/>
  <w15:chartTrackingRefBased/>
  <w15:docId w15:val="{08E9F19B-54E8-431A-880A-BD6D6A0D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9FC"/>
    <w:pPr>
      <w:spacing w:after="0" w:line="240" w:lineRule="auto"/>
    </w:pPr>
    <w:rPr>
      <w:rFonts w:ascii="Times New Roman" w:eastAsia="Times New Roman" w:hAnsi="Times New Roman" w:cs="Times New Roman"/>
      <w:sz w:val="20"/>
      <w:szCs w:val="20"/>
      <w:lang w:val="es-CR" w:eastAsia="es-ES"/>
    </w:rPr>
  </w:style>
  <w:style w:type="paragraph" w:styleId="Ttulo1">
    <w:name w:val="heading 1"/>
    <w:basedOn w:val="Normal"/>
    <w:next w:val="Normal"/>
    <w:link w:val="Ttulo1Car"/>
    <w:uiPriority w:val="9"/>
    <w:qFormat/>
    <w:rsid w:val="00FF46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5E69F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5E69FC"/>
    <w:rPr>
      <w:rFonts w:ascii="Times New Roman" w:eastAsia="Times New Roman" w:hAnsi="Times New Roman" w:cs="Times New Roman"/>
      <w:b/>
      <w:sz w:val="24"/>
      <w:szCs w:val="20"/>
      <w:lang w:val="es-MX" w:eastAsia="es-ES"/>
    </w:rPr>
  </w:style>
  <w:style w:type="paragraph" w:styleId="Textoindependiente2">
    <w:name w:val="Body Text 2"/>
    <w:basedOn w:val="Normal"/>
    <w:link w:val="Textoindependiente2Car"/>
    <w:rsid w:val="005E69FC"/>
    <w:pPr>
      <w:jc w:val="both"/>
    </w:pPr>
    <w:rPr>
      <w:sz w:val="24"/>
      <w:lang w:val="es-MX"/>
    </w:rPr>
  </w:style>
  <w:style w:type="character" w:customStyle="1" w:styleId="Textoindependiente2Car">
    <w:name w:val="Texto independiente 2 Car"/>
    <w:basedOn w:val="Fuentedeprrafopredeter"/>
    <w:link w:val="Textoindependiente2"/>
    <w:rsid w:val="005E69FC"/>
    <w:rPr>
      <w:rFonts w:ascii="Times New Roman" w:eastAsia="Times New Roman" w:hAnsi="Times New Roman" w:cs="Times New Roman"/>
      <w:sz w:val="24"/>
      <w:szCs w:val="20"/>
      <w:lang w:val="es-MX" w:eastAsia="es-ES"/>
    </w:rPr>
  </w:style>
  <w:style w:type="paragraph" w:styleId="Sinespaciado">
    <w:name w:val="No Spacing"/>
    <w:link w:val="SinespaciadoCar"/>
    <w:uiPriority w:val="1"/>
    <w:qFormat/>
    <w:rsid w:val="005E69FC"/>
    <w:pPr>
      <w:spacing w:after="0" w:line="240" w:lineRule="auto"/>
    </w:pPr>
    <w:rPr>
      <w:rFonts w:ascii="Times New Roman" w:eastAsia="Times New Roman" w:hAnsi="Times New Roman" w:cs="Times New Roman"/>
      <w:sz w:val="24"/>
      <w:szCs w:val="24"/>
      <w:lang w:val="es-CR" w:eastAsia="es-ES"/>
    </w:rPr>
  </w:style>
  <w:style w:type="character" w:customStyle="1" w:styleId="SinespaciadoCar">
    <w:name w:val="Sin espaciado Car"/>
    <w:basedOn w:val="Fuentedeprrafopredeter"/>
    <w:link w:val="Sinespaciado"/>
    <w:uiPriority w:val="1"/>
    <w:rsid w:val="005E69FC"/>
    <w:rPr>
      <w:rFonts w:ascii="Times New Roman" w:eastAsia="Times New Roman" w:hAnsi="Times New Roman" w:cs="Times New Roman"/>
      <w:sz w:val="24"/>
      <w:szCs w:val="24"/>
      <w:lang w:val="es-CR" w:eastAsia="es-ES"/>
    </w:rPr>
  </w:style>
  <w:style w:type="paragraph" w:customStyle="1" w:styleId="Default">
    <w:name w:val="Default"/>
    <w:rsid w:val="005E69F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3B19A4"/>
    <w:pPr>
      <w:spacing w:before="100" w:beforeAutospacing="1" w:after="100" w:afterAutospacing="1"/>
    </w:pPr>
    <w:rPr>
      <w:sz w:val="24"/>
      <w:szCs w:val="24"/>
      <w:lang w:eastAsia="es-CR"/>
    </w:rPr>
  </w:style>
  <w:style w:type="character" w:customStyle="1" w:styleId="Ttulo1Car">
    <w:name w:val="Título 1 Car"/>
    <w:basedOn w:val="Fuentedeprrafopredeter"/>
    <w:link w:val="Ttulo1"/>
    <w:uiPriority w:val="9"/>
    <w:rsid w:val="00FF46E1"/>
    <w:rPr>
      <w:rFonts w:asciiTheme="majorHAnsi" w:eastAsiaTheme="majorEastAsia" w:hAnsiTheme="majorHAnsi" w:cstheme="majorBidi"/>
      <w:color w:val="2F5496" w:themeColor="accent1" w:themeShade="BF"/>
      <w:sz w:val="32"/>
      <w:szCs w:val="32"/>
      <w:lang w:val="es-CR" w:eastAsia="es-ES"/>
    </w:rPr>
  </w:style>
  <w:style w:type="character" w:customStyle="1" w:styleId="CharacterStyle1">
    <w:name w:val="Character Style 1"/>
    <w:uiPriority w:val="99"/>
    <w:rsid w:val="00FF46E1"/>
    <w:rPr>
      <w:sz w:val="24"/>
    </w:rPr>
  </w:style>
  <w:style w:type="paragraph" w:styleId="Encabezado">
    <w:name w:val="header"/>
    <w:basedOn w:val="Normal"/>
    <w:link w:val="EncabezadoCar"/>
    <w:uiPriority w:val="99"/>
    <w:unhideWhenUsed/>
    <w:rsid w:val="00FF46E1"/>
    <w:pPr>
      <w:tabs>
        <w:tab w:val="center" w:pos="4252"/>
        <w:tab w:val="right" w:pos="8504"/>
      </w:tabs>
    </w:pPr>
  </w:style>
  <w:style w:type="character" w:customStyle="1" w:styleId="EncabezadoCar">
    <w:name w:val="Encabezado Car"/>
    <w:basedOn w:val="Fuentedeprrafopredeter"/>
    <w:link w:val="Encabezado"/>
    <w:uiPriority w:val="99"/>
    <w:rsid w:val="00FF46E1"/>
    <w:rPr>
      <w:rFonts w:ascii="Times New Roman" w:eastAsia="Times New Roman" w:hAnsi="Times New Roman" w:cs="Times New Roman"/>
      <w:sz w:val="20"/>
      <w:szCs w:val="20"/>
      <w:lang w:val="es-CR" w:eastAsia="es-ES"/>
    </w:rPr>
  </w:style>
  <w:style w:type="paragraph" w:styleId="Piedepgina">
    <w:name w:val="footer"/>
    <w:basedOn w:val="Normal"/>
    <w:link w:val="PiedepginaCar"/>
    <w:uiPriority w:val="99"/>
    <w:unhideWhenUsed/>
    <w:rsid w:val="00FF46E1"/>
    <w:pPr>
      <w:tabs>
        <w:tab w:val="center" w:pos="4252"/>
        <w:tab w:val="right" w:pos="8504"/>
      </w:tabs>
    </w:pPr>
  </w:style>
  <w:style w:type="character" w:customStyle="1" w:styleId="PiedepginaCar">
    <w:name w:val="Pie de página Car"/>
    <w:basedOn w:val="Fuentedeprrafopredeter"/>
    <w:link w:val="Piedepgina"/>
    <w:uiPriority w:val="99"/>
    <w:rsid w:val="00FF46E1"/>
    <w:rPr>
      <w:rFonts w:ascii="Times New Roman" w:eastAsia="Times New Roman" w:hAnsi="Times New Roman" w:cs="Times New Roman"/>
      <w:sz w:val="20"/>
      <w:szCs w:val="20"/>
      <w:lang w:val="es-CR" w:eastAsia="es-ES"/>
    </w:rPr>
  </w:style>
  <w:style w:type="paragraph" w:styleId="Textodeglobo">
    <w:name w:val="Balloon Text"/>
    <w:basedOn w:val="Normal"/>
    <w:link w:val="TextodegloboCar"/>
    <w:uiPriority w:val="99"/>
    <w:semiHidden/>
    <w:unhideWhenUsed/>
    <w:rsid w:val="00CA23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23B5"/>
    <w:rPr>
      <w:rFonts w:ascii="Segoe UI" w:eastAsia="Times New Roman" w:hAnsi="Segoe UI" w:cs="Segoe UI"/>
      <w:sz w:val="18"/>
      <w:szCs w:val="18"/>
      <w:lang w:val="es-C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E045F-7251-4340-8A15-AAE13BBE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2188</Words>
  <Characters>12037</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Quesada Aguirre</dc:creator>
  <cp:keywords/>
  <dc:description/>
  <cp:lastModifiedBy>Bernal Rodriguez Porras</cp:lastModifiedBy>
  <cp:revision>2</cp:revision>
  <cp:lastPrinted>2018-12-05T16:16:00Z</cp:lastPrinted>
  <dcterms:created xsi:type="dcterms:W3CDTF">2018-12-20T13:26:00Z</dcterms:created>
  <dcterms:modified xsi:type="dcterms:W3CDTF">2018-12-20T13:26:00Z</dcterms:modified>
</cp:coreProperties>
</file>