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A2F" w:rsidRDefault="002A35C3">
      <w:pPr>
        <w:kinsoku w:val="0"/>
        <w:overflowPunct w:val="0"/>
        <w:autoSpaceDE/>
        <w:autoSpaceDN/>
        <w:adjustRightInd/>
        <w:spacing w:line="299" w:lineRule="exact"/>
        <w:jc w:val="center"/>
        <w:textAlignment w:val="baseline"/>
        <w:rPr>
          <w:rFonts w:ascii="Verdana" w:hAnsi="Verdana" w:cs="Verdana"/>
          <w:b/>
          <w:bCs/>
          <w:spacing w:val="-10"/>
          <w:sz w:val="24"/>
          <w:szCs w:val="24"/>
          <w:lang w:val="es-ES" w:eastAsia="es-ES"/>
        </w:rPr>
      </w:pPr>
      <w:bookmarkStart w:id="0" w:name="_GoBack"/>
      <w:bookmarkEnd w:id="0"/>
      <w:r>
        <w:rPr>
          <w:rFonts w:ascii="Verdana" w:hAnsi="Verdana" w:cs="Verdana"/>
          <w:b/>
          <w:bCs/>
          <w:spacing w:val="-10"/>
          <w:sz w:val="24"/>
          <w:szCs w:val="24"/>
          <w:lang w:val="es-ES" w:eastAsia="es-ES"/>
        </w:rPr>
        <w:t>RESOLUCIÓN No. TAT-3620-2019</w:t>
      </w:r>
    </w:p>
    <w:p w:rsidR="00B37A2F" w:rsidRDefault="002A35C3">
      <w:pPr>
        <w:kinsoku w:val="0"/>
        <w:overflowPunct w:val="0"/>
        <w:autoSpaceDE/>
        <w:autoSpaceDN/>
        <w:adjustRightInd/>
        <w:spacing w:before="345" w:line="30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veinte minutos del veinte de marzo de dos mil diecinueve.</w:t>
      </w:r>
    </w:p>
    <w:p w:rsidR="00B37A2F" w:rsidRDefault="002A35C3">
      <w:pPr>
        <w:kinsoku w:val="0"/>
        <w:overflowPunct w:val="0"/>
        <w:autoSpaceDE/>
        <w:autoSpaceDN/>
        <w:adjustRightInd/>
        <w:spacing w:before="662" w:line="332" w:lineRule="exact"/>
        <w:ind w:left="72" w:right="72"/>
        <w:jc w:val="both"/>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 xml:space="preserve">RECURSO DE APELACIÓN EN SUBSIDIO Y NULIDAD CONCOMITANTE, </w:t>
      </w:r>
      <w:r>
        <w:rPr>
          <w:rFonts w:ascii="Verdana" w:hAnsi="Verdana" w:cs="Verdana"/>
          <w:spacing w:val="-2"/>
          <w:sz w:val="24"/>
          <w:szCs w:val="24"/>
          <w:lang w:val="es-ES" w:eastAsia="es-ES"/>
        </w:rPr>
        <w:t xml:space="preserve">presentado por la empresa </w:t>
      </w:r>
      <w:r>
        <w:rPr>
          <w:rFonts w:ascii="Verdana" w:hAnsi="Verdana" w:cs="Verdana"/>
          <w:b/>
          <w:bCs/>
          <w:spacing w:val="-2"/>
          <w:sz w:val="24"/>
          <w:szCs w:val="24"/>
          <w:lang w:val="es-ES" w:eastAsia="es-ES"/>
        </w:rPr>
        <w:t>T</w:t>
      </w:r>
      <w:r w:rsidR="00982D16">
        <w:rPr>
          <w:rFonts w:ascii="Verdana" w:hAnsi="Verdana" w:cs="Verdana"/>
          <w:b/>
          <w:bCs/>
          <w:spacing w:val="-2"/>
          <w:sz w:val="24"/>
          <w:szCs w:val="24"/>
          <w:lang w:val="es-ES" w:eastAsia="es-ES"/>
        </w:rPr>
        <w:t>.Q.P.S.A.,</w:t>
      </w:r>
      <w:r>
        <w:rPr>
          <w:rFonts w:ascii="Verdana" w:hAnsi="Verdana" w:cs="Verdana"/>
          <w:b/>
          <w:bCs/>
          <w:spacing w:val="-2"/>
          <w:sz w:val="24"/>
          <w:szCs w:val="24"/>
          <w:lang w:val="es-ES" w:eastAsia="es-ES"/>
        </w:rPr>
        <w:t xml:space="preserve"> cédula jurídica </w:t>
      </w:r>
      <w:r w:rsidR="00982D16">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representada por su Apoderado Judicial y Extrajudicial señor </w:t>
      </w:r>
      <w:r>
        <w:rPr>
          <w:rFonts w:ascii="Verdana" w:hAnsi="Verdana" w:cs="Verdana"/>
          <w:b/>
          <w:bCs/>
          <w:spacing w:val="-2"/>
          <w:sz w:val="24"/>
          <w:szCs w:val="24"/>
          <w:lang w:val="es-ES" w:eastAsia="es-ES"/>
        </w:rPr>
        <w:t>M</w:t>
      </w:r>
      <w:r w:rsidR="00982D16">
        <w:rPr>
          <w:rFonts w:ascii="Verdana" w:hAnsi="Verdana" w:cs="Verdana"/>
          <w:b/>
          <w:bCs/>
          <w:spacing w:val="-2"/>
          <w:sz w:val="24"/>
          <w:szCs w:val="24"/>
          <w:lang w:val="es-ES" w:eastAsia="es-ES"/>
        </w:rPr>
        <w:t>.S.S.K.</w:t>
      </w:r>
      <w:r>
        <w:rPr>
          <w:rFonts w:ascii="Verdana" w:hAnsi="Verdana" w:cs="Verdana"/>
          <w:b/>
          <w:bCs/>
          <w:spacing w:val="-2"/>
          <w:sz w:val="24"/>
          <w:szCs w:val="24"/>
          <w:lang w:val="es-ES" w:eastAsia="es-ES"/>
        </w:rPr>
        <w:t xml:space="preserve">, cédula de identidad número </w:t>
      </w:r>
      <w:r w:rsidR="00982D16">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contra el Artículo 7.23 de la Sesión Ordinaria 45-2017 de 22 de noviembre de 2017 </w:t>
      </w:r>
      <w:r>
        <w:rPr>
          <w:rFonts w:ascii="Verdana" w:hAnsi="Verdana" w:cs="Verdana"/>
          <w:spacing w:val="-2"/>
          <w:sz w:val="24"/>
          <w:szCs w:val="24"/>
          <w:lang w:val="es-ES" w:eastAsia="es-ES"/>
        </w:rPr>
        <w:t xml:space="preserve">dictado por la Junta Directiva del Consejo de Transporte Público. </w:t>
      </w:r>
      <w:r>
        <w:rPr>
          <w:rFonts w:ascii="Verdana" w:hAnsi="Verdana" w:cs="Verdana"/>
          <w:b/>
          <w:bCs/>
          <w:spacing w:val="-2"/>
          <w:sz w:val="24"/>
          <w:szCs w:val="24"/>
          <w:lang w:val="es-ES" w:eastAsia="es-ES"/>
        </w:rPr>
        <w:t>El caso es tramitado mediante expediente TAT-021-19.</w:t>
      </w:r>
    </w:p>
    <w:p w:rsidR="00B37A2F" w:rsidRDefault="002A35C3">
      <w:pPr>
        <w:kinsoku w:val="0"/>
        <w:overflowPunct w:val="0"/>
        <w:autoSpaceDE/>
        <w:autoSpaceDN/>
        <w:adjustRightInd/>
        <w:spacing w:before="374" w:line="285"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B37A2F" w:rsidRDefault="002A35C3">
      <w:pPr>
        <w:kinsoku w:val="0"/>
        <w:overflowPunct w:val="0"/>
        <w:autoSpaceDE/>
        <w:autoSpaceDN/>
        <w:adjustRightInd/>
        <w:spacing w:before="346" w:line="332"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No. 7.23 de la Sesión Ordinaria No. 45-2017, </w:t>
      </w:r>
      <w:r>
        <w:rPr>
          <w:rFonts w:ascii="Verdana" w:hAnsi="Verdana" w:cs="Verdana"/>
          <w:sz w:val="24"/>
          <w:szCs w:val="24"/>
          <w:lang w:val="es-ES" w:eastAsia="es-ES"/>
        </w:rPr>
        <w:t xml:space="preserve">dispuso lo siguiente: </w:t>
      </w:r>
      <w:r>
        <w:rPr>
          <w:rFonts w:ascii="Verdana" w:hAnsi="Verdana" w:cs="Verdana"/>
          <w:b/>
          <w:bCs/>
          <w:sz w:val="24"/>
          <w:szCs w:val="24"/>
          <w:lang w:val="es-ES" w:eastAsia="es-ES"/>
        </w:rPr>
        <w:t>(Ver folios 41 y 42 del expediente administrativo)</w:t>
      </w:r>
    </w:p>
    <w:p w:rsidR="00B37A2F" w:rsidRDefault="002A35C3">
      <w:pPr>
        <w:kinsoku w:val="0"/>
        <w:overflowPunct w:val="0"/>
        <w:autoSpaceDE/>
        <w:autoSpaceDN/>
        <w:adjustRightInd/>
        <w:spacing w:before="400" w:line="332" w:lineRule="exact"/>
        <w:ind w:left="720" w:right="576"/>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..."1. Aprobar, basados en los fundamentos, motivos y contenidos, desarrollados en los considerandos del oficio </w:t>
      </w:r>
      <w:r>
        <w:rPr>
          <w:rFonts w:ascii="Verdana" w:hAnsi="Verdana" w:cs="Verdana"/>
          <w:b/>
          <w:bCs/>
          <w:sz w:val="24"/>
          <w:szCs w:val="24"/>
          <w:lang w:val="es-ES" w:eastAsia="es-ES"/>
        </w:rPr>
        <w:t xml:space="preserve">DE 2017-2873, </w:t>
      </w:r>
      <w:r>
        <w:rPr>
          <w:rFonts w:ascii="Verdana" w:hAnsi="Verdana" w:cs="Verdana"/>
          <w:sz w:val="24"/>
          <w:szCs w:val="24"/>
          <w:lang w:val="es-ES" w:eastAsia="es-ES"/>
        </w:rPr>
        <w:t>todas las recomendaciones contenidas en el oficio dicho, el cual forma parte integral de este acuerdo.</w:t>
      </w:r>
    </w:p>
    <w:p w:rsidR="00B37A2F" w:rsidRDefault="002A35C3">
      <w:pPr>
        <w:kinsoku w:val="0"/>
        <w:overflowPunct w:val="0"/>
        <w:autoSpaceDE/>
        <w:autoSpaceDN/>
        <w:adjustRightInd/>
        <w:spacing w:before="399" w:after="806" w:line="332" w:lineRule="exact"/>
        <w:ind w:left="720" w:right="576"/>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2. Se autoriza a los 153 Operadores de Transporte Público (concesionarios y permisionarios) invocados en los artículos 7.2 de la sesión ordinaria 14-2017; y 7.13 de la sesión ordinaria 20</w:t>
      </w:r>
      <w:r>
        <w:rPr>
          <w:rFonts w:ascii="Verdana" w:hAnsi="Verdana" w:cs="Verdana"/>
          <w:spacing w:val="-4"/>
          <w:sz w:val="24"/>
          <w:szCs w:val="24"/>
          <w:lang w:val="es-ES" w:eastAsia="es-ES"/>
        </w:rPr>
        <w:softHyphen/>
        <w:t>2017, para que contraten a un Organismo de Inspección acreditado ante el ECA en la norma INTE-ISO/IEC 17020 alcance</w:t>
      </w:r>
    </w:p>
    <w:p w:rsidR="00B37A2F" w:rsidRDefault="00B37A2F">
      <w:pPr>
        <w:widowControl/>
        <w:rPr>
          <w:sz w:val="24"/>
          <w:szCs w:val="24"/>
        </w:rPr>
        <w:sectPr w:rsidR="00B37A2F">
          <w:pgSz w:w="12240" w:h="15840"/>
          <w:pgMar w:top="1480" w:right="1607" w:bottom="230" w:left="1613" w:header="720" w:footer="720" w:gutter="0"/>
          <w:cols w:space="720"/>
          <w:noEndnote/>
        </w:sectPr>
      </w:pPr>
    </w:p>
    <w:p w:rsidR="00B37A2F" w:rsidRDefault="00B37A2F">
      <w:pPr>
        <w:widowControl/>
        <w:rPr>
          <w:sz w:val="24"/>
          <w:szCs w:val="24"/>
        </w:rPr>
        <w:sectPr w:rsidR="00B37A2F">
          <w:type w:val="continuous"/>
          <w:pgSz w:w="12240" w:h="15840"/>
          <w:pgMar w:top="1480" w:right="1639" w:bottom="230" w:left="8021" w:header="720" w:footer="720" w:gutter="0"/>
          <w:cols w:space="720"/>
          <w:noEndnote/>
        </w:sectPr>
      </w:pPr>
    </w:p>
    <w:p w:rsidR="00B37A2F" w:rsidRDefault="002A35C3">
      <w:pPr>
        <w:kinsoku w:val="0"/>
        <w:overflowPunct w:val="0"/>
        <w:autoSpaceDE/>
        <w:autoSpaceDN/>
        <w:adjustRightInd/>
        <w:spacing w:line="33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tipo A, a efectos de que proceda a validar los estudios de la evaluación de la calidad del período 2016.</w:t>
      </w:r>
    </w:p>
    <w:p w:rsidR="00B37A2F" w:rsidRDefault="002A35C3">
      <w:pPr>
        <w:numPr>
          <w:ilvl w:val="0"/>
          <w:numId w:val="1"/>
        </w:numPr>
        <w:kinsoku w:val="0"/>
        <w:overflowPunct w:val="0"/>
        <w:autoSpaceDE/>
        <w:autoSpaceDN/>
        <w:adjustRightInd/>
        <w:spacing w:before="387" w:line="338"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En un plazo de </w:t>
      </w:r>
      <w:r>
        <w:rPr>
          <w:rFonts w:ascii="Verdana" w:hAnsi="Verdana" w:cs="Verdana"/>
          <w:b/>
          <w:bCs/>
          <w:sz w:val="24"/>
          <w:szCs w:val="24"/>
          <w:lang w:val="es-ES" w:eastAsia="es-ES"/>
        </w:rPr>
        <w:t xml:space="preserve">diez días hábiles, </w:t>
      </w:r>
      <w:r>
        <w:rPr>
          <w:rFonts w:ascii="Verdana" w:hAnsi="Verdana" w:cs="Verdana"/>
          <w:sz w:val="24"/>
          <w:szCs w:val="24"/>
          <w:lang w:val="es-ES" w:eastAsia="es-ES"/>
        </w:rPr>
        <w:t>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w:t>
      </w:r>
    </w:p>
    <w:p w:rsidR="00B37A2F" w:rsidRDefault="002A35C3">
      <w:pPr>
        <w:numPr>
          <w:ilvl w:val="0"/>
          <w:numId w:val="1"/>
        </w:numPr>
        <w:kinsoku w:val="0"/>
        <w:overflowPunct w:val="0"/>
        <w:autoSpaceDE/>
        <w:autoSpaceDN/>
        <w:adjustRightInd/>
        <w:spacing w:before="376" w:line="338" w:lineRule="exact"/>
        <w:ind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w:t>
      </w:r>
    </w:p>
    <w:p w:rsidR="00B37A2F" w:rsidRDefault="002A35C3">
      <w:pPr>
        <w:numPr>
          <w:ilvl w:val="0"/>
          <w:numId w:val="1"/>
        </w:numPr>
        <w:kinsoku w:val="0"/>
        <w:overflowPunct w:val="0"/>
        <w:autoSpaceDE/>
        <w:autoSpaceDN/>
        <w:adjustRightInd/>
        <w:spacing w:before="355" w:line="338"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w:t>
      </w:r>
    </w:p>
    <w:p w:rsidR="00B37A2F" w:rsidRDefault="002A35C3" w:rsidP="00982D16">
      <w:pPr>
        <w:numPr>
          <w:ilvl w:val="0"/>
          <w:numId w:val="2"/>
        </w:numPr>
        <w:kinsoku w:val="0"/>
        <w:overflowPunct w:val="0"/>
        <w:autoSpaceDE/>
        <w:autoSpaceDN/>
        <w:adjustRightInd/>
        <w:spacing w:before="349" w:line="338" w:lineRule="exact"/>
        <w:jc w:val="both"/>
        <w:textAlignment w:val="baseline"/>
        <w:rPr>
          <w:rFonts w:ascii="Verdana" w:hAnsi="Verdana" w:cs="Verdana"/>
          <w:sz w:val="24"/>
          <w:szCs w:val="24"/>
          <w:lang w:val="es-ES" w:eastAsia="es-ES"/>
        </w:rPr>
      </w:pPr>
      <w:r w:rsidRPr="002A35C3">
        <w:rPr>
          <w:rFonts w:ascii="Verdana" w:hAnsi="Verdana" w:cs="Verdana"/>
          <w:sz w:val="24"/>
          <w:szCs w:val="24"/>
          <w:lang w:val="es-ES" w:eastAsia="es-ES"/>
        </w:rPr>
        <w:t xml:space="preserve">Notifíquese: J.A.C.S., al correo </w:t>
      </w:r>
      <w:hyperlink r:id="rId5" w:history="1">
        <w:r w:rsidRPr="002A35C3">
          <w:rPr>
            <w:rStyle w:val="Hipervnculo"/>
            <w:rFonts w:ascii="Verdana" w:hAnsi="Verdana" w:cs="Verdana"/>
            <w:color w:val="auto"/>
            <w:sz w:val="24"/>
            <w:szCs w:val="24"/>
            <w:lang w:val="es-ES" w:eastAsia="es-ES"/>
          </w:rPr>
          <w:t>xxxxxx@xxxxxxx.com</w:t>
        </w:r>
      </w:hyperlink>
      <w:r w:rsidRPr="002A35C3">
        <w:rPr>
          <w:rFonts w:ascii="Verdana" w:hAnsi="Verdana" w:cs="Verdana"/>
          <w:sz w:val="24"/>
          <w:szCs w:val="24"/>
          <w:u w:val="single"/>
          <w:lang w:val="es-ES" w:eastAsia="es-ES"/>
        </w:rPr>
        <w:t xml:space="preserve"> o</w:t>
      </w:r>
      <w:r w:rsidRPr="002A35C3">
        <w:rPr>
          <w:rFonts w:ascii="Verdana" w:hAnsi="Verdana" w:cs="Verdana"/>
          <w:sz w:val="24"/>
          <w:szCs w:val="24"/>
          <w:lang w:val="es-ES" w:eastAsia="es-ES"/>
        </w:rPr>
        <w:t xml:space="preserve"> al fax XXXX-XXXXX / Dirección Ejecutiva a los correos </w:t>
      </w:r>
      <w:hyperlink r:id="rId6" w:history="1">
        <w:r w:rsidRPr="002A35C3">
          <w:rPr>
            <w:rFonts w:ascii="Verdana" w:hAnsi="Verdana" w:cs="Verdana"/>
            <w:sz w:val="24"/>
            <w:szCs w:val="24"/>
            <w:u w:val="single"/>
            <w:lang w:val="es-ES" w:eastAsia="es-ES"/>
          </w:rPr>
          <w:t>mfallas@ctp.go.cr</w:t>
        </w:r>
      </w:hyperlink>
      <w:r w:rsidRPr="002A35C3">
        <w:rPr>
          <w:rFonts w:ascii="Verdana" w:hAnsi="Verdana" w:cs="Verdana"/>
          <w:sz w:val="24"/>
          <w:szCs w:val="24"/>
          <w:lang w:val="es-ES" w:eastAsia="es-ES"/>
        </w:rPr>
        <w:t xml:space="preserve">, </w:t>
      </w:r>
      <w:hyperlink r:id="rId7" w:history="1">
        <w:r w:rsidRPr="002A35C3">
          <w:rPr>
            <w:rFonts w:ascii="Verdana" w:hAnsi="Verdana" w:cs="Verdana"/>
            <w:sz w:val="24"/>
            <w:szCs w:val="24"/>
            <w:u w:val="single"/>
            <w:lang w:val="es-ES" w:eastAsia="es-ES"/>
          </w:rPr>
          <w:t>sfonseca@ctp.go.cr</w:t>
        </w:r>
      </w:hyperlink>
      <w:r w:rsidRPr="002A35C3">
        <w:rPr>
          <w:rFonts w:ascii="Verdana" w:hAnsi="Verdana" w:cs="Verdana"/>
          <w:sz w:val="24"/>
          <w:szCs w:val="24"/>
          <w:lang w:val="es-ES" w:eastAsia="es-ES"/>
        </w:rPr>
        <w:t xml:space="preserve"> y </w:t>
      </w:r>
      <w:hyperlink r:id="rId8" w:history="1">
        <w:r w:rsidRPr="002A35C3">
          <w:rPr>
            <w:rFonts w:ascii="Verdana" w:hAnsi="Verdana" w:cs="Verdana"/>
            <w:sz w:val="24"/>
            <w:szCs w:val="24"/>
            <w:u w:val="single"/>
            <w:lang w:val="es-ES" w:eastAsia="es-ES"/>
          </w:rPr>
          <w:t>lrojas@ctp.go.cr</w:t>
        </w:r>
      </w:hyperlink>
      <w:r w:rsidRPr="002A35C3">
        <w:rPr>
          <w:rFonts w:ascii="Verdana" w:hAnsi="Verdana" w:cs="Verdana"/>
          <w:sz w:val="24"/>
          <w:szCs w:val="24"/>
          <w:lang w:val="es-ES" w:eastAsia="es-ES"/>
        </w:rPr>
        <w:t xml:space="preserve"> / Área Técnica al correo </w:t>
      </w:r>
      <w:hyperlink r:id="rId9" w:history="1">
        <w:r w:rsidRPr="002A35C3">
          <w:rPr>
            <w:rFonts w:ascii="Verdana" w:hAnsi="Verdana" w:cs="Verdana"/>
            <w:sz w:val="24"/>
            <w:szCs w:val="24"/>
            <w:u w:val="single"/>
            <w:lang w:val="es-ES" w:eastAsia="es-ES"/>
          </w:rPr>
          <w:t>aorozco@ctp.go.cr</w:t>
        </w:r>
      </w:hyperlink>
      <w:r w:rsidRPr="002A35C3">
        <w:rPr>
          <w:rFonts w:ascii="Verdana" w:hAnsi="Verdana" w:cs="Verdana"/>
          <w:sz w:val="24"/>
          <w:szCs w:val="24"/>
          <w:u w:val="single"/>
          <w:lang w:val="es-ES" w:eastAsia="es-ES"/>
        </w:rPr>
        <w:t xml:space="preserve"> </w:t>
      </w:r>
      <w:r w:rsidRPr="002A35C3">
        <w:rPr>
          <w:rFonts w:ascii="Verdana" w:hAnsi="Verdana" w:cs="Verdana"/>
          <w:sz w:val="24"/>
          <w:szCs w:val="24"/>
          <w:lang w:val="es-ES" w:eastAsia="es-ES"/>
        </w:rPr>
        <w:t xml:space="preserve">Dirección de Asuntos Jurídicos al correo </w:t>
      </w:r>
      <w:hyperlink r:id="rId10" w:history="1">
        <w:r w:rsidRPr="002A35C3">
          <w:rPr>
            <w:rFonts w:ascii="Verdana" w:hAnsi="Verdana" w:cs="Verdana"/>
            <w:sz w:val="24"/>
            <w:szCs w:val="24"/>
            <w:u w:val="single"/>
            <w:lang w:val="es-ES" w:eastAsia="es-ES"/>
          </w:rPr>
          <w:t>scerdas@ctp.go.cr</w:t>
        </w:r>
      </w:hyperlink>
      <w:r w:rsidRPr="002A35C3">
        <w:rPr>
          <w:rFonts w:ascii="Verdana" w:hAnsi="Verdana" w:cs="Verdana"/>
          <w:sz w:val="24"/>
          <w:szCs w:val="24"/>
          <w:u w:val="single"/>
          <w:lang w:val="es-ES" w:eastAsia="es-ES"/>
        </w:rPr>
        <w:t xml:space="preserve"> </w:t>
      </w:r>
      <w:r w:rsidRPr="002A35C3">
        <w:rPr>
          <w:rFonts w:ascii="Verdana" w:hAnsi="Verdana" w:cs="Verdana"/>
          <w:sz w:val="24"/>
          <w:szCs w:val="24"/>
          <w:lang w:val="es-ES" w:eastAsia="es-ES"/>
        </w:rPr>
        <w:t>Operadores contenidos</w:t>
      </w:r>
      <w:r>
        <w:rPr>
          <w:rFonts w:ascii="Verdana" w:hAnsi="Verdana" w:cs="Verdana"/>
          <w:sz w:val="24"/>
          <w:szCs w:val="24"/>
          <w:lang w:val="es-ES" w:eastAsia="es-ES"/>
        </w:rPr>
        <w:t xml:space="preserve"> en el cuadro del artículo 7.13 de la S.O. 20-2017</w:t>
      </w:r>
    </w:p>
    <w:p w:rsidR="00B37A2F" w:rsidRDefault="002A35C3">
      <w:pPr>
        <w:numPr>
          <w:ilvl w:val="0"/>
          <w:numId w:val="3"/>
        </w:numPr>
        <w:kinsoku w:val="0"/>
        <w:overflowPunct w:val="0"/>
        <w:autoSpaceDE/>
        <w:autoSpaceDN/>
        <w:adjustRightInd/>
        <w:spacing w:before="397" w:after="1585" w:line="284" w:lineRule="exact"/>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Se declara firme. -</w:t>
      </w:r>
    </w:p>
    <w:p w:rsidR="00B37A2F" w:rsidRDefault="00B37A2F">
      <w:pPr>
        <w:widowControl/>
        <w:rPr>
          <w:sz w:val="24"/>
          <w:szCs w:val="24"/>
        </w:rPr>
        <w:sectPr w:rsidR="00B37A2F">
          <w:pgSz w:w="12240" w:h="15840"/>
          <w:pgMar w:top="1240" w:right="2219" w:bottom="344" w:left="2261" w:header="720" w:footer="720" w:gutter="0"/>
          <w:cols w:space="720"/>
          <w:noEndnote/>
        </w:sectPr>
      </w:pPr>
    </w:p>
    <w:p w:rsidR="00B37A2F" w:rsidRDefault="00B37A2F">
      <w:pPr>
        <w:widowControl/>
        <w:rPr>
          <w:sz w:val="24"/>
          <w:szCs w:val="24"/>
        </w:rPr>
        <w:sectPr w:rsidR="00B37A2F">
          <w:type w:val="continuous"/>
          <w:pgSz w:w="12240" w:h="15840"/>
          <w:pgMar w:top="1240" w:right="1640" w:bottom="344" w:left="8020" w:header="720" w:footer="720" w:gutter="0"/>
          <w:cols w:space="720"/>
          <w:noEndnote/>
        </w:sectPr>
      </w:pPr>
    </w:p>
    <w:p w:rsidR="00B37A2F" w:rsidRDefault="002A35C3">
      <w:pPr>
        <w:kinsoku w:val="0"/>
        <w:overflowPunct w:val="0"/>
        <w:autoSpaceDE/>
        <w:autoSpaceDN/>
        <w:adjustRightInd/>
        <w:spacing w:before="55" w:line="329"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lastRenderedPageBreak/>
        <w:t xml:space="preserve">SEGUNDO: </w:t>
      </w:r>
      <w:r>
        <w:rPr>
          <w:rFonts w:ascii="Verdana" w:hAnsi="Verdana" w:cs="Verdana"/>
          <w:sz w:val="24"/>
          <w:szCs w:val="24"/>
          <w:lang w:val="es-ES" w:eastAsia="es-ES"/>
        </w:rPr>
        <w:t xml:space="preserve">La Recurrente impugna el acuerdo </w:t>
      </w:r>
      <w:r>
        <w:rPr>
          <w:rFonts w:ascii="Verdana" w:hAnsi="Verdana" w:cs="Verdana"/>
          <w:b/>
          <w:bCs/>
          <w:sz w:val="24"/>
          <w:szCs w:val="24"/>
          <w:lang w:val="es-ES" w:eastAsia="es-ES"/>
        </w:rPr>
        <w:t xml:space="preserve">7.23 de la Sesión Ordinaria 45-2017 de 22 de noviembre de 2017, </w:t>
      </w:r>
      <w:r>
        <w:rPr>
          <w:rFonts w:ascii="Verdana" w:hAnsi="Verdana" w:cs="Verdana"/>
          <w:sz w:val="24"/>
          <w:szCs w:val="24"/>
          <w:lang w:val="es-ES" w:eastAsia="es-ES"/>
        </w:rPr>
        <w:t xml:space="preserve">por considerar entre otros, que violenta la legalidad que existe falta de Legitimación de la C.N.D.A. en cuanto a su representación, errónea interpretación de la Ley 8279, por parte del CTP y el acto impugnado transgrede principios constitucionales como el de igualdad y además es materialmente imposible de cumplir. </w:t>
      </w:r>
      <w:r>
        <w:rPr>
          <w:rFonts w:ascii="Verdana" w:hAnsi="Verdana" w:cs="Verdana"/>
          <w:b/>
          <w:bCs/>
          <w:sz w:val="24"/>
          <w:szCs w:val="24"/>
          <w:lang w:val="es-ES" w:eastAsia="es-ES"/>
        </w:rPr>
        <w:t>(Ver folios del 27 al 39 del expediente administrativo)</w:t>
      </w:r>
    </w:p>
    <w:p w:rsidR="00B37A2F" w:rsidRDefault="002A35C3">
      <w:pPr>
        <w:kinsoku w:val="0"/>
        <w:overflowPunct w:val="0"/>
        <w:autoSpaceDE/>
        <w:autoSpaceDN/>
        <w:adjustRightInd/>
        <w:spacing w:before="392" w:line="329"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 xml:space="preserve">La empresa </w:t>
      </w:r>
      <w:r>
        <w:rPr>
          <w:rFonts w:ascii="Verdana" w:hAnsi="Verdana" w:cs="Verdana"/>
          <w:b/>
          <w:bCs/>
          <w:sz w:val="24"/>
          <w:szCs w:val="24"/>
          <w:lang w:val="es-ES" w:eastAsia="es-ES"/>
        </w:rPr>
        <w:t xml:space="preserve">T.Q.P.S.A., cédula jurídica …, </w:t>
      </w:r>
      <w:r>
        <w:rPr>
          <w:rFonts w:ascii="Verdana" w:hAnsi="Verdana" w:cs="Verdana"/>
          <w:sz w:val="24"/>
          <w:szCs w:val="24"/>
          <w:lang w:val="es-ES" w:eastAsia="es-ES"/>
        </w:rPr>
        <w:t xml:space="preserve">presenta ante el Consejo de Transporte Público el día 29 de octubre de 2018, escrito en el que desiste expresamente del recurso presentado contra el acuerdo </w:t>
      </w:r>
      <w:r>
        <w:rPr>
          <w:rFonts w:ascii="Verdana" w:hAnsi="Verdana" w:cs="Verdana"/>
          <w:b/>
          <w:bCs/>
          <w:sz w:val="24"/>
          <w:szCs w:val="24"/>
          <w:lang w:val="es-ES" w:eastAsia="es-ES"/>
        </w:rPr>
        <w:t xml:space="preserve">7.23 de la Sesión Ordinaria 45-2017 de 22 de noviembre de 2017, </w:t>
      </w:r>
      <w:r>
        <w:rPr>
          <w:rFonts w:ascii="Verdana" w:hAnsi="Verdana" w:cs="Verdana"/>
          <w:sz w:val="24"/>
          <w:szCs w:val="24"/>
          <w:lang w:val="es-ES" w:eastAsia="es-ES"/>
        </w:rPr>
        <w:t xml:space="preserve">debido a que según su dicho se han dado actos posteriores que hacen que el libelo carezca de interés actual. </w:t>
      </w:r>
      <w:r>
        <w:rPr>
          <w:rFonts w:ascii="Verdana" w:hAnsi="Verdana" w:cs="Verdana"/>
          <w:b/>
          <w:bCs/>
          <w:sz w:val="24"/>
          <w:szCs w:val="24"/>
          <w:lang w:val="es-ES" w:eastAsia="es-ES"/>
        </w:rPr>
        <w:t>(Ver folio 17 del expediente administrativo)</w:t>
      </w:r>
    </w:p>
    <w:p w:rsidR="00B37A2F" w:rsidRDefault="002A35C3">
      <w:pPr>
        <w:kinsoku w:val="0"/>
        <w:overflowPunct w:val="0"/>
        <w:autoSpaceDE/>
        <w:autoSpaceDN/>
        <w:adjustRightInd/>
        <w:spacing w:before="701" w:line="33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7.9.3 de la Sesión Ordinaria 40-2018 del 13 de noviembre de 2018, </w:t>
      </w:r>
      <w:r>
        <w:rPr>
          <w:rFonts w:ascii="Verdana" w:hAnsi="Verdana" w:cs="Verdana"/>
          <w:sz w:val="24"/>
          <w:szCs w:val="24"/>
          <w:lang w:val="es-ES" w:eastAsia="es-ES"/>
        </w:rPr>
        <w:t xml:space="preserve">conoce y avala oficios </w:t>
      </w:r>
      <w:r>
        <w:rPr>
          <w:rFonts w:ascii="Verdana" w:hAnsi="Verdana" w:cs="Verdana"/>
          <w:b/>
          <w:bCs/>
          <w:sz w:val="24"/>
          <w:szCs w:val="24"/>
          <w:lang w:val="es-ES" w:eastAsia="es-ES"/>
        </w:rPr>
        <w:t>DAJ 2018-002192 y DA) 2018</w:t>
      </w:r>
      <w:r>
        <w:rPr>
          <w:rFonts w:ascii="Verdana" w:hAnsi="Verdana" w:cs="Verdana"/>
          <w:b/>
          <w:bCs/>
          <w:sz w:val="24"/>
          <w:szCs w:val="24"/>
          <w:lang w:val="es-ES" w:eastAsia="es-ES"/>
        </w:rPr>
        <w:softHyphen/>
        <w:t xml:space="preserve">002201 ambos del 29 de octubre de 2018 </w:t>
      </w:r>
      <w:r>
        <w:rPr>
          <w:rFonts w:ascii="Verdana" w:hAnsi="Verdana" w:cs="Verdana"/>
          <w:sz w:val="24"/>
          <w:szCs w:val="24"/>
          <w:lang w:val="es-ES" w:eastAsia="es-ES"/>
        </w:rPr>
        <w:t>y acoge en cuanto al Recurso de Revocatoria el desistimiento y eleva ante el Tribunal el mismo, respecto del recurso de Apelación, para lo pertinente. (Ver Folios del 2 al 7 del expediente administrativo)</w:t>
      </w:r>
    </w:p>
    <w:p w:rsidR="00B37A2F" w:rsidRDefault="002A35C3">
      <w:pPr>
        <w:kinsoku w:val="0"/>
        <w:overflowPunct w:val="0"/>
        <w:autoSpaceDE/>
        <w:autoSpaceDN/>
        <w:adjustRightInd/>
        <w:spacing w:before="360" w:line="311"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QUINTO: </w:t>
      </w:r>
      <w:r>
        <w:rPr>
          <w:rFonts w:ascii="Verdana" w:hAnsi="Verdana" w:cs="Verdana"/>
          <w:sz w:val="24"/>
          <w:szCs w:val="24"/>
          <w:lang w:val="es-ES" w:eastAsia="es-ES"/>
        </w:rPr>
        <w:t>En los procedimientos se ha observado las prescripciones del caso.</w:t>
      </w:r>
    </w:p>
    <w:p w:rsidR="00B37A2F" w:rsidRDefault="002A35C3">
      <w:pPr>
        <w:kinsoku w:val="0"/>
        <w:overflowPunct w:val="0"/>
        <w:autoSpaceDE/>
        <w:autoSpaceDN/>
        <w:adjustRightInd/>
        <w:spacing w:before="392" w:line="301" w:lineRule="exact"/>
        <w:ind w:left="72" w:right="72"/>
        <w:textAlignment w:val="baseline"/>
        <w:rPr>
          <w:rFonts w:ascii="Verdana" w:hAnsi="Verdana" w:cs="Verdana"/>
          <w:b/>
          <w:bCs/>
          <w:i/>
          <w:iCs/>
          <w:spacing w:val="8"/>
          <w:sz w:val="24"/>
          <w:szCs w:val="24"/>
          <w:lang w:val="es-ES" w:eastAsia="es-ES"/>
        </w:rPr>
      </w:pPr>
      <w:r>
        <w:rPr>
          <w:rFonts w:ascii="Verdana" w:hAnsi="Verdana" w:cs="Verdana"/>
          <w:b/>
          <w:bCs/>
          <w:i/>
          <w:iCs/>
          <w:spacing w:val="8"/>
          <w:sz w:val="24"/>
          <w:szCs w:val="24"/>
          <w:lang w:val="es-ES" w:eastAsia="es-ES"/>
        </w:rPr>
        <w:t>REDACTA EL JUEZ MUÑOZ COREA,</w:t>
      </w:r>
    </w:p>
    <w:p w:rsidR="00B37A2F" w:rsidRDefault="002A35C3">
      <w:pPr>
        <w:kinsoku w:val="0"/>
        <w:overflowPunct w:val="0"/>
        <w:autoSpaceDE/>
        <w:autoSpaceDN/>
        <w:adjustRightInd/>
        <w:spacing w:before="362" w:line="322" w:lineRule="exact"/>
        <w:ind w:left="72" w:right="72"/>
        <w:jc w:val="center"/>
        <w:textAlignment w:val="baseline"/>
        <w:rPr>
          <w:rFonts w:ascii="Verdana" w:hAnsi="Verdana" w:cs="Verdana"/>
          <w:b/>
          <w:bCs/>
          <w:spacing w:val="7"/>
          <w:sz w:val="24"/>
          <w:szCs w:val="24"/>
          <w:lang w:val="es-ES" w:eastAsia="es-ES"/>
        </w:rPr>
      </w:pPr>
      <w:r>
        <w:rPr>
          <w:rFonts w:ascii="Verdana" w:hAnsi="Verdana" w:cs="Verdana"/>
          <w:b/>
          <w:bCs/>
          <w:spacing w:val="7"/>
          <w:sz w:val="24"/>
          <w:szCs w:val="24"/>
          <w:lang w:val="es-ES" w:eastAsia="es-ES"/>
        </w:rPr>
        <w:t>Considerando Único</w:t>
      </w:r>
    </w:p>
    <w:p w:rsidR="00B37A2F" w:rsidRDefault="002A35C3">
      <w:pPr>
        <w:kinsoku w:val="0"/>
        <w:overflowPunct w:val="0"/>
        <w:autoSpaceDE/>
        <w:autoSpaceDN/>
        <w:adjustRightInd/>
        <w:spacing w:before="368" w:after="748" w:line="330"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ha podido verificar de los resultandos de esta resolución, la empresa de Transporte Remunerado de Personas en la Modalidad Autobús </w:t>
      </w:r>
      <w:r>
        <w:rPr>
          <w:rFonts w:ascii="Verdana" w:hAnsi="Verdana" w:cs="Verdana"/>
          <w:b/>
          <w:bCs/>
          <w:sz w:val="24"/>
          <w:szCs w:val="24"/>
          <w:lang w:val="es-ES" w:eastAsia="es-ES"/>
        </w:rPr>
        <w:t xml:space="preserve">T.Q.P.S.A., cédula jurídica …, </w:t>
      </w:r>
      <w:r>
        <w:rPr>
          <w:rFonts w:ascii="Verdana" w:hAnsi="Verdana" w:cs="Verdana"/>
          <w:sz w:val="24"/>
          <w:szCs w:val="24"/>
          <w:lang w:val="es-ES" w:eastAsia="es-ES"/>
        </w:rPr>
        <w:t xml:space="preserve">recurre contra el </w:t>
      </w:r>
      <w:r>
        <w:rPr>
          <w:rFonts w:ascii="Verdana" w:hAnsi="Verdana" w:cs="Verdana"/>
          <w:b/>
          <w:bCs/>
          <w:sz w:val="24"/>
          <w:szCs w:val="24"/>
          <w:lang w:val="es-ES" w:eastAsia="es-ES"/>
        </w:rPr>
        <w:t>Artículo 7.23 de la Sesión</w:t>
      </w:r>
    </w:p>
    <w:p w:rsidR="00B37A2F" w:rsidRDefault="00B37A2F">
      <w:pPr>
        <w:widowControl/>
        <w:rPr>
          <w:sz w:val="24"/>
          <w:szCs w:val="24"/>
        </w:rPr>
        <w:sectPr w:rsidR="00B37A2F">
          <w:pgSz w:w="12240" w:h="15840"/>
          <w:pgMar w:top="1460" w:right="1595" w:bottom="230" w:left="1625" w:header="720" w:footer="720" w:gutter="0"/>
          <w:cols w:space="720"/>
          <w:noEndnote/>
        </w:sectPr>
      </w:pPr>
    </w:p>
    <w:p w:rsidR="00B37A2F" w:rsidRDefault="00B37A2F">
      <w:pPr>
        <w:widowControl/>
        <w:rPr>
          <w:sz w:val="24"/>
          <w:szCs w:val="24"/>
        </w:rPr>
        <w:sectPr w:rsidR="00B37A2F">
          <w:type w:val="continuous"/>
          <w:pgSz w:w="12240" w:h="15840"/>
          <w:pgMar w:top="1460" w:right="1660" w:bottom="230" w:left="8000" w:header="720" w:footer="720" w:gutter="0"/>
          <w:cols w:space="720"/>
          <w:noEndnote/>
        </w:sectPr>
      </w:pPr>
    </w:p>
    <w:p w:rsidR="00B37A2F" w:rsidRDefault="002A35C3">
      <w:pPr>
        <w:kinsoku w:val="0"/>
        <w:overflowPunct w:val="0"/>
        <w:autoSpaceDE/>
        <w:autoSpaceDN/>
        <w:adjustRightInd/>
        <w:spacing w:before="15" w:line="338" w:lineRule="exact"/>
        <w:ind w:left="144" w:right="144"/>
        <w:jc w:val="both"/>
        <w:textAlignment w:val="baseline"/>
        <w:rPr>
          <w:rFonts w:ascii="Verdana" w:hAnsi="Verdana" w:cs="Verdana"/>
          <w:b/>
          <w:bCs/>
          <w:i/>
          <w:iCs/>
          <w:spacing w:val="1"/>
          <w:sz w:val="24"/>
          <w:szCs w:val="24"/>
          <w:u w:val="single"/>
          <w:lang w:val="es-ES" w:eastAsia="es-ES"/>
        </w:rPr>
      </w:pPr>
      <w:r>
        <w:rPr>
          <w:rFonts w:ascii="Verdana" w:hAnsi="Verdana" w:cs="Verdana"/>
          <w:b/>
          <w:bCs/>
          <w:spacing w:val="1"/>
          <w:sz w:val="24"/>
          <w:szCs w:val="24"/>
          <w:lang w:val="es-ES" w:eastAsia="es-ES"/>
        </w:rPr>
        <w:lastRenderedPageBreak/>
        <w:t xml:space="preserve">Ordinaria 45-2017 de 22 de noviembre de 2017 </w:t>
      </w:r>
      <w:r>
        <w:rPr>
          <w:rFonts w:ascii="Verdana" w:hAnsi="Verdana" w:cs="Verdana"/>
          <w:spacing w:val="1"/>
          <w:sz w:val="24"/>
          <w:szCs w:val="24"/>
          <w:lang w:val="es-ES" w:eastAsia="es-ES"/>
        </w:rPr>
        <w:t xml:space="preserve">en el que el Consejo de Transporte Público dispusiera que los </w:t>
      </w:r>
      <w:r>
        <w:rPr>
          <w:rFonts w:ascii="Verdana" w:hAnsi="Verdana" w:cs="Verdana"/>
          <w:b/>
          <w:bCs/>
          <w:spacing w:val="1"/>
          <w:sz w:val="24"/>
          <w:szCs w:val="24"/>
          <w:lang w:val="es-ES" w:eastAsia="es-ES"/>
        </w:rPr>
        <w:t xml:space="preserve">Estudios de Calidad del año 2016 </w:t>
      </w:r>
      <w:r>
        <w:rPr>
          <w:rFonts w:ascii="Verdana" w:hAnsi="Verdana" w:cs="Verdana"/>
          <w:spacing w:val="1"/>
          <w:sz w:val="24"/>
          <w:szCs w:val="24"/>
          <w:lang w:val="es-ES" w:eastAsia="es-ES"/>
        </w:rPr>
        <w:t xml:space="preserve">debían ser validados por un organismo acreditado por el </w:t>
      </w:r>
      <w:r>
        <w:rPr>
          <w:rFonts w:ascii="Verdana" w:hAnsi="Verdana" w:cs="Verdana"/>
          <w:b/>
          <w:bCs/>
          <w:spacing w:val="1"/>
          <w:sz w:val="24"/>
          <w:szCs w:val="24"/>
          <w:lang w:val="es-ES" w:eastAsia="es-ES"/>
        </w:rPr>
        <w:t xml:space="preserve">ECA; Aspecto que (revisados registros con que cuenta este Tribunal) al </w:t>
      </w:r>
      <w:r>
        <w:rPr>
          <w:rFonts w:ascii="Verdana" w:hAnsi="Verdana" w:cs="Verdana"/>
          <w:b/>
          <w:bCs/>
          <w:i/>
          <w:iCs/>
          <w:spacing w:val="1"/>
          <w:sz w:val="24"/>
          <w:szCs w:val="24"/>
          <w:lang w:val="es-ES" w:eastAsia="es-ES"/>
        </w:rPr>
        <w:t xml:space="preserve">final la Recurrente </w:t>
      </w:r>
      <w:r>
        <w:rPr>
          <w:rFonts w:ascii="Verdana" w:hAnsi="Verdana" w:cs="Verdana"/>
          <w:b/>
          <w:bCs/>
          <w:i/>
          <w:iCs/>
          <w:spacing w:val="1"/>
          <w:sz w:val="24"/>
          <w:szCs w:val="24"/>
          <w:u w:val="single"/>
          <w:lang w:val="es-ES" w:eastAsia="es-ES"/>
        </w:rPr>
        <w:t xml:space="preserve">CUMPLIÓ AL </w:t>
      </w:r>
      <w:proofErr w:type="gramStart"/>
      <w:r>
        <w:rPr>
          <w:rFonts w:ascii="Verdana" w:hAnsi="Verdana" w:cs="Verdana"/>
          <w:b/>
          <w:bCs/>
          <w:i/>
          <w:iCs/>
          <w:spacing w:val="1"/>
          <w:sz w:val="24"/>
          <w:szCs w:val="24"/>
          <w:u w:val="single"/>
          <w:lang w:val="es-ES" w:eastAsia="es-ES"/>
        </w:rPr>
        <w:t>PRESENTAR  TALES</w:t>
      </w:r>
      <w:proofErr w:type="gramEnd"/>
      <w:r>
        <w:rPr>
          <w:rFonts w:ascii="Verdana" w:hAnsi="Verdana" w:cs="Verdana"/>
          <w:b/>
          <w:bCs/>
          <w:i/>
          <w:iCs/>
          <w:spacing w:val="1"/>
          <w:sz w:val="24"/>
          <w:szCs w:val="24"/>
          <w:u w:val="single"/>
          <w:lang w:val="es-ES" w:eastAsia="es-ES"/>
        </w:rPr>
        <w:t xml:space="preserve"> ESTUDIOS, SIENDO REALIZADOS (AVALADOS) LOS MISMOS POR UN ORGANISMO ACREDITADO y FUERON APROBADOS POR LA ADMINISTRACIÓN. </w:t>
      </w:r>
    </w:p>
    <w:p w:rsidR="00B37A2F" w:rsidRDefault="002A35C3">
      <w:pPr>
        <w:kinsoku w:val="0"/>
        <w:overflowPunct w:val="0"/>
        <w:autoSpaceDE/>
        <w:autoSpaceDN/>
        <w:adjustRightInd/>
        <w:spacing w:before="339" w:line="339" w:lineRule="exact"/>
        <w:ind w:left="144" w:right="36"/>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La empresa </w:t>
      </w:r>
      <w:r>
        <w:rPr>
          <w:rFonts w:ascii="Verdana" w:hAnsi="Verdana" w:cs="Verdana"/>
          <w:b/>
          <w:bCs/>
          <w:spacing w:val="-2"/>
          <w:sz w:val="24"/>
          <w:szCs w:val="24"/>
          <w:lang w:val="es-ES" w:eastAsia="es-ES"/>
        </w:rPr>
        <w:t xml:space="preserve">T.Q.P.S.A., cédula jurídica …, </w:t>
      </w:r>
      <w:r>
        <w:rPr>
          <w:rFonts w:ascii="Verdana" w:hAnsi="Verdana" w:cs="Verdana"/>
          <w:spacing w:val="-2"/>
          <w:sz w:val="24"/>
          <w:szCs w:val="24"/>
          <w:lang w:val="es-ES" w:eastAsia="es-ES"/>
        </w:rPr>
        <w:t xml:space="preserve">presenta ante el Consejo de Transporte Público el día 29 de octubre de 2018 escrito en el que desiste expresamente del recurso presentado contra el acuerdo </w:t>
      </w:r>
      <w:r>
        <w:rPr>
          <w:rFonts w:ascii="Verdana" w:hAnsi="Verdana" w:cs="Verdana"/>
          <w:b/>
          <w:bCs/>
          <w:spacing w:val="-2"/>
          <w:sz w:val="24"/>
          <w:szCs w:val="24"/>
          <w:lang w:val="es-ES" w:eastAsia="es-ES"/>
        </w:rPr>
        <w:t>7.23 de la Sesión Ordinaria 45</w:t>
      </w:r>
      <w:r>
        <w:rPr>
          <w:rFonts w:ascii="Verdana" w:hAnsi="Verdana" w:cs="Verdana"/>
          <w:b/>
          <w:bCs/>
          <w:spacing w:val="-2"/>
          <w:sz w:val="24"/>
          <w:szCs w:val="24"/>
          <w:lang w:val="es-ES" w:eastAsia="es-ES"/>
        </w:rPr>
        <w:softHyphen/>
        <w:t xml:space="preserve">2017 de 22 de noviembre de 2017, </w:t>
      </w:r>
      <w:r>
        <w:rPr>
          <w:rFonts w:ascii="Verdana" w:hAnsi="Verdana" w:cs="Verdana"/>
          <w:spacing w:val="-2"/>
          <w:sz w:val="24"/>
          <w:szCs w:val="24"/>
          <w:lang w:val="es-ES" w:eastAsia="es-ES"/>
        </w:rPr>
        <w:t>debido a que según su dicho se han dado actos posteriores que hacen que el libelo carezca de interés actual.</w:t>
      </w:r>
    </w:p>
    <w:p w:rsidR="00B37A2F" w:rsidRDefault="002A35C3">
      <w:pPr>
        <w:kinsoku w:val="0"/>
        <w:overflowPunct w:val="0"/>
        <w:autoSpaceDE/>
        <w:autoSpaceDN/>
        <w:adjustRightInd/>
        <w:spacing w:before="326" w:line="339" w:lineRule="exact"/>
        <w:ind w:left="144" w:right="36"/>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7.9.3 de la Sesión Ordinaria 40-2018 del 13 de noviembre de 2018, </w:t>
      </w:r>
      <w:r>
        <w:rPr>
          <w:rFonts w:ascii="Verdana" w:hAnsi="Verdana" w:cs="Verdana"/>
          <w:sz w:val="24"/>
          <w:szCs w:val="24"/>
          <w:lang w:val="es-ES" w:eastAsia="es-ES"/>
        </w:rPr>
        <w:t xml:space="preserve">conoce y avala oficios </w:t>
      </w:r>
      <w:r>
        <w:rPr>
          <w:rFonts w:ascii="Verdana" w:hAnsi="Verdana" w:cs="Verdana"/>
          <w:b/>
          <w:bCs/>
          <w:sz w:val="24"/>
          <w:szCs w:val="24"/>
          <w:lang w:val="es-ES" w:eastAsia="es-ES"/>
        </w:rPr>
        <w:t xml:space="preserve">DAJ 2018-002192 y DAJ 2018-002201 ambos del 29 de octubre de 2018 </w:t>
      </w:r>
      <w:r>
        <w:rPr>
          <w:rFonts w:ascii="Verdana" w:hAnsi="Verdana" w:cs="Verdana"/>
          <w:sz w:val="24"/>
          <w:szCs w:val="24"/>
          <w:lang w:val="es-ES" w:eastAsia="es-ES"/>
        </w:rPr>
        <w:t>y acoge en cuanto al Recurso de Revocatoria el desistimiento y eleva ante el Tribunal el mismo respecto del recurso de Apelación, para lo pertinente.</w:t>
      </w:r>
    </w:p>
    <w:p w:rsidR="00B37A2F" w:rsidRDefault="002A35C3">
      <w:pPr>
        <w:kinsoku w:val="0"/>
        <w:overflowPunct w:val="0"/>
        <w:autoSpaceDE/>
        <w:autoSpaceDN/>
        <w:adjustRightInd/>
        <w:spacing w:before="331" w:line="291" w:lineRule="exact"/>
        <w:ind w:left="144" w:right="36"/>
        <w:jc w:val="both"/>
        <w:textAlignment w:val="baseline"/>
        <w:rPr>
          <w:rFonts w:ascii="Verdana" w:hAnsi="Verdana" w:cs="Verdana"/>
          <w:sz w:val="24"/>
          <w:szCs w:val="24"/>
          <w:lang w:val="es-ES" w:eastAsia="es-ES"/>
        </w:rPr>
      </w:pPr>
      <w:r>
        <w:rPr>
          <w:rFonts w:ascii="Verdana" w:hAnsi="Verdana" w:cs="Verdana"/>
          <w:sz w:val="24"/>
          <w:szCs w:val="24"/>
          <w:lang w:val="es-ES" w:eastAsia="es-ES"/>
        </w:rPr>
        <w:t>Visto lo anterior y de conformidad con el artículo 337 de la Ley General de la Administración Pública existe la figura del Desistimiento como una forma anormal de terminación del procedimiento administrativo, al respecto reza el citado numeral:</w:t>
      </w:r>
    </w:p>
    <w:p w:rsidR="00B37A2F" w:rsidRDefault="002A35C3">
      <w:pPr>
        <w:kinsoku w:val="0"/>
        <w:overflowPunct w:val="0"/>
        <w:autoSpaceDE/>
        <w:autoSpaceDN/>
        <w:adjustRightInd/>
        <w:spacing w:before="299" w:line="287" w:lineRule="exact"/>
        <w:ind w:right="36"/>
        <w:jc w:val="right"/>
        <w:textAlignment w:val="baseline"/>
        <w:rPr>
          <w:rFonts w:ascii="Verdana" w:hAnsi="Verdana" w:cs="Verdana"/>
          <w:b/>
          <w:bCs/>
          <w:i/>
          <w:iCs/>
          <w:spacing w:val="15"/>
          <w:sz w:val="24"/>
          <w:szCs w:val="24"/>
          <w:u w:val="single"/>
          <w:lang w:val="es-ES" w:eastAsia="es-ES"/>
        </w:rPr>
      </w:pPr>
      <w:r>
        <w:rPr>
          <w:rFonts w:ascii="Verdana" w:hAnsi="Verdana" w:cs="Verdana"/>
          <w:i/>
          <w:iCs/>
          <w:spacing w:val="15"/>
          <w:sz w:val="24"/>
          <w:szCs w:val="24"/>
          <w:lang w:val="es-ES" w:eastAsia="es-ES"/>
        </w:rPr>
        <w:t xml:space="preserve">"Artículo 337. 1. </w:t>
      </w:r>
      <w:r>
        <w:rPr>
          <w:rFonts w:ascii="Verdana" w:hAnsi="Verdana" w:cs="Verdana"/>
          <w:b/>
          <w:bCs/>
          <w:i/>
          <w:iCs/>
          <w:spacing w:val="15"/>
          <w:sz w:val="24"/>
          <w:szCs w:val="24"/>
          <w:u w:val="single"/>
          <w:lang w:val="es-ES" w:eastAsia="es-ES"/>
        </w:rPr>
        <w:t>Todo interesado podrá desistir de su</w:t>
      </w:r>
    </w:p>
    <w:p w:rsidR="00B37A2F" w:rsidRDefault="002A35C3">
      <w:pPr>
        <w:kinsoku w:val="0"/>
        <w:overflowPunct w:val="0"/>
        <w:autoSpaceDE/>
        <w:autoSpaceDN/>
        <w:adjustRightInd/>
        <w:spacing w:line="288" w:lineRule="exact"/>
        <w:ind w:left="1080" w:right="36"/>
        <w:textAlignment w:val="baseline"/>
        <w:rPr>
          <w:rFonts w:ascii="Verdana" w:hAnsi="Verdana" w:cs="Verdana"/>
          <w:b/>
          <w:bCs/>
          <w:i/>
          <w:iCs/>
          <w:spacing w:val="-1"/>
          <w:sz w:val="24"/>
          <w:szCs w:val="24"/>
          <w:u w:val="single"/>
          <w:lang w:val="es-ES" w:eastAsia="es-ES"/>
        </w:rPr>
      </w:pPr>
      <w:r>
        <w:rPr>
          <w:rFonts w:ascii="Verdana" w:hAnsi="Verdana" w:cs="Verdana"/>
          <w:b/>
          <w:bCs/>
          <w:i/>
          <w:iCs/>
          <w:spacing w:val="-1"/>
          <w:sz w:val="24"/>
          <w:szCs w:val="24"/>
          <w:u w:val="single"/>
          <w:lang w:val="es-ES" w:eastAsia="es-ES"/>
        </w:rPr>
        <w:t>petición, instancia o recurso.</w:t>
      </w:r>
    </w:p>
    <w:p w:rsidR="00B37A2F" w:rsidRDefault="002A35C3">
      <w:pPr>
        <w:kinsoku w:val="0"/>
        <w:overflowPunct w:val="0"/>
        <w:autoSpaceDE/>
        <w:autoSpaceDN/>
        <w:adjustRightInd/>
        <w:spacing w:before="3" w:line="289" w:lineRule="exact"/>
        <w:ind w:right="36"/>
        <w:jc w:val="right"/>
        <w:textAlignment w:val="baseline"/>
        <w:rPr>
          <w:rFonts w:ascii="Verdana" w:hAnsi="Verdana" w:cs="Verdana"/>
          <w:i/>
          <w:iCs/>
          <w:spacing w:val="-2"/>
          <w:sz w:val="24"/>
          <w:szCs w:val="24"/>
          <w:lang w:val="es-ES" w:eastAsia="es-ES"/>
        </w:rPr>
      </w:pPr>
      <w:r>
        <w:rPr>
          <w:rFonts w:ascii="Verdana" w:hAnsi="Verdana" w:cs="Verdana"/>
          <w:i/>
          <w:iCs/>
          <w:spacing w:val="-2"/>
          <w:sz w:val="24"/>
          <w:szCs w:val="24"/>
          <w:lang w:val="es-ES" w:eastAsia="es-ES"/>
        </w:rPr>
        <w:t>2. También podrá todo interesado renunciar a su derecho, cuando</w:t>
      </w:r>
    </w:p>
    <w:p w:rsidR="00B37A2F" w:rsidRDefault="002A35C3">
      <w:pPr>
        <w:tabs>
          <w:tab w:val="right" w:pos="8856"/>
        </w:tabs>
        <w:kinsoku w:val="0"/>
        <w:overflowPunct w:val="0"/>
        <w:autoSpaceDE/>
        <w:autoSpaceDN/>
        <w:adjustRightInd/>
        <w:spacing w:line="301" w:lineRule="exact"/>
        <w:ind w:left="1080" w:right="36"/>
        <w:textAlignment w:val="baseline"/>
        <w:rPr>
          <w:rFonts w:ascii="Verdana" w:hAnsi="Verdana" w:cs="Verdana"/>
          <w:i/>
          <w:iCs/>
          <w:sz w:val="24"/>
          <w:szCs w:val="24"/>
          <w:lang w:val="es-ES" w:eastAsia="es-ES"/>
        </w:rPr>
      </w:pPr>
      <w:r>
        <w:rPr>
          <w:rFonts w:ascii="Verdana" w:hAnsi="Verdana" w:cs="Verdana"/>
          <w:i/>
          <w:iCs/>
          <w:sz w:val="24"/>
          <w:szCs w:val="24"/>
          <w:lang w:val="es-ES" w:eastAsia="es-ES"/>
        </w:rPr>
        <w:t>sea</w:t>
      </w:r>
      <w:r>
        <w:rPr>
          <w:rFonts w:ascii="Verdana" w:hAnsi="Verdana" w:cs="Verdana"/>
          <w:i/>
          <w:iCs/>
          <w:sz w:val="24"/>
          <w:szCs w:val="24"/>
          <w:lang w:val="es-ES" w:eastAsia="es-ES"/>
        </w:rPr>
        <w:tab/>
        <w:t>renunciable." (el subrayado y negrita no es del original)</w:t>
      </w:r>
    </w:p>
    <w:p w:rsidR="00B37A2F" w:rsidRDefault="002A35C3" w:rsidP="002A35C3">
      <w:pPr>
        <w:kinsoku w:val="0"/>
        <w:overflowPunct w:val="0"/>
        <w:autoSpaceDE/>
        <w:autoSpaceDN/>
        <w:adjustRightInd/>
        <w:spacing w:before="584" w:after="758" w:line="293" w:lineRule="exact"/>
        <w:ind w:left="144" w:right="36"/>
        <w:jc w:val="both"/>
        <w:textAlignment w:val="baseline"/>
        <w:rPr>
          <w:rFonts w:ascii="Verdana" w:hAnsi="Verdana" w:cs="Verdana"/>
          <w:spacing w:val="-2"/>
          <w:sz w:val="24"/>
          <w:szCs w:val="24"/>
          <w:lang w:val="es-ES" w:eastAsia="es-ES"/>
        </w:rPr>
      </w:pPr>
      <w:proofErr w:type="gramStart"/>
      <w:r>
        <w:rPr>
          <w:rFonts w:ascii="Verdana" w:hAnsi="Verdana" w:cs="Verdana"/>
          <w:spacing w:val="-2"/>
          <w:sz w:val="24"/>
          <w:szCs w:val="24"/>
          <w:lang w:val="es-ES" w:eastAsia="es-ES"/>
        </w:rPr>
        <w:t>Asimismo</w:t>
      </w:r>
      <w:proofErr w:type="gramEnd"/>
      <w:r>
        <w:rPr>
          <w:rFonts w:ascii="Verdana" w:hAnsi="Verdana" w:cs="Verdana"/>
          <w:spacing w:val="-2"/>
          <w:sz w:val="24"/>
          <w:szCs w:val="24"/>
          <w:lang w:val="es-ES" w:eastAsia="es-ES"/>
        </w:rPr>
        <w:t xml:space="preserve"> de conformidad con el artículo 181 de la Ley General de la Administración Pública, el actuar de este Órgano Colegiado como jerarca impropio se enmarca dentro de las pretensiones y cuestiones alegadas por las partes y siendo que la recurrente indica que desiste de su gestión por cuanto en la actualidad la misma carece de interés actual, para este</w:t>
      </w:r>
    </w:p>
    <w:p w:rsidR="00B37A2F" w:rsidRDefault="00B37A2F">
      <w:pPr>
        <w:widowControl/>
        <w:rPr>
          <w:sz w:val="24"/>
          <w:szCs w:val="24"/>
        </w:rPr>
        <w:sectPr w:rsidR="00B37A2F">
          <w:pgSz w:w="12240" w:h="15840"/>
          <w:pgMar w:top="1220" w:right="1574" w:bottom="344" w:left="1646" w:header="720" w:footer="720" w:gutter="0"/>
          <w:cols w:space="720"/>
          <w:noEndnote/>
        </w:sectPr>
      </w:pPr>
    </w:p>
    <w:p w:rsidR="00B37A2F" w:rsidRDefault="00B37A2F">
      <w:pPr>
        <w:widowControl/>
        <w:rPr>
          <w:sz w:val="24"/>
          <w:szCs w:val="24"/>
        </w:rPr>
        <w:sectPr w:rsidR="00B37A2F">
          <w:type w:val="continuous"/>
          <w:pgSz w:w="12240" w:h="15840"/>
          <w:pgMar w:top="1220" w:right="1623" w:bottom="344" w:left="8037" w:header="720" w:footer="720" w:gutter="0"/>
          <w:cols w:space="720"/>
          <w:noEndnote/>
        </w:sectPr>
      </w:pPr>
    </w:p>
    <w:p w:rsidR="00B37A2F" w:rsidRDefault="002A35C3">
      <w:pPr>
        <w:kinsoku w:val="0"/>
        <w:overflowPunct w:val="0"/>
        <w:autoSpaceDE/>
        <w:autoSpaceDN/>
        <w:adjustRightInd/>
        <w:spacing w:line="294"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Tribunal no queda más que tener por desistido el presente Recurso de Apelación y ordenar su archivo.</w:t>
      </w:r>
    </w:p>
    <w:p w:rsidR="00B37A2F" w:rsidRDefault="002A35C3">
      <w:pPr>
        <w:kinsoku w:val="0"/>
        <w:overflowPunct w:val="0"/>
        <w:autoSpaceDE/>
        <w:autoSpaceDN/>
        <w:adjustRightInd/>
        <w:spacing w:before="325" w:line="294" w:lineRule="exact"/>
        <w:ind w:left="72"/>
        <w:jc w:val="center"/>
        <w:textAlignment w:val="baseline"/>
        <w:rPr>
          <w:rFonts w:ascii="Verdana" w:hAnsi="Verdana" w:cs="Verdana"/>
          <w:b/>
          <w:bCs/>
          <w:spacing w:val="5"/>
          <w:sz w:val="24"/>
          <w:szCs w:val="24"/>
          <w:lang w:val="es-ES" w:eastAsia="es-ES"/>
        </w:rPr>
      </w:pPr>
      <w:r>
        <w:rPr>
          <w:rFonts w:ascii="Verdana" w:hAnsi="Verdana" w:cs="Verdana"/>
          <w:b/>
          <w:bCs/>
          <w:spacing w:val="5"/>
          <w:sz w:val="24"/>
          <w:szCs w:val="24"/>
          <w:lang w:val="es-ES" w:eastAsia="es-ES"/>
        </w:rPr>
        <w:lastRenderedPageBreak/>
        <w:t>POR TANTO</w:t>
      </w:r>
    </w:p>
    <w:p w:rsidR="00B37A2F" w:rsidRDefault="002A35C3">
      <w:pPr>
        <w:numPr>
          <w:ilvl w:val="0"/>
          <w:numId w:val="4"/>
        </w:numPr>
        <w:kinsoku w:val="0"/>
        <w:overflowPunct w:val="0"/>
        <w:autoSpaceDE/>
        <w:autoSpaceDN/>
        <w:adjustRightInd/>
        <w:spacing w:before="375" w:line="294" w:lineRule="exact"/>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Se acoge el Desistimiento presentado y se ordena el Archivo del </w:t>
      </w:r>
      <w:r>
        <w:rPr>
          <w:rFonts w:ascii="Verdana" w:hAnsi="Verdana" w:cs="Verdana"/>
          <w:b/>
          <w:bCs/>
          <w:spacing w:val="-3"/>
          <w:sz w:val="24"/>
          <w:szCs w:val="24"/>
          <w:lang w:val="es-ES" w:eastAsia="es-ES"/>
        </w:rPr>
        <w:t xml:space="preserve">RECURSO DE APELACIÓN EN SUBSIDIO Y NULIDAD CONCOMITANTE, </w:t>
      </w:r>
      <w:r>
        <w:rPr>
          <w:rFonts w:ascii="Verdana" w:hAnsi="Verdana" w:cs="Verdana"/>
          <w:spacing w:val="-3"/>
          <w:sz w:val="24"/>
          <w:szCs w:val="24"/>
          <w:lang w:val="es-ES" w:eastAsia="es-ES"/>
        </w:rPr>
        <w:t xml:space="preserve">presentado por la empresa </w:t>
      </w:r>
      <w:r>
        <w:rPr>
          <w:rFonts w:ascii="Verdana" w:hAnsi="Verdana" w:cs="Verdana"/>
          <w:b/>
          <w:bCs/>
          <w:spacing w:val="-3"/>
          <w:sz w:val="24"/>
          <w:szCs w:val="24"/>
          <w:lang w:val="es-ES" w:eastAsia="es-ES"/>
        </w:rPr>
        <w:t xml:space="preserve">T.Q.P.S.A., cédula jurídica …, </w:t>
      </w:r>
      <w:r>
        <w:rPr>
          <w:rFonts w:ascii="Verdana" w:hAnsi="Verdana" w:cs="Verdana"/>
          <w:spacing w:val="-3"/>
          <w:sz w:val="24"/>
          <w:szCs w:val="24"/>
          <w:lang w:val="es-ES" w:eastAsia="es-ES"/>
        </w:rPr>
        <w:t xml:space="preserve">representada por su Apoderado Judicial y Extrajudicial señor </w:t>
      </w:r>
      <w:r>
        <w:rPr>
          <w:rFonts w:ascii="Verdana" w:hAnsi="Verdana" w:cs="Verdana"/>
          <w:b/>
          <w:bCs/>
          <w:spacing w:val="-3"/>
          <w:sz w:val="24"/>
          <w:szCs w:val="24"/>
          <w:lang w:val="es-ES" w:eastAsia="es-ES"/>
        </w:rPr>
        <w:t xml:space="preserve">M.S.S.K., cédula de identidad número …, contra el Artículo 7.23 de la Sesión Ordinaria 45-2017 de 22 de noviembre de 2017 </w:t>
      </w:r>
      <w:r>
        <w:rPr>
          <w:rFonts w:ascii="Verdana" w:hAnsi="Verdana" w:cs="Verdana"/>
          <w:spacing w:val="-3"/>
          <w:sz w:val="24"/>
          <w:szCs w:val="24"/>
          <w:lang w:val="es-ES" w:eastAsia="es-ES"/>
        </w:rPr>
        <w:t>dictado por la Junta Directiva del Consejo de Transporte Público.</w:t>
      </w:r>
    </w:p>
    <w:p w:rsidR="00B37A2F" w:rsidRDefault="002A35C3">
      <w:pPr>
        <w:numPr>
          <w:ilvl w:val="0"/>
          <w:numId w:val="5"/>
        </w:numPr>
        <w:kinsoku w:val="0"/>
        <w:overflowPunct w:val="0"/>
        <w:autoSpaceDE/>
        <w:autoSpaceDN/>
        <w:adjustRightInd/>
        <w:spacing w:before="296" w:line="290" w:lineRule="exact"/>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Por carecer la presente resolución de ulterior recurso en sede administrativa, de conformidad con los artículos 16 y 22 inciso c) de la Ley 7969, </w:t>
      </w:r>
      <w:r>
        <w:rPr>
          <w:rFonts w:ascii="Verdana" w:hAnsi="Verdana" w:cs="Verdana"/>
          <w:i/>
          <w:iCs/>
          <w:sz w:val="24"/>
          <w:szCs w:val="24"/>
          <w:lang w:val="es-ES" w:eastAsia="es-ES"/>
        </w:rPr>
        <w:t>se da por agotada la vía administrativa.</w:t>
      </w:r>
    </w:p>
    <w:p w:rsidR="002A35C3" w:rsidRDefault="002A35C3" w:rsidP="002A35C3">
      <w:pPr>
        <w:kinsoku w:val="0"/>
        <w:overflowPunct w:val="0"/>
        <w:autoSpaceDE/>
        <w:autoSpaceDN/>
        <w:adjustRightInd/>
        <w:spacing w:before="282" w:after="225" w:line="294" w:lineRule="exact"/>
        <w:ind w:left="72"/>
        <w:textAlignment w:val="baseline"/>
        <w:rPr>
          <w:rFonts w:ascii="Verdana" w:hAnsi="Verdana" w:cs="Verdana"/>
          <w:b/>
          <w:bCs/>
          <w:spacing w:val="-2"/>
          <w:sz w:val="24"/>
          <w:szCs w:val="24"/>
          <w:lang w:val="es-ES" w:eastAsia="es-ES"/>
        </w:rPr>
      </w:pPr>
      <w:proofErr w:type="gramStart"/>
      <w:r>
        <w:rPr>
          <w:rFonts w:ascii="Verdana" w:hAnsi="Verdana" w:cs="Verdana"/>
          <w:b/>
          <w:bCs/>
          <w:spacing w:val="-2"/>
          <w:sz w:val="24"/>
          <w:szCs w:val="24"/>
          <w:lang w:val="es-ES" w:eastAsia="es-ES"/>
        </w:rPr>
        <w:t>NOTIFIQUESE.-</w:t>
      </w:r>
      <w:proofErr w:type="gramEnd"/>
    </w:p>
    <w:p w:rsidR="002A35C3" w:rsidRDefault="002A35C3" w:rsidP="002A35C3">
      <w:pPr>
        <w:kinsoku w:val="0"/>
        <w:overflowPunct w:val="0"/>
        <w:autoSpaceDE/>
        <w:adjustRightInd/>
        <w:spacing w:line="289" w:lineRule="exact"/>
        <w:ind w:left="1008" w:right="74"/>
        <w:jc w:val="center"/>
        <w:textAlignment w:val="baseline"/>
        <w:rPr>
          <w:spacing w:val="7"/>
          <w:sz w:val="25"/>
          <w:szCs w:val="25"/>
          <w:lang w:val="es-ES" w:eastAsia="es-ES"/>
        </w:rPr>
      </w:pPr>
      <w:r>
        <w:rPr>
          <w:spacing w:val="7"/>
          <w:sz w:val="25"/>
          <w:szCs w:val="25"/>
          <w:lang w:val="es-ES" w:eastAsia="es-ES"/>
        </w:rPr>
        <w:t>Lic. Ronald Muñoz Corea</w:t>
      </w:r>
    </w:p>
    <w:p w:rsidR="002A35C3" w:rsidRDefault="002A35C3" w:rsidP="002A35C3">
      <w:pPr>
        <w:kinsoku w:val="0"/>
        <w:overflowPunct w:val="0"/>
        <w:autoSpaceDE/>
        <w:adjustRightInd/>
        <w:spacing w:line="289" w:lineRule="exact"/>
        <w:ind w:left="1008" w:right="74"/>
        <w:jc w:val="center"/>
        <w:textAlignment w:val="baseline"/>
        <w:rPr>
          <w:b/>
          <w:sz w:val="24"/>
          <w:szCs w:val="24"/>
          <w:lang w:eastAsia="en-US"/>
        </w:rPr>
      </w:pPr>
      <w:r>
        <w:rPr>
          <w:b/>
          <w:sz w:val="24"/>
          <w:szCs w:val="24"/>
          <w:lang w:eastAsia="en-US"/>
        </w:rPr>
        <w:t>PRESIDENTE</w:t>
      </w:r>
    </w:p>
    <w:p w:rsidR="002A35C3" w:rsidRDefault="002A35C3" w:rsidP="002A35C3">
      <w:pPr>
        <w:kinsoku w:val="0"/>
        <w:overflowPunct w:val="0"/>
        <w:autoSpaceDE/>
        <w:adjustRightInd/>
        <w:spacing w:line="289" w:lineRule="exact"/>
        <w:ind w:left="1008" w:right="74"/>
        <w:jc w:val="center"/>
        <w:textAlignment w:val="baseline"/>
        <w:rPr>
          <w:b/>
          <w:sz w:val="24"/>
          <w:szCs w:val="24"/>
          <w:lang w:eastAsia="en-US"/>
        </w:rPr>
      </w:pPr>
    </w:p>
    <w:p w:rsidR="002A35C3" w:rsidRDefault="002A35C3" w:rsidP="002A35C3">
      <w:pPr>
        <w:kinsoku w:val="0"/>
        <w:overflowPunct w:val="0"/>
        <w:autoSpaceDE/>
        <w:adjustRightInd/>
        <w:spacing w:line="289" w:lineRule="exact"/>
        <w:ind w:left="1008" w:right="74"/>
        <w:jc w:val="center"/>
        <w:textAlignment w:val="baseline"/>
        <w:rPr>
          <w:b/>
          <w:sz w:val="24"/>
          <w:szCs w:val="24"/>
          <w:lang w:eastAsia="en-US"/>
        </w:rPr>
      </w:pPr>
    </w:p>
    <w:p w:rsidR="002A35C3" w:rsidRDefault="002A35C3" w:rsidP="002A35C3">
      <w:pPr>
        <w:kinsoku w:val="0"/>
        <w:overflowPunct w:val="0"/>
        <w:autoSpaceDE/>
        <w:adjustRightInd/>
        <w:spacing w:line="289" w:lineRule="exact"/>
        <w:ind w:left="1008" w:right="74"/>
        <w:jc w:val="center"/>
        <w:textAlignment w:val="baseline"/>
        <w:rPr>
          <w:b/>
          <w:sz w:val="24"/>
          <w:szCs w:val="24"/>
          <w:lang w:eastAsia="en-US"/>
        </w:rPr>
      </w:pPr>
    </w:p>
    <w:p w:rsidR="002A35C3" w:rsidRDefault="002A35C3" w:rsidP="002A35C3">
      <w:pPr>
        <w:kinsoku w:val="0"/>
        <w:overflowPunct w:val="0"/>
        <w:autoSpaceDE/>
        <w:adjustRightInd/>
        <w:spacing w:line="289" w:lineRule="exact"/>
        <w:ind w:right="74"/>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Carlos Miguel Portuguez Méndez                                 </w:t>
      </w:r>
      <w:proofErr w:type="spellStart"/>
      <w:r>
        <w:rPr>
          <w:sz w:val="24"/>
          <w:szCs w:val="24"/>
          <w:lang w:eastAsia="en-US"/>
        </w:rPr>
        <w:t>Lic</w:t>
      </w:r>
      <w:proofErr w:type="spellEnd"/>
      <w:r>
        <w:rPr>
          <w:sz w:val="24"/>
          <w:szCs w:val="24"/>
          <w:lang w:eastAsia="en-US"/>
        </w:rPr>
        <w:t>. Mario Quesada Aguirre</w:t>
      </w:r>
    </w:p>
    <w:p w:rsidR="002A35C3" w:rsidRDefault="002A35C3" w:rsidP="002A35C3">
      <w:pPr>
        <w:widowControl/>
        <w:jc w:val="center"/>
        <w:rPr>
          <w:sz w:val="24"/>
          <w:szCs w:val="24"/>
        </w:rPr>
        <w:sectPr w:rsidR="002A35C3" w:rsidSect="002A35C3">
          <w:type w:val="continuous"/>
          <w:pgSz w:w="12240" w:h="15840"/>
          <w:pgMar w:top="1500" w:right="717" w:bottom="230" w:left="1723" w:header="720" w:footer="720" w:gutter="0"/>
          <w:cols w:space="720"/>
          <w:noEndnote/>
        </w:sectPr>
      </w:pPr>
      <w:r>
        <w:rPr>
          <w:b/>
          <w:sz w:val="24"/>
          <w:szCs w:val="24"/>
          <w:lang w:eastAsia="en-US"/>
        </w:rPr>
        <w:t xml:space="preserve">JUEZ                                                                              </w:t>
      </w:r>
      <w:proofErr w:type="spellStart"/>
      <w:r>
        <w:rPr>
          <w:b/>
          <w:sz w:val="24"/>
          <w:szCs w:val="24"/>
          <w:lang w:eastAsia="en-US"/>
        </w:rPr>
        <w:t>JUEZ</w:t>
      </w:r>
      <w:proofErr w:type="spellEnd"/>
    </w:p>
    <w:p w:rsidR="002A35C3" w:rsidRDefault="002A35C3" w:rsidP="002A35C3">
      <w:pPr>
        <w:tabs>
          <w:tab w:val="left" w:pos="2520"/>
        </w:tabs>
        <w:kinsoku w:val="0"/>
        <w:overflowPunct w:val="0"/>
        <w:autoSpaceDE/>
        <w:autoSpaceDN/>
        <w:adjustRightInd/>
        <w:spacing w:line="294" w:lineRule="exact"/>
        <w:textAlignment w:val="baseline"/>
        <w:rPr>
          <w:rFonts w:ascii="Verdana" w:hAnsi="Verdana" w:cs="Verdana"/>
          <w:sz w:val="24"/>
          <w:szCs w:val="24"/>
          <w:lang w:val="es-ES" w:eastAsia="es-ES"/>
        </w:rPr>
      </w:pPr>
    </w:p>
    <w:p w:rsidR="00B37A2F" w:rsidRDefault="002A35C3" w:rsidP="002A35C3">
      <w:pPr>
        <w:kinsoku w:val="0"/>
        <w:overflowPunct w:val="0"/>
        <w:autoSpaceDE/>
        <w:autoSpaceDN/>
        <w:adjustRightInd/>
        <w:spacing w:before="282" w:after="225" w:line="294" w:lineRule="exact"/>
        <w:ind w:left="72"/>
        <w:textAlignment w:val="baseline"/>
        <w:rPr>
          <w:sz w:val="24"/>
          <w:szCs w:val="24"/>
        </w:rPr>
      </w:pPr>
      <w:r>
        <w:rPr>
          <w:sz w:val="24"/>
          <w:szCs w:val="24"/>
        </w:rPr>
        <w:t xml:space="preserve"> </w:t>
      </w:r>
    </w:p>
    <w:p w:rsidR="002A35C3" w:rsidRDefault="002A35C3">
      <w:pPr>
        <w:kinsoku w:val="0"/>
        <w:overflowPunct w:val="0"/>
        <w:autoSpaceDE/>
        <w:autoSpaceDN/>
        <w:adjustRightInd/>
        <w:spacing w:before="7312" w:line="288" w:lineRule="exact"/>
        <w:textAlignment w:val="baseline"/>
        <w:rPr>
          <w:sz w:val="24"/>
          <w:szCs w:val="24"/>
        </w:rPr>
      </w:pPr>
    </w:p>
    <w:p w:rsidR="002A35C3" w:rsidRDefault="002A35C3">
      <w:pPr>
        <w:kinsoku w:val="0"/>
        <w:overflowPunct w:val="0"/>
        <w:autoSpaceDE/>
        <w:autoSpaceDN/>
        <w:adjustRightInd/>
        <w:spacing w:before="7312" w:line="288" w:lineRule="exact"/>
        <w:textAlignment w:val="baseline"/>
        <w:rPr>
          <w:sz w:val="24"/>
          <w:szCs w:val="24"/>
        </w:rPr>
        <w:sectPr w:rsidR="002A35C3">
          <w:type w:val="continuous"/>
          <w:pgSz w:w="12240" w:h="15840"/>
          <w:pgMar w:top="1500" w:right="753" w:bottom="240" w:left="1469" w:header="720" w:footer="720" w:gutter="0"/>
          <w:cols w:space="720"/>
          <w:noEndnote/>
        </w:sectPr>
      </w:pPr>
    </w:p>
    <w:p w:rsidR="00B37A2F" w:rsidRDefault="00B37A2F" w:rsidP="002A35C3">
      <w:pPr>
        <w:tabs>
          <w:tab w:val="right" w:pos="2592"/>
        </w:tabs>
        <w:kinsoku w:val="0"/>
        <w:overflowPunct w:val="0"/>
        <w:autoSpaceDE/>
        <w:autoSpaceDN/>
        <w:adjustRightInd/>
        <w:spacing w:before="1" w:line="300" w:lineRule="exact"/>
        <w:textAlignment w:val="baseline"/>
        <w:rPr>
          <w:rFonts w:ascii="Verdana" w:hAnsi="Verdana" w:cs="Verdana"/>
          <w:sz w:val="24"/>
          <w:szCs w:val="24"/>
          <w:lang w:val="es-ES" w:eastAsia="es-ES"/>
        </w:rPr>
      </w:pPr>
    </w:p>
    <w:sectPr w:rsidR="00B37A2F">
      <w:type w:val="continuous"/>
      <w:pgSz w:w="12240" w:h="15840"/>
      <w:pgMar w:top="1500" w:right="1660" w:bottom="240" w:left="8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F589"/>
    <w:multiLevelType w:val="singleLevel"/>
    <w:tmpl w:val="07B62E16"/>
    <w:lvl w:ilvl="0">
      <w:start w:val="1"/>
      <w:numFmt w:val="upperRoman"/>
      <w:lvlText w:val="%1.-"/>
      <w:lvlJc w:val="left"/>
      <w:pPr>
        <w:tabs>
          <w:tab w:val="num" w:pos="504"/>
        </w:tabs>
        <w:ind w:left="72"/>
      </w:pPr>
      <w:rPr>
        <w:rFonts w:ascii="Verdana" w:hAnsi="Verdana" w:cs="Verdana"/>
        <w:b/>
        <w:snapToGrid/>
        <w:spacing w:val="-3"/>
        <w:sz w:val="24"/>
        <w:szCs w:val="24"/>
      </w:rPr>
    </w:lvl>
  </w:abstractNum>
  <w:abstractNum w:abstractNumId="1" w15:restartNumberingAfterBreak="0">
    <w:nsid w:val="0497EE02"/>
    <w:multiLevelType w:val="singleLevel"/>
    <w:tmpl w:val="12E0A7D4"/>
    <w:lvl w:ilvl="0">
      <w:start w:val="3"/>
      <w:numFmt w:val="decimal"/>
      <w:lvlText w:val="%1."/>
      <w:lvlJc w:val="left"/>
      <w:pPr>
        <w:tabs>
          <w:tab w:val="num" w:pos="360"/>
        </w:tabs>
        <w:ind w:left="72"/>
      </w:pPr>
      <w:rPr>
        <w:rFonts w:ascii="Verdana" w:hAnsi="Verdana" w:cs="Verdana"/>
        <w:snapToGrid/>
        <w:sz w:val="24"/>
        <w:szCs w:val="24"/>
      </w:rPr>
    </w:lvl>
  </w:abstractNum>
  <w:num w:numId="1">
    <w:abstractNumId w:val="1"/>
  </w:num>
  <w:num w:numId="2">
    <w:abstractNumId w:val="1"/>
    <w:lvlOverride w:ilvl="0">
      <w:lvl w:ilvl="0">
        <w:numFmt w:val="decimal"/>
        <w:lvlText w:val="%1."/>
        <w:lvlJc w:val="left"/>
        <w:pPr>
          <w:tabs>
            <w:tab w:val="num" w:pos="576"/>
          </w:tabs>
          <w:ind w:left="72"/>
        </w:pPr>
        <w:rPr>
          <w:rFonts w:ascii="Verdana" w:hAnsi="Verdana" w:cs="Verdana"/>
          <w:snapToGrid/>
          <w:sz w:val="24"/>
          <w:szCs w:val="24"/>
        </w:rPr>
      </w:lvl>
    </w:lvlOverride>
  </w:num>
  <w:num w:numId="3">
    <w:abstractNumId w:val="1"/>
    <w:lvlOverride w:ilvl="0">
      <w:lvl w:ilvl="0">
        <w:numFmt w:val="decimal"/>
        <w:lvlText w:val="%1."/>
        <w:lvlJc w:val="left"/>
        <w:pPr>
          <w:tabs>
            <w:tab w:val="num" w:pos="360"/>
          </w:tabs>
          <w:ind w:left="72"/>
        </w:pPr>
        <w:rPr>
          <w:rFonts w:ascii="Verdana" w:hAnsi="Verdana" w:cs="Verdana"/>
          <w:b/>
          <w:bCs/>
          <w:snapToGrid/>
          <w:spacing w:val="1"/>
          <w:sz w:val="24"/>
          <w:szCs w:val="24"/>
        </w:rPr>
      </w:lvl>
    </w:lvlOverride>
  </w:num>
  <w:num w:numId="4">
    <w:abstractNumId w:val="0"/>
  </w:num>
  <w:num w:numId="5">
    <w:abstractNumId w:val="0"/>
    <w:lvlOverride w:ilvl="0">
      <w:lvl w:ilvl="0">
        <w:numFmt w:val="upperRoman"/>
        <w:lvlText w:val="%1.-"/>
        <w:lvlJc w:val="left"/>
        <w:pPr>
          <w:tabs>
            <w:tab w:val="num" w:pos="720"/>
          </w:tabs>
          <w:ind w:left="72"/>
        </w:pPr>
        <w:rPr>
          <w:rFonts w:ascii="Verdana" w:hAnsi="Verdana" w:cs="Verdana"/>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16"/>
    <w:rsid w:val="002A35C3"/>
    <w:rsid w:val="00982D16"/>
    <w:rsid w:val="00B37A2F"/>
    <w:rsid w:val="00CE0A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C27AC7-BA10-4C25-BC84-634B5778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35C3"/>
    <w:rPr>
      <w:color w:val="0563C1" w:themeColor="hyperlink"/>
      <w:u w:val="single"/>
    </w:rPr>
  </w:style>
  <w:style w:type="character" w:styleId="Mencinsinresolver">
    <w:name w:val="Unresolved Mention"/>
    <w:basedOn w:val="Fuentedeprrafopredeter"/>
    <w:uiPriority w:val="99"/>
    <w:semiHidden/>
    <w:unhideWhenUsed/>
    <w:rsid w:val="002A3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jas@ctp.go.cr" TargetMode="External"/><Relationship Id="rId3" Type="http://schemas.openxmlformats.org/officeDocument/2006/relationships/settings" Target="settings.xml"/><Relationship Id="rId7" Type="http://schemas.openxmlformats.org/officeDocument/2006/relationships/hyperlink" Target="mailto:sfonseca@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allas@ctp.go.cr" TargetMode="External"/><Relationship Id="rId11" Type="http://schemas.openxmlformats.org/officeDocument/2006/relationships/fontTable" Target="fontTable.xml"/><Relationship Id="rId5" Type="http://schemas.openxmlformats.org/officeDocument/2006/relationships/hyperlink" Target="mailto:xxxxxx@xxxxxxx.com"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2019-04-25T18:14:00Z</dcterms:created>
  <dcterms:modified xsi:type="dcterms:W3CDTF">2019-04-25T18:14:00Z</dcterms:modified>
</cp:coreProperties>
</file>