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46B2F" w14:textId="77777777" w:rsidR="00B969D3" w:rsidRDefault="00B969D3">
      <w:pPr>
        <w:kinsoku w:val="0"/>
        <w:overflowPunct w:val="0"/>
        <w:autoSpaceDE/>
        <w:autoSpaceDN/>
        <w:adjustRightInd/>
        <w:spacing w:after="275" w:line="20" w:lineRule="exact"/>
        <w:ind w:right="288"/>
        <w:textAlignment w:val="baseline"/>
        <w:rPr>
          <w:sz w:val="24"/>
          <w:szCs w:val="24"/>
        </w:rPr>
      </w:pPr>
    </w:p>
    <w:p w14:paraId="3930CDF4" w14:textId="77777777" w:rsidR="00B969D3" w:rsidRDefault="00E6369C">
      <w:pPr>
        <w:kinsoku w:val="0"/>
        <w:overflowPunct w:val="0"/>
        <w:autoSpaceDE/>
        <w:autoSpaceDN/>
        <w:adjustRightInd/>
        <w:spacing w:before="1" w:line="281"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No. TAT-3673-2019</w:t>
      </w:r>
    </w:p>
    <w:p w14:paraId="2059E85A" w14:textId="77777777" w:rsidR="00B969D3" w:rsidRDefault="00E6369C">
      <w:pPr>
        <w:kinsoku w:val="0"/>
        <w:overflowPunct w:val="0"/>
        <w:autoSpaceDE/>
        <w:autoSpaceDN/>
        <w:adjustRightInd/>
        <w:spacing w:before="576" w:line="296"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TRIBUNAL ADMINISTRATIVO DE TRANSPORTE. </w:t>
      </w:r>
      <w:r>
        <w:rPr>
          <w:rFonts w:ascii="Verdana" w:hAnsi="Verdana" w:cs="Verdana"/>
          <w:spacing w:val="-1"/>
          <w:sz w:val="24"/>
          <w:szCs w:val="24"/>
          <w:lang w:val="es-ES" w:eastAsia="es-ES"/>
        </w:rPr>
        <w:t>San José, a las diez horas diez minutos del veinticinco de noviembre de dos mil diecinueve.</w:t>
      </w:r>
    </w:p>
    <w:p w14:paraId="34338EF3" w14:textId="77777777" w:rsidR="00B969D3" w:rsidRDefault="00E6369C">
      <w:pPr>
        <w:kinsoku w:val="0"/>
        <w:overflowPunct w:val="0"/>
        <w:autoSpaceDE/>
        <w:autoSpaceDN/>
        <w:adjustRightInd/>
        <w:spacing w:before="250" w:line="296" w:lineRule="exact"/>
        <w:ind w:left="72" w:right="72"/>
        <w:jc w:val="both"/>
        <w:textAlignment w:val="baseline"/>
        <w:rPr>
          <w:rFonts w:ascii="Verdana" w:hAnsi="Verdana" w:cs="Verdana"/>
          <w:b/>
          <w:bCs/>
          <w:spacing w:val="-4"/>
          <w:sz w:val="24"/>
          <w:szCs w:val="24"/>
          <w:lang w:val="es-ES" w:eastAsia="es-ES"/>
        </w:rPr>
      </w:pPr>
      <w:r>
        <w:rPr>
          <w:rFonts w:ascii="Verdana" w:hAnsi="Verdana" w:cs="Verdana"/>
          <w:b/>
          <w:bCs/>
          <w:spacing w:val="-4"/>
          <w:sz w:val="24"/>
          <w:szCs w:val="24"/>
          <w:lang w:val="es-ES" w:eastAsia="es-ES"/>
        </w:rPr>
        <w:t xml:space="preserve">Recurso de Apelación y Nulidad concomitante, </w:t>
      </w:r>
      <w:r>
        <w:rPr>
          <w:rFonts w:ascii="Verdana" w:hAnsi="Verdana" w:cs="Verdana"/>
          <w:spacing w:val="-4"/>
          <w:sz w:val="24"/>
          <w:szCs w:val="24"/>
          <w:lang w:val="es-ES" w:eastAsia="es-ES"/>
        </w:rPr>
        <w:t xml:space="preserve">presentado por la </w:t>
      </w:r>
      <w:r>
        <w:rPr>
          <w:rFonts w:ascii="Verdana" w:hAnsi="Verdana" w:cs="Verdana"/>
          <w:b/>
          <w:bCs/>
          <w:spacing w:val="-4"/>
          <w:sz w:val="24"/>
          <w:szCs w:val="24"/>
          <w:lang w:val="es-ES" w:eastAsia="es-ES"/>
        </w:rPr>
        <w:t>E</w:t>
      </w:r>
      <w:r w:rsidR="0019747C">
        <w:rPr>
          <w:rFonts w:ascii="Verdana" w:hAnsi="Verdana" w:cs="Verdana"/>
          <w:b/>
          <w:bCs/>
          <w:spacing w:val="-4"/>
          <w:sz w:val="24"/>
          <w:szCs w:val="24"/>
          <w:lang w:val="es-ES" w:eastAsia="es-ES"/>
        </w:rPr>
        <w:t>.A.L.</w:t>
      </w:r>
      <w:r>
        <w:rPr>
          <w:rFonts w:ascii="Verdana" w:hAnsi="Verdana" w:cs="Verdana"/>
          <w:b/>
          <w:bCs/>
          <w:spacing w:val="-4"/>
          <w:sz w:val="24"/>
          <w:szCs w:val="24"/>
          <w:lang w:val="es-ES" w:eastAsia="es-ES"/>
        </w:rPr>
        <w:t xml:space="preserve">, cédula jurídica No. </w:t>
      </w:r>
      <w:r w:rsidR="0019747C">
        <w:rPr>
          <w:rFonts w:ascii="Verdana" w:hAnsi="Verdana" w:cs="Verdana"/>
          <w:b/>
          <w:bCs/>
          <w:spacing w:val="-4"/>
          <w:sz w:val="24"/>
          <w:szCs w:val="24"/>
          <w:lang w:val="es-ES" w:eastAsia="es-ES"/>
        </w:rPr>
        <w:t>…</w:t>
      </w:r>
      <w:r>
        <w:rPr>
          <w:rFonts w:ascii="Verdana" w:hAnsi="Verdana" w:cs="Verdana"/>
          <w:b/>
          <w:bCs/>
          <w:spacing w:val="-4"/>
          <w:sz w:val="24"/>
          <w:szCs w:val="24"/>
          <w:lang w:val="es-ES" w:eastAsia="es-ES"/>
        </w:rPr>
        <w:t xml:space="preserve">, </w:t>
      </w:r>
      <w:r>
        <w:rPr>
          <w:rFonts w:ascii="Verdana" w:hAnsi="Verdana" w:cs="Verdana"/>
          <w:spacing w:val="-4"/>
          <w:sz w:val="24"/>
          <w:szCs w:val="24"/>
          <w:lang w:val="es-ES" w:eastAsia="es-ES"/>
        </w:rPr>
        <w:t xml:space="preserve">por medio de sus Apoderados Generalísimos sin Límite de Suma, señores </w:t>
      </w:r>
      <w:r>
        <w:rPr>
          <w:rFonts w:ascii="Verdana" w:hAnsi="Verdana" w:cs="Verdana"/>
          <w:b/>
          <w:bCs/>
          <w:spacing w:val="-4"/>
          <w:sz w:val="24"/>
          <w:szCs w:val="24"/>
          <w:lang w:val="es-ES" w:eastAsia="es-ES"/>
        </w:rPr>
        <w:t>G</w:t>
      </w:r>
      <w:r w:rsidR="0019747C">
        <w:rPr>
          <w:rFonts w:ascii="Verdana" w:hAnsi="Verdana" w:cs="Verdana"/>
          <w:b/>
          <w:bCs/>
          <w:spacing w:val="-4"/>
          <w:sz w:val="24"/>
          <w:szCs w:val="24"/>
          <w:lang w:val="es-ES" w:eastAsia="es-ES"/>
        </w:rPr>
        <w:t>.A.C.</w:t>
      </w:r>
      <w:r>
        <w:rPr>
          <w:rFonts w:ascii="Verdana" w:hAnsi="Verdana" w:cs="Verdana"/>
          <w:b/>
          <w:bCs/>
          <w:spacing w:val="-4"/>
          <w:sz w:val="24"/>
          <w:szCs w:val="24"/>
          <w:lang w:val="es-ES" w:eastAsia="es-ES"/>
        </w:rPr>
        <w:t xml:space="preserve">, cédula de identidad número </w:t>
      </w:r>
      <w:r w:rsidR="0019747C">
        <w:rPr>
          <w:rFonts w:ascii="Verdana" w:hAnsi="Verdana" w:cs="Verdana"/>
          <w:b/>
          <w:bCs/>
          <w:spacing w:val="-4"/>
          <w:sz w:val="24"/>
          <w:szCs w:val="24"/>
          <w:lang w:val="es-ES" w:eastAsia="es-ES"/>
        </w:rPr>
        <w:t>…</w:t>
      </w:r>
      <w:r>
        <w:rPr>
          <w:rFonts w:ascii="Verdana" w:hAnsi="Verdana" w:cs="Verdana"/>
          <w:b/>
          <w:bCs/>
          <w:spacing w:val="-4"/>
          <w:sz w:val="24"/>
          <w:szCs w:val="24"/>
          <w:lang w:val="es-ES" w:eastAsia="es-ES"/>
        </w:rPr>
        <w:t xml:space="preserve"> y R</w:t>
      </w:r>
      <w:r w:rsidR="0019747C">
        <w:rPr>
          <w:rFonts w:ascii="Verdana" w:hAnsi="Verdana" w:cs="Verdana"/>
          <w:b/>
          <w:bCs/>
          <w:spacing w:val="-4"/>
          <w:sz w:val="24"/>
          <w:szCs w:val="24"/>
          <w:lang w:val="es-ES" w:eastAsia="es-ES"/>
        </w:rPr>
        <w:t>.A.H.</w:t>
      </w:r>
      <w:r>
        <w:rPr>
          <w:rFonts w:ascii="Verdana" w:hAnsi="Verdana" w:cs="Verdana"/>
          <w:b/>
          <w:bCs/>
          <w:spacing w:val="-4"/>
          <w:sz w:val="24"/>
          <w:szCs w:val="24"/>
          <w:lang w:val="es-ES" w:eastAsia="es-ES"/>
        </w:rPr>
        <w:t xml:space="preserve">, cédula de identidad número </w:t>
      </w:r>
      <w:r w:rsidR="0019747C">
        <w:rPr>
          <w:rFonts w:ascii="Verdana" w:hAnsi="Verdana" w:cs="Verdana"/>
          <w:b/>
          <w:bCs/>
          <w:spacing w:val="-4"/>
          <w:sz w:val="24"/>
          <w:szCs w:val="24"/>
          <w:lang w:val="es-ES" w:eastAsia="es-ES"/>
        </w:rPr>
        <w:t>…</w:t>
      </w:r>
      <w:r>
        <w:rPr>
          <w:rFonts w:ascii="Verdana" w:hAnsi="Verdana" w:cs="Verdana"/>
          <w:b/>
          <w:bCs/>
          <w:spacing w:val="-4"/>
          <w:sz w:val="24"/>
          <w:szCs w:val="24"/>
          <w:lang w:val="es-ES" w:eastAsia="es-ES"/>
        </w:rPr>
        <w:t xml:space="preserve">, </w:t>
      </w:r>
      <w:r>
        <w:rPr>
          <w:rFonts w:ascii="Verdana" w:hAnsi="Verdana" w:cs="Verdana"/>
          <w:spacing w:val="-4"/>
          <w:sz w:val="24"/>
          <w:szCs w:val="24"/>
          <w:lang w:val="es-ES" w:eastAsia="es-ES"/>
        </w:rPr>
        <w:t xml:space="preserve">contra el </w:t>
      </w:r>
      <w:r>
        <w:rPr>
          <w:rFonts w:ascii="Verdana" w:hAnsi="Verdana" w:cs="Verdana"/>
          <w:b/>
          <w:bCs/>
          <w:spacing w:val="-4"/>
          <w:sz w:val="24"/>
          <w:szCs w:val="24"/>
          <w:lang w:val="es-ES" w:eastAsia="es-ES"/>
        </w:rPr>
        <w:t xml:space="preserve">Artículo 7.1 de la Sesión Ordinaria 66-2019 del 17 de octubre de 2019 y de la Sesión Ordinaria 67-2019 de 22 de octubre de 2019, </w:t>
      </w:r>
      <w:r>
        <w:rPr>
          <w:rFonts w:ascii="Verdana" w:hAnsi="Verdana" w:cs="Verdana"/>
          <w:spacing w:val="-4"/>
          <w:sz w:val="24"/>
          <w:szCs w:val="24"/>
          <w:lang w:val="es-ES" w:eastAsia="es-ES"/>
        </w:rPr>
        <w:t xml:space="preserve">ambas de la Junta Directiva del Consejo de Transporte Público. El caso es tramitado en este Despacho bajo </w:t>
      </w:r>
      <w:r>
        <w:rPr>
          <w:rFonts w:ascii="Verdana" w:hAnsi="Verdana" w:cs="Verdana"/>
          <w:b/>
          <w:bCs/>
          <w:spacing w:val="-4"/>
          <w:sz w:val="24"/>
          <w:szCs w:val="24"/>
          <w:lang w:val="es-ES" w:eastAsia="es-ES"/>
        </w:rPr>
        <w:t>Expediente Administrativo No. TAT-075-19.</w:t>
      </w:r>
    </w:p>
    <w:p w14:paraId="38FFDA58" w14:textId="77777777" w:rsidR="00B969D3" w:rsidRDefault="00E6369C">
      <w:pPr>
        <w:kinsoku w:val="0"/>
        <w:overflowPunct w:val="0"/>
        <w:autoSpaceDE/>
        <w:autoSpaceDN/>
        <w:adjustRightInd/>
        <w:spacing w:before="601" w:line="281"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14:paraId="4A68222F" w14:textId="2DF834BC" w:rsidR="00B969D3" w:rsidRDefault="00E6369C">
      <w:pPr>
        <w:kinsoku w:val="0"/>
        <w:overflowPunct w:val="0"/>
        <w:autoSpaceDE/>
        <w:autoSpaceDN/>
        <w:adjustRightInd/>
        <w:spacing w:before="333" w:line="293" w:lineRule="exact"/>
        <w:ind w:left="72"/>
        <w:jc w:val="both"/>
        <w:textAlignment w:val="baseline"/>
        <w:rPr>
          <w:i/>
          <w:iCs/>
          <w:spacing w:val="1"/>
          <w:sz w:val="29"/>
          <w:szCs w:val="29"/>
          <w:lang w:val="es-ES" w:eastAsia="es-ES"/>
        </w:rPr>
      </w:pPr>
      <w:r>
        <w:rPr>
          <w:rFonts w:ascii="Verdana" w:hAnsi="Verdana" w:cs="Verdana"/>
          <w:b/>
          <w:bCs/>
          <w:spacing w:val="1"/>
          <w:sz w:val="24"/>
          <w:szCs w:val="24"/>
          <w:lang w:val="es-ES" w:eastAsia="es-ES"/>
        </w:rPr>
        <w:t xml:space="preserve">PRIMERO: </w:t>
      </w:r>
      <w:r>
        <w:rPr>
          <w:rFonts w:ascii="Verdana" w:hAnsi="Verdana" w:cs="Verdana"/>
          <w:spacing w:val="1"/>
          <w:sz w:val="24"/>
          <w:szCs w:val="24"/>
          <w:lang w:val="es-ES" w:eastAsia="es-ES"/>
        </w:rPr>
        <w:t xml:space="preserve">La Junta Directiva del Consejo de Transporte Público, mediante la </w:t>
      </w:r>
      <w:r>
        <w:rPr>
          <w:rFonts w:ascii="Verdana" w:hAnsi="Verdana" w:cs="Verdana"/>
          <w:b/>
          <w:bCs/>
          <w:spacing w:val="1"/>
          <w:sz w:val="24"/>
          <w:szCs w:val="24"/>
          <w:lang w:val="es-ES" w:eastAsia="es-ES"/>
        </w:rPr>
        <w:t xml:space="preserve">Sesión Ordinaria 67-2019 de 22 de octubre de 2019, </w:t>
      </w:r>
      <w:r>
        <w:rPr>
          <w:rFonts w:ascii="Verdana" w:hAnsi="Verdana" w:cs="Verdana"/>
          <w:spacing w:val="1"/>
          <w:sz w:val="24"/>
          <w:szCs w:val="24"/>
          <w:lang w:val="es-ES" w:eastAsia="es-ES"/>
        </w:rPr>
        <w:t xml:space="preserve">acuerda en lo conducente y de interés para el trámite bajo estudio </w:t>
      </w:r>
      <w:r w:rsidRPr="0019747C">
        <w:rPr>
          <w:rFonts w:ascii="Verdana" w:hAnsi="Verdana"/>
          <w:i/>
          <w:iCs/>
          <w:spacing w:val="1"/>
          <w:sz w:val="24"/>
          <w:szCs w:val="24"/>
          <w:lang w:val="es-ES" w:eastAsia="es-ES"/>
        </w:rPr>
        <w:t xml:space="preserve">"(...)6-No licitar y cancelar el permiso PROVISIONAL de operación de la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descrita como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al operador provisional E</w:t>
      </w:r>
      <w:r w:rsidR="0019747C">
        <w:rPr>
          <w:rFonts w:ascii="Verdana" w:hAnsi="Verdana"/>
          <w:i/>
          <w:iCs/>
          <w:spacing w:val="1"/>
          <w:sz w:val="24"/>
          <w:szCs w:val="24"/>
          <w:lang w:val="es-ES" w:eastAsia="es-ES"/>
        </w:rPr>
        <w:t>.A.L.</w:t>
      </w:r>
      <w:r w:rsidRPr="0019747C">
        <w:rPr>
          <w:rFonts w:ascii="Verdana" w:hAnsi="Verdana"/>
          <w:i/>
          <w:iCs/>
          <w:spacing w:val="1"/>
          <w:sz w:val="24"/>
          <w:szCs w:val="24"/>
          <w:lang w:val="es-ES" w:eastAsia="es-ES"/>
        </w:rPr>
        <w:t xml:space="preserve">, al demostrarse en el presente estudio, una duplicidad del servicio, al existir un concesionario que brinda servicio en el 99.75% de los recorridos, cubriendo los mismos puntos terminales de la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los cuales son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Además, se demuestra en el informe DING-14-0532, que forma parte integral como referencia del presente informe DTE-2019-0760 que, </w:t>
      </w:r>
      <w:r w:rsidRPr="0019747C">
        <w:rPr>
          <w:rFonts w:ascii="Verdana" w:hAnsi="Verdana" w:cs="Verdana"/>
          <w:b/>
          <w:bCs/>
          <w:i/>
          <w:iCs/>
          <w:spacing w:val="1"/>
          <w:sz w:val="24"/>
          <w:szCs w:val="24"/>
          <w:lang w:val="es-ES" w:eastAsia="es-ES"/>
        </w:rPr>
        <w:t xml:space="preserve">primero, </w:t>
      </w:r>
      <w:r w:rsidRPr="0019747C">
        <w:rPr>
          <w:rFonts w:ascii="Verdana" w:hAnsi="Verdana"/>
          <w:i/>
          <w:iCs/>
          <w:spacing w:val="1"/>
          <w:sz w:val="24"/>
          <w:szCs w:val="24"/>
          <w:lang w:val="es-ES" w:eastAsia="es-ES"/>
        </w:rPr>
        <w:t>sí se contó con la información estadística presentada ante LA ARESEP del periodo 2005 al 2013, la cual fue confrontada y verificada en los archivos digitales de su página oficial de la Web, donde se confirmó la veracidad de la información presentada tanto de la empresa T</w:t>
      </w:r>
      <w:r w:rsidR="0019747C">
        <w:rPr>
          <w:rFonts w:ascii="Verdana" w:hAnsi="Verdana"/>
          <w:i/>
          <w:iCs/>
          <w:spacing w:val="1"/>
          <w:sz w:val="24"/>
          <w:szCs w:val="24"/>
          <w:lang w:val="es-ES" w:eastAsia="es-ES"/>
        </w:rPr>
        <w:t>.L.</w:t>
      </w:r>
      <w:r w:rsidRPr="0019747C">
        <w:rPr>
          <w:rFonts w:ascii="Verdana" w:hAnsi="Verdana"/>
          <w:i/>
          <w:iCs/>
          <w:spacing w:val="1"/>
          <w:sz w:val="24"/>
          <w:szCs w:val="24"/>
          <w:lang w:val="es-ES" w:eastAsia="es-ES"/>
        </w:rPr>
        <w:t xml:space="preserve"> como para la </w:t>
      </w:r>
      <w:r w:rsidR="0019747C">
        <w:rPr>
          <w:rFonts w:ascii="Verdana" w:hAnsi="Verdana"/>
          <w:i/>
          <w:iCs/>
          <w:spacing w:val="1"/>
          <w:sz w:val="24"/>
          <w:szCs w:val="24"/>
          <w:lang w:val="es-ES" w:eastAsia="es-ES"/>
        </w:rPr>
        <w:t>E.A.L</w:t>
      </w:r>
      <w:r w:rsidRPr="0019747C">
        <w:rPr>
          <w:rFonts w:ascii="Verdana" w:hAnsi="Verdana"/>
          <w:i/>
          <w:iCs/>
          <w:spacing w:val="1"/>
          <w:sz w:val="24"/>
          <w:szCs w:val="24"/>
          <w:lang w:val="es-ES" w:eastAsia="es-ES"/>
        </w:rPr>
        <w:t xml:space="preserve">. (folio 13xxxx), información que demuestra una caída muy significativa en la ocupación de los servicios de la ruta 503 A </w:t>
      </w:r>
      <w:proofErr w:type="spellStart"/>
      <w:r w:rsidRPr="0019747C">
        <w:rPr>
          <w:rFonts w:ascii="Verdana" w:hAnsi="Verdana"/>
          <w:i/>
          <w:iCs/>
          <w:spacing w:val="1"/>
          <w:sz w:val="24"/>
          <w:szCs w:val="24"/>
          <w:lang w:val="es-ES" w:eastAsia="es-ES"/>
        </w:rPr>
        <w:t>a</w:t>
      </w:r>
      <w:proofErr w:type="spellEnd"/>
      <w:r w:rsidRPr="0019747C">
        <w:rPr>
          <w:rFonts w:ascii="Verdana" w:hAnsi="Verdana"/>
          <w:i/>
          <w:iCs/>
          <w:spacing w:val="1"/>
          <w:sz w:val="24"/>
          <w:szCs w:val="24"/>
          <w:lang w:val="es-ES" w:eastAsia="es-ES"/>
        </w:rPr>
        <w:t xml:space="preserve"> partir de la entrada en operación de la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w:t>
      </w:r>
      <w:r w:rsidRPr="0019747C">
        <w:rPr>
          <w:rFonts w:ascii="Verdana" w:hAnsi="Verdana" w:cs="Verdana"/>
          <w:b/>
          <w:bCs/>
          <w:i/>
          <w:iCs/>
          <w:spacing w:val="1"/>
          <w:sz w:val="24"/>
          <w:szCs w:val="24"/>
          <w:lang w:val="es-ES" w:eastAsia="es-ES"/>
        </w:rPr>
        <w:t xml:space="preserve">segundo, </w:t>
      </w:r>
      <w:r w:rsidRPr="0019747C">
        <w:rPr>
          <w:rFonts w:ascii="Verdana" w:hAnsi="Verdana"/>
          <w:i/>
          <w:iCs/>
          <w:spacing w:val="1"/>
          <w:sz w:val="24"/>
          <w:szCs w:val="24"/>
          <w:lang w:val="es-ES" w:eastAsia="es-ES"/>
        </w:rPr>
        <w:t>con base en el</w:t>
      </w:r>
    </w:p>
    <w:p w14:paraId="17F4321A" w14:textId="77777777" w:rsidR="00B969D3" w:rsidRDefault="00B969D3">
      <w:pPr>
        <w:widowControl/>
        <w:rPr>
          <w:sz w:val="24"/>
          <w:szCs w:val="24"/>
        </w:rPr>
        <w:sectPr w:rsidR="00B969D3">
          <w:pgSz w:w="12240" w:h="15840"/>
          <w:pgMar w:top="1417" w:right="1536" w:bottom="240" w:left="1704" w:header="720" w:footer="720" w:gutter="0"/>
          <w:cols w:space="720"/>
          <w:noEndnote/>
        </w:sectPr>
      </w:pPr>
    </w:p>
    <w:p w14:paraId="0E32DECC" w14:textId="282CE2C7" w:rsidR="00B969D3" w:rsidRPr="0019747C" w:rsidRDefault="00E6369C" w:rsidP="0019747C">
      <w:pPr>
        <w:kinsoku w:val="0"/>
        <w:overflowPunct w:val="0"/>
        <w:autoSpaceDE/>
        <w:autoSpaceDN/>
        <w:adjustRightInd/>
        <w:spacing w:before="83" w:line="291" w:lineRule="exact"/>
        <w:ind w:left="72"/>
        <w:jc w:val="both"/>
        <w:textAlignment w:val="baseline"/>
        <w:rPr>
          <w:rFonts w:ascii="Verdana" w:hAnsi="Verdana" w:cs="Tahoma"/>
          <w:spacing w:val="4"/>
          <w:sz w:val="24"/>
          <w:szCs w:val="24"/>
          <w:lang w:val="es-ES" w:eastAsia="es-ES"/>
        </w:rPr>
      </w:pPr>
      <w:r w:rsidRPr="0019747C">
        <w:rPr>
          <w:rFonts w:ascii="Verdana" w:hAnsi="Verdana"/>
          <w:i/>
          <w:iCs/>
          <w:spacing w:val="-1"/>
          <w:sz w:val="24"/>
          <w:szCs w:val="24"/>
          <w:lang w:val="es-ES" w:eastAsia="es-ES"/>
        </w:rPr>
        <w:lastRenderedPageBreak/>
        <w:t xml:space="preserve">Informe DING-14-0532, gráfico No 1, folio 14xxxxxxxxx y folio 19xxxxxx en donde determina la condición ruinosa en la que opera la ruta </w:t>
      </w:r>
      <w:proofErr w:type="spellStart"/>
      <w:r w:rsidR="00080C93">
        <w:rPr>
          <w:rFonts w:ascii="Verdana" w:hAnsi="Verdana"/>
          <w:i/>
          <w:iCs/>
          <w:spacing w:val="-1"/>
          <w:sz w:val="24"/>
          <w:szCs w:val="24"/>
          <w:lang w:val="es-ES" w:eastAsia="es-ES"/>
        </w:rPr>
        <w:t>xx</w:t>
      </w:r>
      <w:proofErr w:type="spellEnd"/>
      <w:r w:rsidRPr="0019747C">
        <w:rPr>
          <w:rFonts w:ascii="Verdana" w:hAnsi="Verdana"/>
          <w:i/>
          <w:iCs/>
          <w:spacing w:val="-1"/>
          <w:sz w:val="24"/>
          <w:szCs w:val="24"/>
          <w:lang w:val="es-ES" w:eastAsia="es-ES"/>
        </w:rPr>
        <w:t xml:space="preserve">; </w:t>
      </w:r>
      <w:r w:rsidRPr="0019747C">
        <w:rPr>
          <w:rFonts w:ascii="Verdana" w:hAnsi="Verdana" w:cs="Verdana"/>
          <w:b/>
          <w:bCs/>
          <w:i/>
          <w:iCs/>
          <w:spacing w:val="-1"/>
          <w:sz w:val="24"/>
          <w:szCs w:val="24"/>
          <w:lang w:val="es-ES" w:eastAsia="es-ES"/>
        </w:rPr>
        <w:t xml:space="preserve">se </w:t>
      </w:r>
      <w:r w:rsidRPr="0019747C">
        <w:rPr>
          <w:rFonts w:ascii="Verdana" w:hAnsi="Verdana" w:cs="Verdana"/>
          <w:b/>
          <w:bCs/>
          <w:i/>
          <w:iCs/>
          <w:spacing w:val="-1"/>
          <w:sz w:val="24"/>
          <w:szCs w:val="24"/>
          <w:u w:val="single"/>
          <w:lang w:val="es-ES" w:eastAsia="es-ES"/>
        </w:rPr>
        <w:t>confirma la afectación que ha provocado la apertura de la ruta  1502 sobre el conce</w:t>
      </w:r>
      <w:r w:rsidR="0019747C">
        <w:rPr>
          <w:rFonts w:ascii="Verdana" w:hAnsi="Verdana" w:cs="Verdana"/>
          <w:b/>
          <w:bCs/>
          <w:i/>
          <w:iCs/>
          <w:spacing w:val="-1"/>
          <w:sz w:val="24"/>
          <w:szCs w:val="24"/>
          <w:u w:val="single"/>
          <w:lang w:val="es-ES" w:eastAsia="es-ES"/>
        </w:rPr>
        <w:t>s</w:t>
      </w:r>
      <w:r w:rsidRPr="0019747C">
        <w:rPr>
          <w:rFonts w:ascii="Verdana" w:hAnsi="Verdana" w:cs="Verdana"/>
          <w:b/>
          <w:bCs/>
          <w:i/>
          <w:iCs/>
          <w:spacing w:val="-1"/>
          <w:sz w:val="24"/>
          <w:szCs w:val="24"/>
          <w:u w:val="single"/>
          <w:lang w:val="es-ES" w:eastAsia="es-ES"/>
        </w:rPr>
        <w:t>ionario establecido,</w:t>
      </w:r>
      <w:r w:rsidRPr="0019747C">
        <w:rPr>
          <w:rFonts w:ascii="Verdana" w:hAnsi="Verdana"/>
          <w:i/>
          <w:iCs/>
          <w:spacing w:val="-1"/>
          <w:sz w:val="24"/>
          <w:szCs w:val="24"/>
          <w:lang w:val="es-ES" w:eastAsia="es-ES"/>
        </w:rPr>
        <w:t xml:space="preserve"> afectación que se encuentra certificada en el folio 34 del informe INCOSESA-0417-2018, Organismo de Inspección (01) acreditado ante el Ente Costarricense de Acreditación y que responde a la norma INTE-ISO/IEC 17020;2020. </w:t>
      </w:r>
      <w:r w:rsidRPr="0019747C">
        <w:rPr>
          <w:rFonts w:ascii="Verdana" w:hAnsi="Verdana"/>
          <w:i/>
          <w:iCs/>
          <w:spacing w:val="-1"/>
          <w:sz w:val="24"/>
          <w:szCs w:val="24"/>
          <w:u w:val="single"/>
          <w:lang w:val="es-ES" w:eastAsia="es-ES"/>
        </w:rPr>
        <w:t>En resumen,</w:t>
      </w:r>
      <w:r w:rsidRPr="0019747C">
        <w:rPr>
          <w:rFonts w:ascii="Verdana" w:hAnsi="Verdana"/>
          <w:i/>
          <w:iCs/>
          <w:spacing w:val="-1"/>
          <w:sz w:val="24"/>
          <w:szCs w:val="24"/>
          <w:lang w:val="es-ES" w:eastAsia="es-ES"/>
        </w:rPr>
        <w:t xml:space="preserve"> el Estudio DTE-2019-0760 incumple con la condición ineludible para iniciar un concurso público, dispuesta en La Ley 3503, articulo 4, de probar que NO se crearía una competencia ruinosa en contra de los concesionarios establecidos, al (sic)contario, demuestra que el concesionario establecido, empresa T</w:t>
      </w:r>
      <w:r w:rsidR="0019747C">
        <w:rPr>
          <w:rFonts w:ascii="Verdana" w:hAnsi="Verdana"/>
          <w:i/>
          <w:iCs/>
          <w:spacing w:val="-1"/>
          <w:sz w:val="24"/>
          <w:szCs w:val="24"/>
          <w:lang w:val="es-ES" w:eastAsia="es-ES"/>
        </w:rPr>
        <w:t>.L.</w:t>
      </w:r>
      <w:r w:rsidRPr="0019747C">
        <w:rPr>
          <w:rFonts w:ascii="Verdana" w:hAnsi="Verdana"/>
          <w:i/>
          <w:iCs/>
          <w:spacing w:val="-1"/>
          <w:sz w:val="24"/>
          <w:szCs w:val="24"/>
          <w:lang w:val="es-ES" w:eastAsia="es-ES"/>
        </w:rPr>
        <w:t xml:space="preserve">, rutas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desaparece por completo con la entrada en operación de esta nueva línea. MODIFICADO PUNTO6 7- Ordenar a La E</w:t>
      </w:r>
      <w:r w:rsidR="0019747C">
        <w:rPr>
          <w:rFonts w:ascii="Verdana" w:hAnsi="Verdana"/>
          <w:i/>
          <w:iCs/>
          <w:spacing w:val="-1"/>
          <w:sz w:val="24"/>
          <w:szCs w:val="24"/>
          <w:lang w:val="es-ES" w:eastAsia="es-ES"/>
        </w:rPr>
        <w:t>.A.</w:t>
      </w:r>
      <w:r w:rsidRPr="0019747C">
        <w:rPr>
          <w:rFonts w:ascii="Verdana" w:hAnsi="Verdana"/>
          <w:i/>
          <w:iCs/>
          <w:spacing w:val="-1"/>
          <w:sz w:val="24"/>
          <w:szCs w:val="24"/>
          <w:lang w:val="es-ES" w:eastAsia="es-ES"/>
        </w:rPr>
        <w:t xml:space="preserve"> el cese inmediato de operación en la anterior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en virtud de que, su autorización era en condición de permiso provisional y la misma se encuentra integrada en un nuevo esquema operativo. MODIFICADO PUNTO 7 8- Desactivar el código de la ruta </w:t>
      </w:r>
      <w:proofErr w:type="spellStart"/>
      <w:r w:rsidRPr="0019747C">
        <w:rPr>
          <w:rFonts w:ascii="Verdana" w:hAnsi="Verdana"/>
          <w:i/>
          <w:iCs/>
          <w:spacing w:val="-1"/>
          <w:sz w:val="24"/>
          <w:szCs w:val="24"/>
          <w:lang w:val="es-ES" w:eastAsia="es-ES"/>
        </w:rPr>
        <w:t>N°</w:t>
      </w:r>
      <w:proofErr w:type="spellEnd"/>
      <w:r w:rsidRPr="0019747C">
        <w:rPr>
          <w:rFonts w:ascii="Verdana" w:hAnsi="Verdana"/>
          <w:i/>
          <w:iCs/>
          <w:spacing w:val="-1"/>
          <w:sz w:val="24"/>
          <w:szCs w:val="24"/>
          <w:lang w:val="es-ES" w:eastAsia="es-ES"/>
        </w:rPr>
        <w:t xml:space="preserve"> </w:t>
      </w:r>
      <w:proofErr w:type="spellStart"/>
      <w:proofErr w:type="gramStart"/>
      <w:r w:rsidR="00080C93">
        <w:rPr>
          <w:rFonts w:ascii="Verdana" w:hAnsi="Verdana"/>
          <w:i/>
          <w:iCs/>
          <w:spacing w:val="-1"/>
          <w:sz w:val="24"/>
          <w:szCs w:val="24"/>
          <w:lang w:val="es-ES" w:eastAsia="es-ES"/>
        </w:rPr>
        <w:t>xxx</w:t>
      </w:r>
      <w:r w:rsidRPr="0019747C">
        <w:rPr>
          <w:rFonts w:ascii="Verdana" w:hAnsi="Verdana"/>
          <w:i/>
          <w:iCs/>
          <w:spacing w:val="-1"/>
          <w:sz w:val="24"/>
          <w:szCs w:val="24"/>
          <w:lang w:val="es-ES" w:eastAsia="es-ES"/>
        </w:rPr>
        <w:t>.MODIFICADO</w:t>
      </w:r>
      <w:proofErr w:type="spellEnd"/>
      <w:proofErr w:type="gramEnd"/>
      <w:r w:rsidRPr="0019747C">
        <w:rPr>
          <w:rFonts w:ascii="Verdana" w:hAnsi="Verdana"/>
          <w:i/>
          <w:iCs/>
          <w:spacing w:val="-1"/>
          <w:sz w:val="24"/>
          <w:szCs w:val="24"/>
          <w:lang w:val="es-ES" w:eastAsia="es-ES"/>
        </w:rPr>
        <w:t xml:space="preserve"> PUNTO 8 Autorizar desde el punto de vista técnico la integración del sistema operativo del permiso de la anterior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descrita como </w:t>
      </w:r>
      <w:proofErr w:type="spellStart"/>
      <w:r w:rsidR="00080C93">
        <w:rPr>
          <w:rFonts w:ascii="Verdana" w:hAnsi="Verdana"/>
          <w:i/>
          <w:iCs/>
          <w:spacing w:val="-1"/>
          <w:sz w:val="24"/>
          <w:szCs w:val="24"/>
          <w:u w:val="single"/>
          <w:lang w:val="es-ES" w:eastAsia="es-ES"/>
        </w:rPr>
        <w:t>xxx</w:t>
      </w:r>
      <w:proofErr w:type="spellEnd"/>
      <w:r w:rsidRPr="0019747C">
        <w:rPr>
          <w:rFonts w:ascii="Verdana" w:hAnsi="Verdana"/>
          <w:i/>
          <w:iCs/>
          <w:spacing w:val="-1"/>
          <w:sz w:val="24"/>
          <w:szCs w:val="24"/>
          <w:u w:val="single"/>
          <w:lang w:val="es-ES" w:eastAsia="es-ES"/>
        </w:rPr>
        <w:t xml:space="preserve">; a favor de las rutas en concesión  números </w:t>
      </w:r>
      <w:proofErr w:type="spellStart"/>
      <w:r w:rsidR="00080C93">
        <w:rPr>
          <w:rFonts w:ascii="Verdana" w:hAnsi="Verdana"/>
          <w:i/>
          <w:iCs/>
          <w:spacing w:val="-1"/>
          <w:sz w:val="24"/>
          <w:szCs w:val="24"/>
          <w:u w:val="single"/>
          <w:lang w:val="es-ES" w:eastAsia="es-ES"/>
        </w:rPr>
        <w:t>xxx</w:t>
      </w:r>
      <w:proofErr w:type="spellEnd"/>
      <w:r w:rsidRPr="0019747C">
        <w:rPr>
          <w:rFonts w:ascii="Verdana" w:hAnsi="Verdana"/>
          <w:i/>
          <w:iCs/>
          <w:spacing w:val="-1"/>
          <w:sz w:val="24"/>
          <w:szCs w:val="24"/>
          <w:u w:val="single"/>
          <w:lang w:val="es-ES" w:eastAsia="es-ES"/>
        </w:rPr>
        <w:t>, operadas por.  T</w:t>
      </w:r>
      <w:r w:rsidR="0019747C">
        <w:rPr>
          <w:rFonts w:ascii="Verdana" w:hAnsi="Verdana"/>
          <w:i/>
          <w:iCs/>
          <w:spacing w:val="-1"/>
          <w:sz w:val="24"/>
          <w:szCs w:val="24"/>
          <w:u w:val="single"/>
          <w:lang w:val="es-ES" w:eastAsia="es-ES"/>
        </w:rPr>
        <w:t>.L.</w:t>
      </w:r>
      <w:r w:rsidRPr="0019747C">
        <w:rPr>
          <w:rFonts w:ascii="Verdana" w:hAnsi="Verdana"/>
          <w:i/>
          <w:iCs/>
          <w:spacing w:val="-1"/>
          <w:sz w:val="24"/>
          <w:szCs w:val="24"/>
          <w:u w:val="single"/>
          <w:lang w:val="es-ES" w:eastAsia="es-ES"/>
        </w:rPr>
        <w:t xml:space="preserve"> Unificando en </w:t>
      </w:r>
      <w:proofErr w:type="gramStart"/>
      <w:r w:rsidRPr="0019747C">
        <w:rPr>
          <w:rFonts w:ascii="Verdana" w:hAnsi="Verdana"/>
          <w:i/>
          <w:iCs/>
          <w:spacing w:val="-1"/>
          <w:sz w:val="24"/>
          <w:szCs w:val="24"/>
          <w:u w:val="single"/>
          <w:lang w:val="es-ES" w:eastAsia="es-ES"/>
        </w:rPr>
        <w:t>un  único</w:t>
      </w:r>
      <w:proofErr w:type="gramEnd"/>
      <w:r w:rsidRPr="0019747C">
        <w:rPr>
          <w:rFonts w:ascii="Verdana" w:hAnsi="Verdana"/>
          <w:i/>
          <w:iCs/>
          <w:spacing w:val="-1"/>
          <w:sz w:val="24"/>
          <w:szCs w:val="24"/>
          <w:u w:val="single"/>
          <w:lang w:val="es-ES" w:eastAsia="es-ES"/>
        </w:rPr>
        <w:t xml:space="preserve"> nuevo código de</w:t>
      </w:r>
      <w:r w:rsidR="0019747C">
        <w:rPr>
          <w:rFonts w:ascii="Verdana" w:hAnsi="Verdana"/>
          <w:i/>
          <w:iCs/>
          <w:spacing w:val="-1"/>
          <w:sz w:val="24"/>
          <w:szCs w:val="24"/>
          <w:u w:val="single"/>
          <w:lang w:val="es-ES" w:eastAsia="es-ES"/>
        </w:rPr>
        <w:t xml:space="preserve"> </w:t>
      </w:r>
      <w:r w:rsidRPr="0019747C">
        <w:rPr>
          <w:rFonts w:ascii="Verdana" w:hAnsi="Verdana"/>
          <w:i/>
          <w:iCs/>
          <w:spacing w:val="-1"/>
          <w:sz w:val="24"/>
          <w:szCs w:val="24"/>
          <w:u w:val="single"/>
          <w:lang w:val="es-ES" w:eastAsia="es-ES"/>
        </w:rPr>
        <w:t>ruta, operado por T</w:t>
      </w:r>
      <w:r w:rsidR="0019747C">
        <w:rPr>
          <w:rFonts w:ascii="Verdana" w:hAnsi="Verdana"/>
          <w:i/>
          <w:iCs/>
          <w:spacing w:val="-1"/>
          <w:sz w:val="24"/>
          <w:szCs w:val="24"/>
          <w:u w:val="single"/>
          <w:lang w:val="es-ES" w:eastAsia="es-ES"/>
        </w:rPr>
        <w:t>.</w:t>
      </w:r>
      <w:r w:rsidRPr="0019747C">
        <w:rPr>
          <w:rFonts w:ascii="Verdana" w:hAnsi="Verdana"/>
          <w:i/>
          <w:iCs/>
          <w:spacing w:val="-1"/>
          <w:sz w:val="24"/>
          <w:szCs w:val="24"/>
          <w:u w:val="single"/>
          <w:lang w:val="es-ES" w:eastAsia="es-ES"/>
        </w:rPr>
        <w:t>L</w:t>
      </w:r>
      <w:r w:rsidR="0019747C">
        <w:rPr>
          <w:rFonts w:ascii="Verdana" w:hAnsi="Verdana"/>
          <w:i/>
          <w:iCs/>
          <w:spacing w:val="-1"/>
          <w:sz w:val="24"/>
          <w:szCs w:val="24"/>
          <w:u w:val="single"/>
          <w:lang w:val="es-ES" w:eastAsia="es-ES"/>
        </w:rPr>
        <w:t>.</w:t>
      </w:r>
      <w:r w:rsidRPr="0019747C">
        <w:rPr>
          <w:rFonts w:ascii="Verdana" w:hAnsi="Verdana"/>
          <w:i/>
          <w:iCs/>
          <w:spacing w:val="-1"/>
          <w:sz w:val="24"/>
          <w:szCs w:val="24"/>
          <w:u w:val="single"/>
          <w:lang w:val="es-ES" w:eastAsia="es-ES"/>
        </w:rPr>
        <w:t xml:space="preserve">, que deberá ser definido por La Dirección. Técnica de este Consejo, en un plazo de 30 </w:t>
      </w:r>
      <w:proofErr w:type="gramStart"/>
      <w:r w:rsidRPr="0019747C">
        <w:rPr>
          <w:rFonts w:ascii="Verdana" w:hAnsi="Verdana"/>
          <w:i/>
          <w:iCs/>
          <w:spacing w:val="-1"/>
          <w:sz w:val="24"/>
          <w:szCs w:val="24"/>
          <w:u w:val="single"/>
          <w:lang w:val="es-ES" w:eastAsia="es-ES"/>
        </w:rPr>
        <w:t>días,  mientras</w:t>
      </w:r>
      <w:proofErr w:type="gramEnd"/>
      <w:r w:rsidRPr="0019747C">
        <w:rPr>
          <w:rFonts w:ascii="Verdana" w:hAnsi="Verdana"/>
          <w:i/>
          <w:iCs/>
          <w:spacing w:val="-1"/>
          <w:sz w:val="24"/>
          <w:szCs w:val="24"/>
          <w:u w:val="single"/>
          <w:lang w:val="es-ES" w:eastAsia="es-ES"/>
        </w:rPr>
        <w:t xml:space="preserve"> esto se realiza se utilizará de manera provisional el código de  Ruta </w:t>
      </w:r>
      <w:proofErr w:type="spellStart"/>
      <w:r w:rsidR="00080C93">
        <w:rPr>
          <w:rFonts w:ascii="Verdana" w:hAnsi="Verdana"/>
          <w:i/>
          <w:iCs/>
          <w:spacing w:val="-1"/>
          <w:sz w:val="24"/>
          <w:szCs w:val="24"/>
          <w:u w:val="single"/>
          <w:lang w:val="es-ES" w:eastAsia="es-ES"/>
        </w:rPr>
        <w:t>xxx</w:t>
      </w:r>
      <w:proofErr w:type="spellEnd"/>
      <w:r w:rsidRPr="0019747C">
        <w:rPr>
          <w:rFonts w:ascii="Verdana" w:hAnsi="Verdana"/>
          <w:i/>
          <w:iCs/>
          <w:spacing w:val="-1"/>
          <w:sz w:val="24"/>
          <w:szCs w:val="24"/>
          <w:u w:val="single"/>
          <w:lang w:val="es-ES" w:eastAsia="es-ES"/>
        </w:rPr>
        <w:t>, descrita como:</w:t>
      </w:r>
      <w:r w:rsidRPr="0019747C">
        <w:rPr>
          <w:rFonts w:ascii="Verdana" w:hAnsi="Verdana"/>
          <w:i/>
          <w:iCs/>
          <w:spacing w:val="-1"/>
          <w:sz w:val="24"/>
          <w:szCs w:val="24"/>
          <w:lang w:val="es-ES" w:eastAsia="es-ES"/>
        </w:rPr>
        <w:t xml:space="preserve">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w:t>
      </w:r>
      <w:proofErr w:type="spellStart"/>
      <w:r w:rsidR="00080C93">
        <w:rPr>
          <w:rFonts w:ascii="Verdana" w:hAnsi="Verdana"/>
          <w:i/>
          <w:iCs/>
          <w:spacing w:val="-1"/>
          <w:sz w:val="24"/>
          <w:szCs w:val="24"/>
          <w:lang w:val="es-ES" w:eastAsia="es-ES"/>
        </w:rPr>
        <w:t>xxxx</w:t>
      </w:r>
      <w:proofErr w:type="spellEnd"/>
      <w:r w:rsidRPr="0019747C">
        <w:rPr>
          <w:rFonts w:ascii="Verdana" w:hAnsi="Verdana"/>
          <w:i/>
          <w:iCs/>
          <w:spacing w:val="-1"/>
          <w:sz w:val="24"/>
          <w:szCs w:val="24"/>
          <w:lang w:val="es-ES" w:eastAsia="es-ES"/>
        </w:rPr>
        <w:t xml:space="preserve">; </w:t>
      </w:r>
      <w:proofErr w:type="spellStart"/>
      <w:r w:rsidR="00080C93">
        <w:rPr>
          <w:rFonts w:ascii="Verdana" w:hAnsi="Verdana"/>
          <w:i/>
          <w:iCs/>
          <w:spacing w:val="-1"/>
          <w:sz w:val="24"/>
          <w:szCs w:val="24"/>
          <w:lang w:val="es-ES" w:eastAsia="es-ES"/>
        </w:rPr>
        <w:t>xxxx</w:t>
      </w:r>
      <w:proofErr w:type="spellEnd"/>
      <w:r w:rsidRPr="0019747C">
        <w:rPr>
          <w:rFonts w:ascii="Verdana" w:hAnsi="Verdana"/>
          <w:i/>
          <w:iCs/>
          <w:spacing w:val="-1"/>
          <w:sz w:val="24"/>
          <w:szCs w:val="24"/>
          <w:lang w:val="es-ES" w:eastAsia="es-ES"/>
        </w:rPr>
        <w:t xml:space="preserve">;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Eliminando cualquier restricción de recorrido impuesta con anterioridad a esta ruta </w:t>
      </w:r>
      <w:proofErr w:type="spellStart"/>
      <w:r w:rsidR="00080C93">
        <w:rPr>
          <w:rFonts w:ascii="Verdana" w:hAnsi="Verdana"/>
          <w:i/>
          <w:iCs/>
          <w:spacing w:val="-1"/>
          <w:sz w:val="24"/>
          <w:szCs w:val="24"/>
          <w:lang w:val="es-ES" w:eastAsia="es-ES"/>
        </w:rPr>
        <w:t>xxx</w:t>
      </w:r>
      <w:proofErr w:type="spellEnd"/>
      <w:r w:rsidRPr="0019747C">
        <w:rPr>
          <w:rFonts w:ascii="Verdana" w:hAnsi="Verdana"/>
          <w:i/>
          <w:iCs/>
          <w:spacing w:val="-1"/>
          <w:sz w:val="24"/>
          <w:szCs w:val="24"/>
          <w:lang w:val="es-ES" w:eastAsia="es-ES"/>
        </w:rPr>
        <w:t xml:space="preserve">. </w:t>
      </w:r>
      <w:r w:rsidRPr="0019747C">
        <w:rPr>
          <w:rFonts w:ascii="Verdana" w:hAnsi="Verdana"/>
          <w:i/>
          <w:iCs/>
          <w:spacing w:val="-1"/>
          <w:sz w:val="24"/>
          <w:szCs w:val="24"/>
          <w:u w:val="single"/>
          <w:lang w:val="es-ES" w:eastAsia="es-ES"/>
        </w:rPr>
        <w:t>Lo anterior en</w:t>
      </w:r>
      <w:r w:rsidR="0019747C">
        <w:rPr>
          <w:rFonts w:ascii="Verdana" w:hAnsi="Verdana"/>
          <w:i/>
          <w:iCs/>
          <w:spacing w:val="-1"/>
          <w:sz w:val="24"/>
          <w:szCs w:val="24"/>
          <w:u w:val="single"/>
          <w:lang w:val="es-ES" w:eastAsia="es-ES"/>
        </w:rPr>
        <w:t xml:space="preserve"> </w:t>
      </w:r>
      <w:r w:rsidRPr="0019747C">
        <w:rPr>
          <w:rFonts w:ascii="Verdana" w:hAnsi="Verdana"/>
          <w:i/>
          <w:iCs/>
          <w:sz w:val="24"/>
          <w:szCs w:val="24"/>
          <w:u w:val="single"/>
          <w:lang w:val="es-ES" w:eastAsia="es-ES"/>
        </w:rPr>
        <w:t>relación con los planes</w:t>
      </w:r>
      <w:proofErr w:type="gramStart"/>
      <w:r w:rsidRPr="0019747C">
        <w:rPr>
          <w:rFonts w:ascii="Verdana" w:hAnsi="Verdana"/>
          <w:i/>
          <w:iCs/>
          <w:sz w:val="24"/>
          <w:szCs w:val="24"/>
          <w:u w:val="single"/>
          <w:lang w:val="es-ES" w:eastAsia="es-ES"/>
        </w:rPr>
        <w:t xml:space="preserve"> ..</w:t>
      </w:r>
      <w:proofErr w:type="gramEnd"/>
      <w:r w:rsidRPr="0019747C">
        <w:rPr>
          <w:rFonts w:ascii="Verdana" w:hAnsi="Verdana"/>
          <w:i/>
          <w:iCs/>
          <w:sz w:val="24"/>
          <w:szCs w:val="24"/>
          <w:u w:val="single"/>
          <w:lang w:val="es-ES" w:eastAsia="es-ES"/>
        </w:rPr>
        <w:t>,y proyectos de sectorización que el Consejo de  Transporte Público está desarrollando a nivel nacional durante la presente</w:t>
      </w:r>
      <w:r w:rsidR="0019747C">
        <w:rPr>
          <w:rFonts w:ascii="Verdana" w:hAnsi="Verdana"/>
          <w:i/>
          <w:iCs/>
          <w:sz w:val="24"/>
          <w:szCs w:val="24"/>
          <w:u w:val="single"/>
          <w:lang w:val="es-ES" w:eastAsia="es-ES"/>
        </w:rPr>
        <w:t xml:space="preserve"> </w:t>
      </w:r>
      <w:r w:rsidRPr="0019747C">
        <w:rPr>
          <w:rFonts w:ascii="Verdana" w:hAnsi="Verdana"/>
          <w:i/>
          <w:iCs/>
          <w:spacing w:val="4"/>
          <w:sz w:val="24"/>
          <w:szCs w:val="24"/>
          <w:u w:val="single"/>
          <w:lang w:val="es-ES" w:eastAsia="es-ES"/>
        </w:rPr>
        <w:t>Administración, ello con base en las propuestas y diagramas que han sido  presentadas durante las mesas de trabajo, especialmente en lo referente a la de los operadores de fuera del Área Metropolitana.(...)".</w:t>
      </w:r>
      <w:r w:rsidRPr="0019747C">
        <w:rPr>
          <w:rFonts w:ascii="Verdana" w:hAnsi="Verdana" w:cs="Tahoma"/>
          <w:spacing w:val="4"/>
          <w:sz w:val="24"/>
          <w:szCs w:val="24"/>
          <w:lang w:val="es-ES" w:eastAsia="es-ES"/>
        </w:rPr>
        <w:t xml:space="preserve"> (tomado del registro electrónico del TAT, respecto de las Sesiones realizadas por el CTP y que han sido facilitadas por este último al Tribunal)</w:t>
      </w:r>
    </w:p>
    <w:p w14:paraId="5099F94C" w14:textId="77777777" w:rsidR="00B969D3" w:rsidRDefault="00B969D3">
      <w:pPr>
        <w:widowControl/>
        <w:rPr>
          <w:sz w:val="24"/>
          <w:szCs w:val="24"/>
        </w:rPr>
        <w:sectPr w:rsidR="00B969D3">
          <w:pgSz w:w="12240" w:h="15840"/>
          <w:pgMar w:top="1260" w:right="1642" w:bottom="344" w:left="1598" w:header="720" w:footer="720" w:gutter="0"/>
          <w:cols w:space="720"/>
          <w:noEndnote/>
        </w:sectPr>
      </w:pPr>
    </w:p>
    <w:p w14:paraId="3DFDB37F" w14:textId="77777777" w:rsidR="00B969D3" w:rsidRDefault="00B969D3">
      <w:pPr>
        <w:widowControl/>
        <w:rPr>
          <w:sz w:val="24"/>
          <w:szCs w:val="24"/>
        </w:rPr>
        <w:sectPr w:rsidR="00B969D3">
          <w:type w:val="continuous"/>
          <w:pgSz w:w="12240" w:h="15840"/>
          <w:pgMar w:top="1260" w:right="1688" w:bottom="344" w:left="8232" w:header="720" w:footer="720" w:gutter="0"/>
          <w:cols w:space="720"/>
          <w:noEndnote/>
        </w:sectPr>
      </w:pPr>
    </w:p>
    <w:p w14:paraId="48DBF5A3" w14:textId="77777777" w:rsidR="00B969D3" w:rsidRDefault="00E6369C" w:rsidP="0019747C">
      <w:pPr>
        <w:kinsoku w:val="0"/>
        <w:overflowPunct w:val="0"/>
        <w:autoSpaceDE/>
        <w:autoSpaceDN/>
        <w:adjustRightInd/>
        <w:spacing w:before="47"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SEGUNDO: </w:t>
      </w:r>
      <w:r>
        <w:rPr>
          <w:rFonts w:ascii="Verdana" w:hAnsi="Verdana" w:cs="Verdana"/>
          <w:sz w:val="24"/>
          <w:szCs w:val="24"/>
          <w:lang w:val="es-ES" w:eastAsia="es-ES"/>
        </w:rPr>
        <w:t>La Recurrente por medio de sus apoderados en líbelo presentado el 1 de noviembre de 2019 ante este Tribunal, indica lo siguiente: (ver folios del 1 al 35 del expediente administrativo)</w:t>
      </w:r>
    </w:p>
    <w:p w14:paraId="396B5AA3" w14:textId="15A17649" w:rsidR="00B969D3" w:rsidRDefault="00E6369C">
      <w:pPr>
        <w:numPr>
          <w:ilvl w:val="0"/>
          <w:numId w:val="1"/>
        </w:numPr>
        <w:kinsoku w:val="0"/>
        <w:overflowPunct w:val="0"/>
        <w:autoSpaceDE/>
        <w:autoSpaceDN/>
        <w:adjustRightInd/>
        <w:spacing w:before="286" w:line="293" w:lineRule="exact"/>
        <w:ind w:right="72"/>
        <w:jc w:val="both"/>
        <w:textAlignment w:val="baseline"/>
        <w:rPr>
          <w:rFonts w:ascii="Verdana" w:hAnsi="Verdana" w:cs="Verdana"/>
          <w:spacing w:val="-6"/>
          <w:sz w:val="24"/>
          <w:szCs w:val="24"/>
          <w:lang w:val="es-ES" w:eastAsia="es-ES"/>
        </w:rPr>
      </w:pPr>
      <w:r>
        <w:rPr>
          <w:rFonts w:ascii="Verdana" w:hAnsi="Verdana" w:cs="Verdana"/>
          <w:spacing w:val="-6"/>
          <w:sz w:val="24"/>
          <w:szCs w:val="24"/>
          <w:lang w:val="es-ES" w:eastAsia="es-ES"/>
        </w:rPr>
        <w:t xml:space="preserve">Que es permisionaria de la </w:t>
      </w:r>
      <w:proofErr w:type="spellStart"/>
      <w:r w:rsidR="00080C93">
        <w:rPr>
          <w:rFonts w:ascii="Verdana" w:hAnsi="Verdana" w:cs="Verdana"/>
          <w:spacing w:val="-6"/>
          <w:sz w:val="24"/>
          <w:szCs w:val="24"/>
          <w:lang w:val="es-ES" w:eastAsia="es-ES"/>
        </w:rPr>
        <w:t>xxx</w:t>
      </w:r>
      <w:proofErr w:type="spellEnd"/>
      <w:r>
        <w:rPr>
          <w:rFonts w:ascii="Verdana" w:hAnsi="Verdana" w:cs="Verdana"/>
          <w:spacing w:val="-6"/>
          <w:sz w:val="24"/>
          <w:szCs w:val="24"/>
          <w:lang w:val="es-ES" w:eastAsia="es-ES"/>
        </w:rPr>
        <w:t>, permiso que con el acuerdo impugnado le ha sido eliminado, pero en contravención de lo ordenado en dos sentencias judiciales, una de la Sala Primera la 0001427-F-S1-2012 de las 14 horas del 23 de octubre de 2012, la cual es aclarada y adicionada mediante sentencias 000535-A-S1-2013 de las 8:30 horas del 9 de mayo de 2013 y la sentencia 225-2019 del 29 de julio de 2019 de la Jueza de Ejecución del Tribunal Contencioso Administrativo y Civil de Hacienda.</w:t>
      </w:r>
    </w:p>
    <w:p w14:paraId="6680F2AF" w14:textId="30DE8E4A" w:rsidR="00B969D3" w:rsidRDefault="00E6369C">
      <w:pPr>
        <w:numPr>
          <w:ilvl w:val="0"/>
          <w:numId w:val="1"/>
        </w:numPr>
        <w:kinsoku w:val="0"/>
        <w:overflowPunct w:val="0"/>
        <w:autoSpaceDE/>
        <w:autoSpaceDN/>
        <w:adjustRightInd/>
        <w:spacing w:before="292"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Que la Junta Directiva del Consejo de Transporte Público, con cuatro votos a favor de sus siete miembros, se aparta del criterio técnico de sus órganos consultivos, y en clara desobediencia de resoluciones judiciales, acuerdan cesar a la recurrente en la prestación del servicio en la </w:t>
      </w:r>
      <w:proofErr w:type="spellStart"/>
      <w:r w:rsidR="00080C93">
        <w:rPr>
          <w:rFonts w:ascii="Verdana" w:hAnsi="Verdana" w:cs="Verdana"/>
          <w:sz w:val="24"/>
          <w:szCs w:val="24"/>
          <w:lang w:val="es-ES" w:eastAsia="es-ES"/>
        </w:rPr>
        <w:t>xxx</w:t>
      </w:r>
      <w:proofErr w:type="spellEnd"/>
      <w:r>
        <w:rPr>
          <w:rFonts w:ascii="Verdana" w:hAnsi="Verdana" w:cs="Verdana"/>
          <w:sz w:val="24"/>
          <w:szCs w:val="24"/>
          <w:lang w:val="es-ES" w:eastAsia="es-ES"/>
        </w:rPr>
        <w:t>.</w:t>
      </w:r>
    </w:p>
    <w:p w14:paraId="7BEB0ABF" w14:textId="77777777" w:rsidR="00B969D3" w:rsidRDefault="00E6369C">
      <w:pPr>
        <w:kinsoku w:val="0"/>
        <w:overflowPunct w:val="0"/>
        <w:autoSpaceDE/>
        <w:autoSpaceDN/>
        <w:adjustRightInd/>
        <w:spacing w:before="292" w:line="293"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TERCERO: </w:t>
      </w:r>
      <w:r>
        <w:rPr>
          <w:rFonts w:ascii="Verdana" w:hAnsi="Verdana" w:cs="Verdana"/>
          <w:spacing w:val="-3"/>
          <w:sz w:val="24"/>
          <w:szCs w:val="24"/>
          <w:lang w:val="es-ES" w:eastAsia="es-ES"/>
        </w:rPr>
        <w:t>La Jueza de Ejecución del Tribunal Contencioso Administrativo y Civil de Hacienda, mediante sentencia oral 455-2019 de las 10 horas 45 minutos del 14 de noviembre de 2019, determinó entre otros lo siguiente: (Escúchese lo consignado en la audiencia oral realizada el 14 de noviembre de 2019 al minuto 02.03.49)</w:t>
      </w:r>
    </w:p>
    <w:p w14:paraId="0308462A" w14:textId="77777777" w:rsidR="00B969D3" w:rsidRDefault="00E6369C">
      <w:pPr>
        <w:kinsoku w:val="0"/>
        <w:overflowPunct w:val="0"/>
        <w:autoSpaceDE/>
        <w:autoSpaceDN/>
        <w:adjustRightInd/>
        <w:spacing w:before="295" w:line="293"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"...De allí que esta juzgadora es siempre ha sido reacia a ese tema reacia también al incumplimiento de lo dispuesto en las sentencias no es la primera vez ya indique que se resuelve un tema de nulidad por que el código le da la potestad y he sido razonablemente indicando porque motivo aún y cuando concuerdo que la Junta del CTP tiene un ánimo importante este de resolución y tiene una potestad discrecional lo cierto es que en este' caso como se indicó lo dispuesto precisamente en el artículo 7.1 de la Sesión 67-219 es contrario a lo dispuesto en la sentencia de la Sala Primera de la Corte Suprema de Justicia decretándose en este acto su nulidad para que tome nota la representación del CTP, aún y cuando las partes....."</w:t>
      </w:r>
    </w:p>
    <w:p w14:paraId="6F7867A3" w14:textId="77777777" w:rsidR="00B969D3" w:rsidRDefault="00E6369C">
      <w:pPr>
        <w:kinsoku w:val="0"/>
        <w:overflowPunct w:val="0"/>
        <w:autoSpaceDE/>
        <w:autoSpaceDN/>
        <w:adjustRightInd/>
        <w:spacing w:before="618" w:line="279"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14:paraId="792CC2C3" w14:textId="77777777" w:rsidR="00B969D3" w:rsidRDefault="00E6369C">
      <w:pPr>
        <w:kinsoku w:val="0"/>
        <w:overflowPunct w:val="0"/>
        <w:autoSpaceDE/>
        <w:autoSpaceDN/>
        <w:adjustRightInd/>
        <w:spacing w:before="297" w:after="1550" w:line="298"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Redacta el </w:t>
      </w:r>
      <w:r w:rsidR="0019747C">
        <w:rPr>
          <w:rFonts w:ascii="Verdana" w:hAnsi="Verdana" w:cs="Verdana"/>
          <w:b/>
          <w:bCs/>
          <w:spacing w:val="-1"/>
          <w:sz w:val="24"/>
          <w:szCs w:val="24"/>
          <w:lang w:val="es-ES" w:eastAsia="es-ES"/>
        </w:rPr>
        <w:t>J</w:t>
      </w:r>
      <w:r>
        <w:rPr>
          <w:rFonts w:ascii="Verdana" w:hAnsi="Verdana" w:cs="Verdana"/>
          <w:b/>
          <w:bCs/>
          <w:spacing w:val="-1"/>
          <w:sz w:val="24"/>
          <w:szCs w:val="24"/>
          <w:lang w:val="es-ES" w:eastAsia="es-ES"/>
        </w:rPr>
        <w:t>uez Muñoz Corea; y,</w:t>
      </w:r>
    </w:p>
    <w:p w14:paraId="4538AEFF" w14:textId="77777777" w:rsidR="00B969D3" w:rsidRDefault="00B969D3">
      <w:pPr>
        <w:widowControl/>
        <w:rPr>
          <w:sz w:val="24"/>
          <w:szCs w:val="24"/>
        </w:rPr>
        <w:sectPr w:rsidR="00B969D3">
          <w:pgSz w:w="12240" w:h="15840"/>
          <w:pgMar w:top="1460" w:right="1576" w:bottom="220" w:left="1664" w:header="720" w:footer="720" w:gutter="0"/>
          <w:cols w:space="720"/>
          <w:noEndnote/>
        </w:sectPr>
      </w:pPr>
    </w:p>
    <w:p w14:paraId="2A9E45BA" w14:textId="77777777" w:rsidR="00B969D3" w:rsidRDefault="00B969D3">
      <w:pPr>
        <w:widowControl/>
        <w:rPr>
          <w:sz w:val="24"/>
          <w:szCs w:val="24"/>
        </w:rPr>
        <w:sectPr w:rsidR="00B969D3">
          <w:type w:val="continuous"/>
          <w:pgSz w:w="12240" w:h="15840"/>
          <w:pgMar w:top="1460" w:right="1597" w:bottom="220" w:left="8323" w:header="720" w:footer="720" w:gutter="0"/>
          <w:cols w:space="720"/>
          <w:noEndnote/>
        </w:sectPr>
      </w:pPr>
    </w:p>
    <w:p w14:paraId="14E5C94A" w14:textId="77777777" w:rsidR="00B969D3" w:rsidRDefault="00E6369C">
      <w:pPr>
        <w:kinsoku w:val="0"/>
        <w:overflowPunct w:val="0"/>
        <w:autoSpaceDE/>
        <w:autoSpaceDN/>
        <w:adjustRightInd/>
        <w:spacing w:before="9" w:line="293" w:lineRule="exact"/>
        <w:ind w:left="72"/>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lastRenderedPageBreak/>
        <w:t>CONSIDERANDO:</w:t>
      </w:r>
    </w:p>
    <w:p w14:paraId="4E67D1C1" w14:textId="77777777" w:rsidR="00B969D3" w:rsidRDefault="00E6369C">
      <w:pPr>
        <w:kinsoku w:val="0"/>
        <w:overflowPunct w:val="0"/>
        <w:autoSpaceDE/>
        <w:autoSpaceDN/>
        <w:adjustRightInd/>
        <w:spacing w:before="337"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Servido Público de Transporte Remunerado de Personas en Vehículos en enero del 2000, y el Dictamen C 37-2000, del 25 de febrero de 2000 de la Procuraduría General de la República, el Tribunal Administrativo de Transporte es el competente para conocer y resolver los recursos de apelación que se presenten contra los actos administrativos emanados del Consejo de Transporte Público.</w:t>
      </w:r>
    </w:p>
    <w:p w14:paraId="7FE6C9F4" w14:textId="77777777" w:rsidR="00B969D3" w:rsidRDefault="00E6369C">
      <w:pPr>
        <w:kinsoku w:val="0"/>
        <w:overflowPunct w:val="0"/>
        <w:autoSpaceDE/>
        <w:autoSpaceDN/>
        <w:adjustRightInd/>
        <w:spacing w:before="251" w:line="336"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anteriormente dicho, este Tribunal debe rechazar el presente líbelo por </w:t>
      </w:r>
      <w:r>
        <w:rPr>
          <w:rFonts w:ascii="Verdana" w:hAnsi="Verdana" w:cs="Verdana"/>
          <w:b/>
          <w:bCs/>
          <w:sz w:val="24"/>
          <w:szCs w:val="24"/>
          <w:lang w:val="es-ES" w:eastAsia="es-ES"/>
        </w:rPr>
        <w:t>Falta de Interés Actual.</w:t>
      </w:r>
    </w:p>
    <w:p w14:paraId="53DE849C" w14:textId="6A077586" w:rsidR="00B969D3" w:rsidRDefault="00E6369C">
      <w:pPr>
        <w:kinsoku w:val="0"/>
        <w:overflowPunct w:val="0"/>
        <w:autoSpaceDE/>
        <w:autoSpaceDN/>
        <w:adjustRightInd/>
        <w:spacing w:before="195" w:line="291"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Al ser el objeto del Recurso presentado por la </w:t>
      </w:r>
      <w:r w:rsidR="0019747C">
        <w:rPr>
          <w:rFonts w:ascii="Verdana" w:hAnsi="Verdana" w:cs="Verdana"/>
          <w:spacing w:val="-2"/>
          <w:sz w:val="24"/>
          <w:szCs w:val="24"/>
          <w:lang w:val="es-ES" w:eastAsia="es-ES"/>
        </w:rPr>
        <w:t>E.</w:t>
      </w:r>
      <w:r>
        <w:rPr>
          <w:rFonts w:ascii="Verdana" w:hAnsi="Verdana" w:cs="Verdana"/>
          <w:spacing w:val="-2"/>
          <w:sz w:val="24"/>
          <w:szCs w:val="24"/>
          <w:lang w:val="es-ES" w:eastAsia="es-ES"/>
        </w:rPr>
        <w:t>A</w:t>
      </w:r>
      <w:r w:rsidR="0019747C">
        <w:rPr>
          <w:rFonts w:ascii="Verdana" w:hAnsi="Verdana" w:cs="Verdana"/>
          <w:spacing w:val="-2"/>
          <w:sz w:val="24"/>
          <w:szCs w:val="24"/>
          <w:lang w:val="es-ES" w:eastAsia="es-ES"/>
        </w:rPr>
        <w:t>.L.</w:t>
      </w:r>
      <w:r>
        <w:rPr>
          <w:rFonts w:ascii="Verdana" w:hAnsi="Verdana" w:cs="Verdana"/>
          <w:spacing w:val="-2"/>
          <w:sz w:val="24"/>
          <w:szCs w:val="24"/>
          <w:lang w:val="es-ES" w:eastAsia="es-ES"/>
        </w:rPr>
        <w:t xml:space="preserve">, la anulación por parte de este Tribunal Administrativo de Transporte, del </w:t>
      </w:r>
      <w:r>
        <w:rPr>
          <w:rFonts w:ascii="Verdana" w:hAnsi="Verdana" w:cs="Verdana"/>
          <w:b/>
          <w:bCs/>
          <w:spacing w:val="-2"/>
          <w:sz w:val="24"/>
          <w:szCs w:val="24"/>
          <w:lang w:val="es-ES" w:eastAsia="es-ES"/>
        </w:rPr>
        <w:t xml:space="preserve">Artículo 7.1 de la Sesión Ordinaria 67-2019 de 22 de octubre de 2019, y la consecuente restitución de la recurrente como permisionaria de la </w:t>
      </w:r>
      <w:proofErr w:type="spellStart"/>
      <w:r w:rsidR="00080C93">
        <w:rPr>
          <w:rFonts w:ascii="Verdana" w:hAnsi="Verdana" w:cs="Verdana"/>
          <w:b/>
          <w:bCs/>
          <w:spacing w:val="-2"/>
          <w:sz w:val="24"/>
          <w:szCs w:val="24"/>
          <w:lang w:val="es-ES" w:eastAsia="es-ES"/>
        </w:rPr>
        <w:t>xxx</w:t>
      </w:r>
      <w:proofErr w:type="spellEnd"/>
      <w:r>
        <w:rPr>
          <w:rFonts w:ascii="Verdana" w:hAnsi="Verdana" w:cs="Verdana"/>
          <w:b/>
          <w:bCs/>
          <w:spacing w:val="-2"/>
          <w:sz w:val="24"/>
          <w:szCs w:val="24"/>
          <w:lang w:val="es-ES" w:eastAsia="es-ES"/>
        </w:rPr>
        <w:t xml:space="preserve"> hasta que se dé el proceso Licitatorio, </w:t>
      </w:r>
      <w:r>
        <w:rPr>
          <w:rFonts w:ascii="Verdana" w:hAnsi="Verdana" w:cs="Verdana"/>
          <w:spacing w:val="-2"/>
          <w:sz w:val="24"/>
          <w:szCs w:val="24"/>
          <w:lang w:val="es-ES" w:eastAsia="es-ES"/>
        </w:rPr>
        <w:t xml:space="preserve">y al haberse dado que </w:t>
      </w:r>
      <w:r>
        <w:rPr>
          <w:rFonts w:ascii="Verdana" w:hAnsi="Verdana" w:cs="Verdana"/>
          <w:b/>
          <w:bCs/>
          <w:spacing w:val="-2"/>
          <w:sz w:val="24"/>
          <w:szCs w:val="24"/>
          <w:lang w:val="es-ES" w:eastAsia="es-ES"/>
        </w:rPr>
        <w:t xml:space="preserve">La Jueza de Ejecución del Tribunal Contencioso Administrativo y Civil de Hacienda, mediante sentencia oral </w:t>
      </w:r>
      <w:r w:rsidR="00080C93">
        <w:rPr>
          <w:rFonts w:ascii="Verdana" w:hAnsi="Verdana" w:cs="Verdana"/>
          <w:b/>
          <w:bCs/>
          <w:spacing w:val="-2"/>
          <w:sz w:val="24"/>
          <w:szCs w:val="24"/>
          <w:lang w:val="es-ES" w:eastAsia="es-ES"/>
        </w:rPr>
        <w:t>xxx</w:t>
      </w:r>
      <w:r>
        <w:rPr>
          <w:rFonts w:ascii="Verdana" w:hAnsi="Verdana" w:cs="Verdana"/>
          <w:b/>
          <w:bCs/>
          <w:spacing w:val="-2"/>
          <w:sz w:val="24"/>
          <w:szCs w:val="24"/>
          <w:lang w:val="es-ES" w:eastAsia="es-ES"/>
        </w:rPr>
        <w:t xml:space="preserve">, determino </w:t>
      </w:r>
      <w:r>
        <w:rPr>
          <w:rFonts w:ascii="Verdana" w:hAnsi="Verdana" w:cs="Verdana"/>
          <w:i/>
          <w:iCs/>
          <w:spacing w:val="-2"/>
          <w:sz w:val="24"/>
          <w:szCs w:val="24"/>
          <w:lang w:val="es-ES" w:eastAsia="es-ES"/>
        </w:rPr>
        <w:t xml:space="preserve">"...De allí que esta juzgadora es siempre ha sido reacia a ese tema reacia también al incumplimiento de lo dispuesto en las sentencias no es la primera vez ya indique que se resuelve un tema de nulidad por que el código le da la potestad y he sido razonablemente indicando porque motivo aún y cuando concuerdo que la Junta del CTP tiene un ánimo importante este de resolución y tiene una potestad discrecional lo cierto es que en este caso como se indicó lo dispuesto precisamente en el artículo 7.1 de la Sesión 67-219 es contrario a lo dispuesto en la sentencia de la Sala Primera de la Corte Suprema de Justicia decretándose en este acto su nulidad para que tome nota la representación del CTP, aún y cuando las partes....." </w:t>
      </w:r>
      <w:r>
        <w:rPr>
          <w:rFonts w:ascii="Verdana" w:hAnsi="Verdana" w:cs="Verdana"/>
          <w:spacing w:val="-2"/>
          <w:sz w:val="24"/>
          <w:szCs w:val="24"/>
          <w:lang w:val="es-ES" w:eastAsia="es-ES"/>
        </w:rPr>
        <w:t>Es claro y evidente que el asunto carece de interés actual.</w:t>
      </w:r>
    </w:p>
    <w:p w14:paraId="1A922EF7" w14:textId="76BF176C" w:rsidR="00B969D3" w:rsidRDefault="00E6369C" w:rsidP="00755DCE">
      <w:pPr>
        <w:kinsoku w:val="0"/>
        <w:overflowPunct w:val="0"/>
        <w:autoSpaceDE/>
        <w:autoSpaceDN/>
        <w:adjustRightInd/>
        <w:spacing w:before="283" w:line="289"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Sentencia indicada, no solo procedió a la anulación del acto administrativo, sino que además restituyó en la operación de la </w:t>
      </w:r>
      <w:proofErr w:type="spellStart"/>
      <w:r w:rsidR="00080C93">
        <w:rPr>
          <w:rFonts w:ascii="Verdana" w:hAnsi="Verdana" w:cs="Verdana"/>
          <w:sz w:val="24"/>
          <w:szCs w:val="24"/>
          <w:lang w:val="es-ES" w:eastAsia="es-ES"/>
        </w:rPr>
        <w:t>xxx</w:t>
      </w:r>
      <w:proofErr w:type="spellEnd"/>
      <w:r>
        <w:rPr>
          <w:rFonts w:ascii="Verdana" w:hAnsi="Verdana" w:cs="Verdana"/>
          <w:sz w:val="24"/>
          <w:szCs w:val="24"/>
          <w:lang w:val="es-ES" w:eastAsia="es-ES"/>
        </w:rPr>
        <w:t xml:space="preserve"> a la Recurrente, y ordenó al Consejo de Transporte Público, de una vez por todas, proceder a realizar el respectivo proceso licitatorio, por lo que este caso debe archivarse.</w:t>
      </w:r>
    </w:p>
    <w:p w14:paraId="7520687C" w14:textId="77777777" w:rsidR="00B969D3" w:rsidRDefault="00E6369C">
      <w:pPr>
        <w:kinsoku w:val="0"/>
        <w:overflowPunct w:val="0"/>
        <w:autoSpaceDE/>
        <w:autoSpaceDN/>
        <w:adjustRightInd/>
        <w:spacing w:before="290" w:line="327"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En nuestro sistema Jurídico Costarricense, el acto administrativo puede extinguirse por distintas causas.</w:t>
      </w:r>
    </w:p>
    <w:p w14:paraId="77554412" w14:textId="77777777" w:rsidR="00B969D3" w:rsidRDefault="00B969D3">
      <w:pPr>
        <w:widowControl/>
        <w:rPr>
          <w:sz w:val="24"/>
          <w:szCs w:val="24"/>
        </w:rPr>
        <w:sectPr w:rsidR="00B969D3">
          <w:pgSz w:w="12240" w:h="15840"/>
          <w:pgMar w:top="1260" w:right="1598" w:bottom="364" w:left="1642" w:header="720" w:footer="720" w:gutter="0"/>
          <w:cols w:space="720"/>
          <w:noEndnote/>
        </w:sectPr>
      </w:pPr>
    </w:p>
    <w:p w14:paraId="1D215D74" w14:textId="77777777" w:rsidR="00B969D3" w:rsidRDefault="00E6369C">
      <w:pPr>
        <w:kinsoku w:val="0"/>
        <w:overflowPunct w:val="0"/>
        <w:autoSpaceDE/>
        <w:autoSpaceDN/>
        <w:adjustRightInd/>
        <w:spacing w:line="322" w:lineRule="exact"/>
        <w:ind w:left="936" w:right="648"/>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Lo anterior tiene como consecuencia la cesación de los efectos jurídicos del acto administrativo lo que puede ocurrir por causas normales o por otras vías como sería el hecho sobrevenido.</w:t>
      </w:r>
    </w:p>
    <w:p w14:paraId="240AE8CF" w14:textId="77777777" w:rsidR="00B969D3" w:rsidRDefault="00E6369C">
      <w:pPr>
        <w:kinsoku w:val="0"/>
        <w:overflowPunct w:val="0"/>
        <w:autoSpaceDE/>
        <w:autoSpaceDN/>
        <w:adjustRightInd/>
        <w:spacing w:before="127" w:line="335" w:lineRule="exact"/>
        <w:ind w:left="936" w:right="648"/>
        <w:jc w:val="both"/>
        <w:textAlignment w:val="baseline"/>
        <w:rPr>
          <w:rFonts w:ascii="Verdana" w:hAnsi="Verdana" w:cs="Verdana"/>
          <w:sz w:val="24"/>
          <w:szCs w:val="24"/>
          <w:lang w:val="es-ES" w:eastAsia="es-ES"/>
        </w:rPr>
      </w:pPr>
      <w:r>
        <w:rPr>
          <w:rFonts w:ascii="Verdana" w:hAnsi="Verdana" w:cs="Verdana"/>
          <w:sz w:val="24"/>
          <w:szCs w:val="24"/>
          <w:lang w:val="es-ES" w:eastAsia="es-ES"/>
        </w:rPr>
        <w:t>Entre otros en nuestro sistema jurídico un acto administrativo puede extinguirse porque opere la Revocación por parte de la Administración, porque el beneficiario de un acto lo renuncie voluntariamente, por el cumplimiento de una condición resolutoria, por el advenimiento del plazo por el cual fue determinada su eficacia, o como sucede en este caso una Jueza de la República decreta su nulidad.</w:t>
      </w:r>
    </w:p>
    <w:p w14:paraId="5192137B" w14:textId="77777777" w:rsidR="00B969D3" w:rsidRDefault="00E6369C">
      <w:pPr>
        <w:kinsoku w:val="0"/>
        <w:overflowPunct w:val="0"/>
        <w:autoSpaceDE/>
        <w:autoSpaceDN/>
        <w:adjustRightInd/>
        <w:spacing w:before="161" w:line="295" w:lineRule="exact"/>
        <w:ind w:left="936"/>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Por lo dicho el presente asunto debe archivarse por falta de interés actual.</w:t>
      </w:r>
    </w:p>
    <w:p w14:paraId="6C023E0E" w14:textId="77777777" w:rsidR="00B969D3" w:rsidRDefault="00E6369C">
      <w:pPr>
        <w:kinsoku w:val="0"/>
        <w:overflowPunct w:val="0"/>
        <w:autoSpaceDE/>
        <w:autoSpaceDN/>
        <w:adjustRightInd/>
        <w:spacing w:before="295" w:line="287" w:lineRule="exact"/>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14:paraId="2D13A044" w14:textId="77777777" w:rsidR="00B969D3" w:rsidRDefault="00E6369C">
      <w:pPr>
        <w:numPr>
          <w:ilvl w:val="0"/>
          <w:numId w:val="2"/>
        </w:numPr>
        <w:kinsoku w:val="0"/>
        <w:overflowPunct w:val="0"/>
        <w:autoSpaceDE/>
        <w:autoSpaceDN/>
        <w:adjustRightInd/>
        <w:spacing w:before="299" w:line="292" w:lineRule="exact"/>
        <w:ind w:right="648"/>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Se ordena el archivo del expediente por falta de interés actual del Recurso de Apelación y Nulidad concomitante </w:t>
      </w:r>
      <w:r>
        <w:rPr>
          <w:rFonts w:ascii="Verdana" w:hAnsi="Verdana" w:cs="Verdana"/>
          <w:sz w:val="24"/>
          <w:szCs w:val="24"/>
          <w:lang w:val="es-ES" w:eastAsia="es-ES"/>
        </w:rPr>
        <w:t xml:space="preserve">presentado por la </w:t>
      </w:r>
      <w:r>
        <w:rPr>
          <w:rFonts w:ascii="Verdana" w:hAnsi="Verdana" w:cs="Verdana"/>
          <w:b/>
          <w:bCs/>
          <w:sz w:val="24"/>
          <w:szCs w:val="24"/>
          <w:lang w:val="es-ES" w:eastAsia="es-ES"/>
        </w:rPr>
        <w:t>E</w:t>
      </w:r>
      <w:r w:rsidR="00755DCE">
        <w:rPr>
          <w:rFonts w:ascii="Verdana" w:hAnsi="Verdana" w:cs="Verdana"/>
          <w:b/>
          <w:bCs/>
          <w:sz w:val="24"/>
          <w:szCs w:val="24"/>
          <w:lang w:val="es-ES" w:eastAsia="es-ES"/>
        </w:rPr>
        <w:t>.A.L.</w:t>
      </w:r>
      <w:r>
        <w:rPr>
          <w:rFonts w:ascii="Verdana" w:hAnsi="Verdana" w:cs="Verdana"/>
          <w:b/>
          <w:bCs/>
          <w:sz w:val="24"/>
          <w:szCs w:val="24"/>
          <w:lang w:val="es-ES" w:eastAsia="es-ES"/>
        </w:rPr>
        <w:t xml:space="preserve">, cédula jurídica </w:t>
      </w:r>
      <w:r w:rsidR="00755DCE">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por medio de sus</w:t>
      </w:r>
      <w:r>
        <w:rPr>
          <w:w w:val="45"/>
          <w:sz w:val="28"/>
          <w:szCs w:val="28"/>
          <w:lang w:val="es-ES" w:eastAsia="es-ES"/>
        </w:rPr>
        <w:t xml:space="preserve">. </w:t>
      </w:r>
      <w:r>
        <w:rPr>
          <w:rFonts w:ascii="Verdana" w:hAnsi="Verdana" w:cs="Verdana"/>
          <w:sz w:val="24"/>
          <w:szCs w:val="24"/>
          <w:lang w:val="es-ES" w:eastAsia="es-ES"/>
        </w:rPr>
        <w:t xml:space="preserve">Apoderados Generalísimos sin Límite de Suma, señores </w:t>
      </w:r>
      <w:r>
        <w:rPr>
          <w:rFonts w:ascii="Verdana" w:hAnsi="Verdana" w:cs="Verdana"/>
          <w:b/>
          <w:bCs/>
          <w:sz w:val="24"/>
          <w:szCs w:val="24"/>
          <w:lang w:val="es-ES" w:eastAsia="es-ES"/>
        </w:rPr>
        <w:t>G</w:t>
      </w:r>
      <w:r w:rsidR="00755DCE">
        <w:rPr>
          <w:rFonts w:ascii="Verdana" w:hAnsi="Verdana" w:cs="Verdana"/>
          <w:b/>
          <w:bCs/>
          <w:sz w:val="24"/>
          <w:szCs w:val="24"/>
          <w:lang w:val="es-ES" w:eastAsia="es-ES"/>
        </w:rPr>
        <w:t>.A.C.</w:t>
      </w:r>
      <w:r>
        <w:rPr>
          <w:rFonts w:ascii="Verdana" w:hAnsi="Verdana" w:cs="Verdana"/>
          <w:b/>
          <w:bCs/>
          <w:sz w:val="24"/>
          <w:szCs w:val="24"/>
          <w:lang w:val="es-ES" w:eastAsia="es-ES"/>
        </w:rPr>
        <w:t xml:space="preserve">, cédula de identidad número </w:t>
      </w:r>
      <w:r w:rsidR="00755DCE">
        <w:rPr>
          <w:rFonts w:ascii="Verdana" w:hAnsi="Verdana" w:cs="Verdana"/>
          <w:b/>
          <w:bCs/>
          <w:sz w:val="24"/>
          <w:szCs w:val="24"/>
          <w:lang w:val="es-ES" w:eastAsia="es-ES"/>
        </w:rPr>
        <w:t>…</w:t>
      </w:r>
      <w:r>
        <w:rPr>
          <w:rFonts w:ascii="Verdana" w:hAnsi="Verdana" w:cs="Verdana"/>
          <w:b/>
          <w:bCs/>
          <w:sz w:val="24"/>
          <w:szCs w:val="24"/>
          <w:lang w:val="es-ES" w:eastAsia="es-ES"/>
        </w:rPr>
        <w:t xml:space="preserve"> y R</w:t>
      </w:r>
      <w:r w:rsidR="00755DCE">
        <w:rPr>
          <w:rFonts w:ascii="Verdana" w:hAnsi="Verdana" w:cs="Verdana"/>
          <w:b/>
          <w:bCs/>
          <w:sz w:val="24"/>
          <w:szCs w:val="24"/>
          <w:lang w:val="es-ES" w:eastAsia="es-ES"/>
        </w:rPr>
        <w:t>.A.H.</w:t>
      </w:r>
      <w:r>
        <w:rPr>
          <w:rFonts w:ascii="Verdana" w:hAnsi="Verdana" w:cs="Verdana"/>
          <w:b/>
          <w:bCs/>
          <w:sz w:val="24"/>
          <w:szCs w:val="24"/>
          <w:lang w:val="es-ES" w:eastAsia="es-ES"/>
        </w:rPr>
        <w:t xml:space="preserve">, cédula de identidad número </w:t>
      </w:r>
      <w:r w:rsidR="00755DCE">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los </w:t>
      </w:r>
      <w:r>
        <w:rPr>
          <w:rFonts w:ascii="Verdana" w:hAnsi="Verdana" w:cs="Verdana"/>
          <w:b/>
          <w:bCs/>
          <w:sz w:val="24"/>
          <w:szCs w:val="24"/>
          <w:lang w:val="es-ES" w:eastAsia="es-ES"/>
        </w:rPr>
        <w:t xml:space="preserve">Artículo 7.1 de la Sesión Ordinaria 66-2019 del 17 de octubre de 2019 y contra la Sesión Ordinaria 67-2019 de 22 de octubre de 2019, </w:t>
      </w:r>
      <w:r>
        <w:rPr>
          <w:rFonts w:ascii="Verdana" w:hAnsi="Verdana" w:cs="Verdana"/>
          <w:sz w:val="24"/>
          <w:szCs w:val="24"/>
          <w:lang w:val="es-ES" w:eastAsia="es-ES"/>
        </w:rPr>
        <w:t xml:space="preserve">ambas de la Junta Directiva del Consejo de Transporte Público, por haber sido anulado por el Tribunal de Ejecución de lo Contencioso Administrativo y Civil de Hacienda, mediante </w:t>
      </w:r>
      <w:r>
        <w:rPr>
          <w:rFonts w:ascii="Verdana" w:hAnsi="Verdana" w:cs="Verdana"/>
          <w:b/>
          <w:bCs/>
          <w:sz w:val="24"/>
          <w:szCs w:val="24"/>
          <w:lang w:val="es-ES" w:eastAsia="es-ES"/>
        </w:rPr>
        <w:t>sentencia 455-2019 de las 10 horas 45 minutos del 14 de noviembre de 2019.</w:t>
      </w:r>
    </w:p>
    <w:p w14:paraId="64F809DF" w14:textId="77777777" w:rsidR="00B969D3" w:rsidRDefault="00E6369C" w:rsidP="00755DCE">
      <w:pPr>
        <w:numPr>
          <w:ilvl w:val="0"/>
          <w:numId w:val="3"/>
        </w:numPr>
        <w:kinsoku w:val="0"/>
        <w:overflowPunct w:val="0"/>
        <w:autoSpaceDE/>
        <w:autoSpaceDN/>
        <w:adjustRightInd/>
        <w:spacing w:before="302" w:line="292" w:lineRule="exact"/>
        <w:ind w:right="648"/>
        <w:jc w:val="both"/>
        <w:textAlignment w:val="baseline"/>
        <w:rPr>
          <w:sz w:val="24"/>
          <w:szCs w:val="24"/>
        </w:rPr>
      </w:pPr>
      <w:r>
        <w:rPr>
          <w:rFonts w:ascii="Verdana" w:hAnsi="Verdana" w:cs="Verdana"/>
          <w:sz w:val="24"/>
          <w:szCs w:val="24"/>
          <w:lang w:val="es-ES" w:eastAsia="es-ES"/>
        </w:rPr>
        <w:t xml:space="preserve">Notifíquese la presente resolución a la Dirección General de la Policía de Tránsito, para lo que corresponda. </w:t>
      </w:r>
      <w:r>
        <w:rPr>
          <w:rFonts w:ascii="Verdana" w:hAnsi="Verdana" w:cs="Verdana"/>
          <w:b/>
          <w:bCs/>
          <w:sz w:val="24"/>
          <w:szCs w:val="24"/>
          <w:lang w:val="es-ES" w:eastAsia="es-ES"/>
        </w:rPr>
        <w:t>NOTIFIQUESE.</w:t>
      </w:r>
      <w:r w:rsidR="00755DCE">
        <w:rPr>
          <w:sz w:val="24"/>
          <w:szCs w:val="24"/>
        </w:rPr>
        <w:t xml:space="preserve"> </w:t>
      </w:r>
    </w:p>
    <w:p w14:paraId="1A9FA08E" w14:textId="77777777" w:rsidR="00755DCE" w:rsidRDefault="00755DCE" w:rsidP="00755DCE">
      <w:pPr>
        <w:pStyle w:val="Ttulo1"/>
        <w:spacing w:before="0" w:after="0"/>
        <w:ind w:left="-187"/>
        <w:jc w:val="center"/>
        <w:rPr>
          <w:rFonts w:ascii="Times New Roman" w:hAnsi="Times New Roman" w:cs="Times New Roman"/>
          <w:b w:val="0"/>
          <w:color w:val="000000"/>
          <w:sz w:val="24"/>
          <w:szCs w:val="24"/>
        </w:rPr>
      </w:pPr>
    </w:p>
    <w:p w14:paraId="78DF3AAE" w14:textId="77777777" w:rsidR="00755DCE" w:rsidRDefault="00755DCE" w:rsidP="00755DCE">
      <w:pPr>
        <w:pStyle w:val="Ttulo1"/>
        <w:spacing w:before="0" w:after="0"/>
        <w:ind w:left="-187"/>
        <w:jc w:val="center"/>
        <w:rPr>
          <w:rFonts w:ascii="Times New Roman" w:hAnsi="Times New Roman" w:cs="Times New Roman"/>
          <w:b w:val="0"/>
          <w:color w:val="000000"/>
          <w:sz w:val="24"/>
          <w:szCs w:val="24"/>
        </w:rPr>
      </w:pPr>
    </w:p>
    <w:p w14:paraId="26DB0FE9" w14:textId="77777777" w:rsidR="00755DCE" w:rsidRDefault="00755DCE" w:rsidP="00755DCE">
      <w:pPr>
        <w:pStyle w:val="Ttulo1"/>
        <w:spacing w:before="0" w:after="0"/>
        <w:ind w:left="-187"/>
        <w:jc w:val="center"/>
        <w:rPr>
          <w:rFonts w:ascii="Times New Roman" w:hAnsi="Times New Roman" w:cs="Times New Roman"/>
          <w:b w:val="0"/>
          <w:color w:val="000000"/>
          <w:sz w:val="24"/>
          <w:szCs w:val="24"/>
        </w:rPr>
      </w:pPr>
    </w:p>
    <w:p w14:paraId="3CFE2A4C" w14:textId="77777777" w:rsidR="00755DCE" w:rsidRPr="00755DCE" w:rsidRDefault="00755DCE" w:rsidP="00E6369C">
      <w:pPr>
        <w:pStyle w:val="Ttulo1"/>
        <w:spacing w:before="0" w:after="0"/>
        <w:ind w:left="993" w:right="659"/>
        <w:jc w:val="center"/>
        <w:rPr>
          <w:rFonts w:ascii="Verdana" w:hAnsi="Verdana" w:cs="Times New Roman"/>
          <w:b w:val="0"/>
          <w:color w:val="000000"/>
          <w:sz w:val="24"/>
          <w:szCs w:val="24"/>
        </w:rPr>
      </w:pPr>
      <w:r w:rsidRPr="00755DCE">
        <w:rPr>
          <w:rFonts w:ascii="Verdana" w:hAnsi="Verdana" w:cs="Times New Roman"/>
          <w:b w:val="0"/>
          <w:color w:val="000000"/>
          <w:sz w:val="24"/>
          <w:szCs w:val="24"/>
        </w:rPr>
        <w:t>Lic. Ronald Muñoz Corea</w:t>
      </w:r>
    </w:p>
    <w:p w14:paraId="7DA9787A" w14:textId="77777777" w:rsidR="00755DCE" w:rsidRPr="00755DCE" w:rsidRDefault="00755DCE" w:rsidP="00E6369C">
      <w:pPr>
        <w:ind w:left="993" w:right="659"/>
        <w:jc w:val="center"/>
        <w:rPr>
          <w:rFonts w:ascii="Verdana" w:hAnsi="Verdana"/>
          <w:color w:val="000000"/>
          <w:sz w:val="24"/>
          <w:szCs w:val="24"/>
        </w:rPr>
      </w:pPr>
      <w:proofErr w:type="spellStart"/>
      <w:r w:rsidRPr="00755DCE">
        <w:rPr>
          <w:rFonts w:ascii="Verdana" w:hAnsi="Verdana"/>
          <w:color w:val="000000"/>
          <w:sz w:val="24"/>
          <w:szCs w:val="24"/>
        </w:rPr>
        <w:t>Presidente</w:t>
      </w:r>
      <w:proofErr w:type="spellEnd"/>
    </w:p>
    <w:p w14:paraId="697FDC79" w14:textId="77777777" w:rsidR="00755DCE" w:rsidRPr="00755DCE" w:rsidRDefault="00755DCE" w:rsidP="00E6369C">
      <w:pPr>
        <w:pStyle w:val="Ttulo1"/>
        <w:spacing w:before="0" w:after="0"/>
        <w:ind w:left="993" w:right="659"/>
        <w:jc w:val="center"/>
        <w:rPr>
          <w:rFonts w:ascii="Verdana" w:hAnsi="Verdana" w:cs="Times New Roman"/>
          <w:b w:val="0"/>
          <w:color w:val="000000"/>
          <w:sz w:val="24"/>
          <w:szCs w:val="24"/>
        </w:rPr>
      </w:pPr>
    </w:p>
    <w:p w14:paraId="693A0D68" w14:textId="77777777" w:rsidR="00755DCE" w:rsidRPr="00755DCE" w:rsidRDefault="00755DCE" w:rsidP="00E6369C">
      <w:pPr>
        <w:ind w:left="993" w:right="659"/>
        <w:jc w:val="center"/>
        <w:rPr>
          <w:rFonts w:ascii="Verdana" w:hAnsi="Verdana"/>
          <w:color w:val="000000"/>
          <w:lang w:eastAsia="es-ES"/>
        </w:rPr>
      </w:pPr>
    </w:p>
    <w:p w14:paraId="73214DDB" w14:textId="77777777" w:rsidR="00755DCE" w:rsidRPr="00755DCE" w:rsidRDefault="00755DCE" w:rsidP="00E6369C">
      <w:pPr>
        <w:ind w:left="993" w:right="659"/>
        <w:jc w:val="center"/>
        <w:rPr>
          <w:rFonts w:ascii="Verdana" w:hAnsi="Verdana"/>
          <w:color w:val="000000"/>
          <w:lang w:eastAsia="es-ES"/>
        </w:rPr>
      </w:pPr>
    </w:p>
    <w:p w14:paraId="5FB4CD28" w14:textId="77777777" w:rsidR="00755DCE" w:rsidRPr="00755DCE" w:rsidRDefault="00755DCE" w:rsidP="00E6369C">
      <w:pPr>
        <w:ind w:left="993" w:right="659"/>
        <w:jc w:val="center"/>
        <w:rPr>
          <w:rFonts w:ascii="Verdana" w:hAnsi="Verdana"/>
          <w:color w:val="000000"/>
          <w:lang w:eastAsia="es-ES"/>
        </w:rPr>
      </w:pPr>
    </w:p>
    <w:p w14:paraId="362F6873" w14:textId="77777777" w:rsidR="00755DCE" w:rsidRPr="00755DCE" w:rsidRDefault="00755DCE" w:rsidP="00E6369C">
      <w:pPr>
        <w:pStyle w:val="Ttulo1"/>
        <w:spacing w:before="0" w:after="0"/>
        <w:ind w:left="993" w:right="659"/>
        <w:jc w:val="center"/>
        <w:rPr>
          <w:rFonts w:ascii="Verdana" w:hAnsi="Verdana" w:cs="Times New Roman"/>
          <w:b w:val="0"/>
          <w:color w:val="000000"/>
          <w:sz w:val="24"/>
          <w:szCs w:val="24"/>
        </w:rPr>
      </w:pPr>
      <w:r w:rsidRPr="00755DCE">
        <w:rPr>
          <w:rFonts w:ascii="Verdana" w:hAnsi="Verdana" w:cs="Times New Roman"/>
          <w:b w:val="0"/>
          <w:color w:val="000000"/>
          <w:sz w:val="24"/>
          <w:szCs w:val="24"/>
        </w:rPr>
        <w:t>Lic. Mario Quesada Aguirre        Lic. Carlos Miguel Portuguez Méndez</w:t>
      </w:r>
    </w:p>
    <w:p w14:paraId="53C6D35A" w14:textId="77777777" w:rsidR="00755DCE" w:rsidRPr="00755DCE" w:rsidRDefault="00755DCE" w:rsidP="00E6369C">
      <w:pPr>
        <w:pStyle w:val="Ttulo1"/>
        <w:spacing w:before="0" w:after="0"/>
        <w:ind w:right="659"/>
        <w:jc w:val="center"/>
        <w:rPr>
          <w:rFonts w:ascii="Verdana" w:hAnsi="Verdana" w:cs="Times New Roman"/>
          <w:b w:val="0"/>
          <w:color w:val="000000"/>
          <w:sz w:val="24"/>
          <w:szCs w:val="24"/>
        </w:rPr>
      </w:pPr>
      <w:r w:rsidRPr="00755DCE">
        <w:rPr>
          <w:rFonts w:ascii="Verdana" w:hAnsi="Verdana" w:cs="Times New Roman"/>
          <w:b w:val="0"/>
          <w:color w:val="000000"/>
          <w:sz w:val="24"/>
          <w:szCs w:val="24"/>
        </w:rPr>
        <w:t xml:space="preserve">Juez </w:t>
      </w:r>
      <w:r w:rsidRPr="00755DCE">
        <w:rPr>
          <w:rFonts w:ascii="Verdana" w:hAnsi="Verdana" w:cs="Times New Roman"/>
          <w:b w:val="0"/>
          <w:color w:val="000000"/>
          <w:sz w:val="24"/>
          <w:szCs w:val="24"/>
        </w:rPr>
        <w:tab/>
      </w:r>
      <w:r w:rsidRPr="00755DCE">
        <w:rPr>
          <w:rFonts w:ascii="Verdana" w:hAnsi="Verdana" w:cs="Times New Roman"/>
          <w:b w:val="0"/>
          <w:color w:val="000000"/>
          <w:sz w:val="24"/>
          <w:szCs w:val="24"/>
        </w:rPr>
        <w:tab/>
      </w:r>
      <w:r w:rsidRPr="00755DCE">
        <w:rPr>
          <w:rFonts w:ascii="Verdana" w:hAnsi="Verdana" w:cs="Times New Roman"/>
          <w:b w:val="0"/>
          <w:color w:val="000000"/>
          <w:sz w:val="24"/>
          <w:szCs w:val="24"/>
        </w:rPr>
        <w:tab/>
        <w:t xml:space="preserve">     </w:t>
      </w:r>
      <w:r w:rsidRPr="00755DCE">
        <w:rPr>
          <w:rFonts w:ascii="Verdana" w:hAnsi="Verdana" w:cs="Times New Roman"/>
          <w:b w:val="0"/>
          <w:color w:val="000000"/>
          <w:sz w:val="24"/>
          <w:szCs w:val="24"/>
        </w:rPr>
        <w:tab/>
      </w:r>
      <w:r w:rsidRPr="00755DCE">
        <w:rPr>
          <w:rFonts w:ascii="Verdana" w:hAnsi="Verdana" w:cs="Times New Roman"/>
          <w:b w:val="0"/>
          <w:color w:val="000000"/>
          <w:sz w:val="24"/>
          <w:szCs w:val="24"/>
        </w:rPr>
        <w:tab/>
      </w:r>
      <w:r w:rsidRPr="00755DCE">
        <w:rPr>
          <w:rFonts w:ascii="Verdana" w:hAnsi="Verdana" w:cs="Times New Roman"/>
          <w:b w:val="0"/>
          <w:color w:val="000000"/>
          <w:sz w:val="24"/>
          <w:szCs w:val="24"/>
        </w:rPr>
        <w:tab/>
        <w:t xml:space="preserve"> </w:t>
      </w:r>
      <w:proofErr w:type="spellStart"/>
      <w:r w:rsidRPr="00755DCE">
        <w:rPr>
          <w:rFonts w:ascii="Verdana" w:hAnsi="Verdana" w:cs="Times New Roman"/>
          <w:b w:val="0"/>
          <w:color w:val="000000"/>
          <w:sz w:val="24"/>
          <w:szCs w:val="24"/>
        </w:rPr>
        <w:t>Juez</w:t>
      </w:r>
      <w:proofErr w:type="spellEnd"/>
    </w:p>
    <w:p w14:paraId="0DA6F9CB" w14:textId="77777777" w:rsidR="00755DCE" w:rsidRDefault="00755DCE" w:rsidP="00E6369C">
      <w:pPr>
        <w:kinsoku w:val="0"/>
        <w:overflowPunct w:val="0"/>
        <w:autoSpaceDE/>
        <w:autoSpaceDN/>
        <w:adjustRightInd/>
        <w:spacing w:before="302" w:line="292" w:lineRule="exact"/>
        <w:ind w:right="659"/>
        <w:jc w:val="center"/>
        <w:textAlignment w:val="baseline"/>
        <w:rPr>
          <w:sz w:val="24"/>
          <w:szCs w:val="24"/>
        </w:rPr>
      </w:pPr>
    </w:p>
    <w:p w14:paraId="59C988E8" w14:textId="77777777" w:rsidR="00755DCE" w:rsidRDefault="00755DCE" w:rsidP="00755DCE">
      <w:pPr>
        <w:kinsoku w:val="0"/>
        <w:overflowPunct w:val="0"/>
        <w:autoSpaceDE/>
        <w:autoSpaceDN/>
        <w:adjustRightInd/>
        <w:spacing w:before="302" w:line="292" w:lineRule="exact"/>
        <w:ind w:right="648"/>
        <w:jc w:val="both"/>
        <w:textAlignment w:val="baseline"/>
        <w:rPr>
          <w:sz w:val="24"/>
          <w:szCs w:val="24"/>
        </w:rPr>
      </w:pPr>
    </w:p>
    <w:p w14:paraId="239613E9" w14:textId="77777777" w:rsidR="00755DCE" w:rsidRDefault="00755DCE" w:rsidP="00755DCE">
      <w:pPr>
        <w:kinsoku w:val="0"/>
        <w:overflowPunct w:val="0"/>
        <w:autoSpaceDE/>
        <w:autoSpaceDN/>
        <w:adjustRightInd/>
        <w:spacing w:before="302" w:line="292" w:lineRule="exact"/>
        <w:ind w:right="648"/>
        <w:jc w:val="both"/>
        <w:textAlignment w:val="baseline"/>
        <w:rPr>
          <w:sz w:val="24"/>
          <w:szCs w:val="24"/>
        </w:rPr>
        <w:sectPr w:rsidR="00755DCE">
          <w:pgSz w:w="12240" w:h="15840"/>
          <w:pgMar w:top="1500" w:right="955" w:bottom="230" w:left="845" w:header="720" w:footer="720" w:gutter="0"/>
          <w:cols w:space="720"/>
          <w:noEndnote/>
        </w:sectPr>
      </w:pPr>
    </w:p>
    <w:p w14:paraId="4F868D23" w14:textId="77777777" w:rsidR="00B969D3" w:rsidRDefault="00B969D3" w:rsidP="00755DCE">
      <w:pPr>
        <w:tabs>
          <w:tab w:val="right" w:pos="2304"/>
        </w:tabs>
        <w:kinsoku w:val="0"/>
        <w:overflowPunct w:val="0"/>
        <w:autoSpaceDE/>
        <w:autoSpaceDN/>
        <w:adjustRightInd/>
        <w:spacing w:before="14" w:line="237" w:lineRule="exact"/>
        <w:textAlignment w:val="baseline"/>
        <w:rPr>
          <w:sz w:val="22"/>
          <w:szCs w:val="22"/>
          <w:lang w:val="es-ES" w:eastAsia="es-ES"/>
        </w:rPr>
      </w:pPr>
    </w:p>
    <w:sectPr w:rsidR="00B969D3">
      <w:type w:val="continuous"/>
      <w:pgSz w:w="12240" w:h="15840"/>
      <w:pgMar w:top="1500" w:right="1562" w:bottom="230" w:left="8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F34D"/>
    <w:multiLevelType w:val="singleLevel"/>
    <w:tmpl w:val="5243D300"/>
    <w:lvl w:ilvl="0">
      <w:start w:val="1"/>
      <w:numFmt w:val="lowerLetter"/>
      <w:lvlText w:val="%1)-"/>
      <w:lvlJc w:val="left"/>
      <w:pPr>
        <w:tabs>
          <w:tab w:val="num" w:pos="504"/>
        </w:tabs>
        <w:ind w:left="144"/>
      </w:pPr>
      <w:rPr>
        <w:rFonts w:ascii="Verdana" w:hAnsi="Verdana" w:cs="Verdana"/>
        <w:snapToGrid/>
        <w:spacing w:val="-6"/>
        <w:sz w:val="24"/>
        <w:szCs w:val="24"/>
      </w:rPr>
    </w:lvl>
  </w:abstractNum>
  <w:abstractNum w:abstractNumId="1" w15:restartNumberingAfterBreak="0">
    <w:nsid w:val="04D73BA0"/>
    <w:multiLevelType w:val="singleLevel"/>
    <w:tmpl w:val="2D6A466F"/>
    <w:lvl w:ilvl="0">
      <w:start w:val="1"/>
      <w:numFmt w:val="upperRoman"/>
      <w:lvlText w:val="%1."/>
      <w:lvlJc w:val="left"/>
      <w:pPr>
        <w:tabs>
          <w:tab w:val="num" w:pos="1656"/>
        </w:tabs>
        <w:ind w:left="936"/>
      </w:pPr>
      <w:rPr>
        <w:rFonts w:ascii="Verdana" w:hAnsi="Verdana" w:cs="Verdana"/>
        <w:b/>
        <w:bCs/>
        <w:snapToGrid/>
        <w:sz w:val="24"/>
        <w:szCs w:val="24"/>
      </w:rPr>
    </w:lvl>
  </w:abstractNum>
  <w:num w:numId="1">
    <w:abstractNumId w:val="0"/>
  </w:num>
  <w:num w:numId="2">
    <w:abstractNumId w:val="1"/>
  </w:num>
  <w:num w:numId="3">
    <w:abstractNumId w:val="1"/>
    <w:lvlOverride w:ilvl="0">
      <w:lvl w:ilvl="0">
        <w:numFmt w:val="upperRoman"/>
        <w:lvlText w:val="%1."/>
        <w:lvlJc w:val="left"/>
        <w:pPr>
          <w:tabs>
            <w:tab w:val="num" w:pos="1656"/>
          </w:tabs>
          <w:ind w:left="936"/>
        </w:pPr>
        <w:rPr>
          <w:rFonts w:ascii="Verdana" w:hAnsi="Verdana" w:cs="Verdana"/>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7C"/>
    <w:rsid w:val="00080C93"/>
    <w:rsid w:val="0019747C"/>
    <w:rsid w:val="002C2392"/>
    <w:rsid w:val="00755DCE"/>
    <w:rsid w:val="00B969D3"/>
    <w:rsid w:val="00BD6A73"/>
    <w:rsid w:val="00E636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A3784"/>
  <w14:defaultImageDpi w14:val="0"/>
  <w15:docId w15:val="{995F415D-FA43-448E-8C02-C0F4741F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755DCE"/>
    <w:pPr>
      <w:keepNext/>
      <w:widowControl/>
      <w:autoSpaceDE/>
      <w:autoSpaceDN/>
      <w:adjustRightInd/>
      <w:spacing w:before="240" w:after="60"/>
      <w:ind w:left="851" w:right="851"/>
      <w:jc w:val="both"/>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5D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Argüello</cp:lastModifiedBy>
  <cp:revision>2</cp:revision>
  <dcterms:created xsi:type="dcterms:W3CDTF">2020-05-06T15:20:00Z</dcterms:created>
  <dcterms:modified xsi:type="dcterms:W3CDTF">2020-05-06T15:20:00Z</dcterms:modified>
</cp:coreProperties>
</file>