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CE18" w14:textId="2DD5888A" w:rsidR="00EE5A08" w:rsidRPr="00C60184" w:rsidRDefault="00A63C03" w:rsidP="00EE5A08">
      <w:pPr>
        <w:rPr>
          <w:rFonts w:ascii="Verdana" w:hAnsi="Verdana"/>
          <w:sz w:val="22"/>
          <w:szCs w:val="22"/>
        </w:rPr>
      </w:pPr>
      <w:r>
        <w:rPr>
          <w:rFonts w:ascii="Verdana" w:hAnsi="Verdana"/>
          <w:sz w:val="22"/>
          <w:szCs w:val="22"/>
        </w:rPr>
        <w:t xml:space="preserve"> </w:t>
      </w:r>
    </w:p>
    <w:p w14:paraId="1348D7CC" w14:textId="77777777" w:rsidR="00EE5A08" w:rsidRPr="00C60184" w:rsidRDefault="00EE5A08" w:rsidP="00EE5A08">
      <w:pPr>
        <w:rPr>
          <w:rFonts w:ascii="Verdana" w:hAnsi="Verdana"/>
          <w:sz w:val="22"/>
          <w:szCs w:val="22"/>
        </w:rPr>
      </w:pPr>
    </w:p>
    <w:p w14:paraId="6C8B5711" w14:textId="5C32B698" w:rsidR="00EE5A08" w:rsidRPr="00C60184" w:rsidRDefault="00EE5A08" w:rsidP="00EE5A08">
      <w:pPr>
        <w:jc w:val="center"/>
        <w:rPr>
          <w:rFonts w:ascii="Verdana" w:hAnsi="Verdana"/>
          <w:b/>
          <w:sz w:val="22"/>
          <w:szCs w:val="22"/>
        </w:rPr>
      </w:pPr>
      <w:r w:rsidRPr="00C60184">
        <w:rPr>
          <w:rFonts w:ascii="Verdana" w:hAnsi="Verdana"/>
          <w:b/>
          <w:sz w:val="22"/>
          <w:szCs w:val="22"/>
        </w:rPr>
        <w:t xml:space="preserve">RESOLUCION TAT- </w:t>
      </w:r>
      <w:r w:rsidR="0018277B">
        <w:rPr>
          <w:rFonts w:ascii="Verdana" w:hAnsi="Verdana"/>
          <w:b/>
          <w:sz w:val="22"/>
          <w:szCs w:val="22"/>
        </w:rPr>
        <w:t>3736</w:t>
      </w:r>
      <w:r w:rsidRPr="00C60184">
        <w:rPr>
          <w:rFonts w:ascii="Verdana" w:hAnsi="Verdana"/>
          <w:b/>
          <w:sz w:val="22"/>
          <w:szCs w:val="22"/>
        </w:rPr>
        <w:t>- 2020</w:t>
      </w:r>
    </w:p>
    <w:p w14:paraId="38981C97" w14:textId="77777777" w:rsidR="00EE5A08" w:rsidRPr="00C60184" w:rsidRDefault="00EE5A08" w:rsidP="00EE5A08">
      <w:pPr>
        <w:jc w:val="both"/>
        <w:rPr>
          <w:rFonts w:ascii="Verdana" w:hAnsi="Verdana"/>
          <w:sz w:val="22"/>
          <w:szCs w:val="22"/>
        </w:rPr>
      </w:pPr>
    </w:p>
    <w:p w14:paraId="3E8D989C" w14:textId="2A3FFC5A" w:rsidR="00EE5A08" w:rsidRPr="00C60184" w:rsidRDefault="00EE5A08" w:rsidP="00EE5A08">
      <w:pPr>
        <w:jc w:val="both"/>
        <w:rPr>
          <w:rFonts w:ascii="Verdana" w:hAnsi="Verdana"/>
          <w:sz w:val="22"/>
          <w:szCs w:val="22"/>
        </w:rPr>
      </w:pPr>
      <w:r w:rsidRPr="00C60184">
        <w:rPr>
          <w:rFonts w:ascii="Verdana" w:hAnsi="Verdana"/>
          <w:b/>
          <w:sz w:val="22"/>
          <w:szCs w:val="22"/>
        </w:rPr>
        <w:t xml:space="preserve">TRIBUNAL ADMINISTRATIVO DE TRANSPORTE. </w:t>
      </w:r>
      <w:r w:rsidRPr="00C60184">
        <w:rPr>
          <w:rFonts w:ascii="Verdana" w:hAnsi="Verdana"/>
          <w:sz w:val="22"/>
          <w:szCs w:val="22"/>
        </w:rPr>
        <w:t xml:space="preserve">San José, </w:t>
      </w:r>
      <w:r w:rsidR="0018277B">
        <w:rPr>
          <w:rFonts w:ascii="Verdana" w:hAnsi="Verdana"/>
          <w:sz w:val="22"/>
          <w:szCs w:val="22"/>
        </w:rPr>
        <w:t xml:space="preserve">a las diez horas treinta minutos del veinte de octubre </w:t>
      </w:r>
      <w:r w:rsidR="0018277B" w:rsidRPr="00C60184">
        <w:rPr>
          <w:rFonts w:ascii="Verdana" w:hAnsi="Verdana"/>
          <w:sz w:val="22"/>
          <w:szCs w:val="22"/>
        </w:rPr>
        <w:t>de</w:t>
      </w:r>
      <w:r w:rsidRPr="00C60184">
        <w:rPr>
          <w:rFonts w:ascii="Verdana" w:hAnsi="Verdana"/>
          <w:sz w:val="22"/>
          <w:szCs w:val="22"/>
        </w:rPr>
        <w:t xml:space="preserve"> dos mil veinte.</w:t>
      </w:r>
    </w:p>
    <w:p w14:paraId="592464A6" w14:textId="77777777" w:rsidR="00EE5A08" w:rsidRPr="00C60184" w:rsidRDefault="00EE5A08" w:rsidP="00EE5A08">
      <w:pPr>
        <w:jc w:val="both"/>
        <w:rPr>
          <w:rFonts w:ascii="Verdana" w:hAnsi="Verdana"/>
          <w:sz w:val="22"/>
          <w:szCs w:val="22"/>
        </w:rPr>
      </w:pPr>
    </w:p>
    <w:p w14:paraId="6436152F" w14:textId="4066A137" w:rsidR="00EE5A08" w:rsidRPr="00C60184" w:rsidRDefault="00EE5A08" w:rsidP="00EE5A08">
      <w:pPr>
        <w:jc w:val="both"/>
        <w:rPr>
          <w:rFonts w:ascii="Verdana" w:hAnsi="Verdana"/>
          <w:sz w:val="22"/>
          <w:szCs w:val="22"/>
        </w:rPr>
      </w:pPr>
      <w:r w:rsidRPr="005163E3">
        <w:rPr>
          <w:rFonts w:ascii="Verdana" w:hAnsi="Verdana"/>
          <w:b/>
          <w:bCs/>
          <w:smallCaps/>
          <w:sz w:val="22"/>
          <w:szCs w:val="22"/>
        </w:rPr>
        <w:t>Recurso de apelación e incidente de Nulidad Absoluta</w:t>
      </w:r>
      <w:r w:rsidRPr="00C60184">
        <w:rPr>
          <w:rFonts w:ascii="Verdana" w:hAnsi="Verdana"/>
          <w:smallCaps/>
          <w:sz w:val="22"/>
          <w:szCs w:val="22"/>
        </w:rPr>
        <w:t xml:space="preserve">, </w:t>
      </w:r>
      <w:bookmarkStart w:id="0" w:name="_Hlk53756998"/>
      <w:r w:rsidRPr="00C60184">
        <w:rPr>
          <w:rFonts w:ascii="Verdana" w:hAnsi="Verdana"/>
          <w:sz w:val="22"/>
          <w:szCs w:val="22"/>
        </w:rPr>
        <w:t xml:space="preserve">interpuesto por la empresa </w:t>
      </w:r>
      <w:r w:rsidRPr="00C60184">
        <w:rPr>
          <w:rFonts w:ascii="Verdana" w:hAnsi="Verdana"/>
          <w:b/>
          <w:sz w:val="22"/>
          <w:szCs w:val="22"/>
        </w:rPr>
        <w:t>B</w:t>
      </w:r>
      <w:r w:rsidR="005D4B0A">
        <w:rPr>
          <w:rFonts w:ascii="Verdana" w:hAnsi="Verdana"/>
          <w:b/>
          <w:sz w:val="22"/>
          <w:szCs w:val="22"/>
        </w:rPr>
        <w:t>.H.</w:t>
      </w:r>
      <w:r w:rsidRPr="00C60184">
        <w:rPr>
          <w:rFonts w:ascii="Verdana" w:hAnsi="Verdana"/>
          <w:b/>
          <w:sz w:val="22"/>
          <w:szCs w:val="22"/>
        </w:rPr>
        <w:t xml:space="preserve">S.A., cédula jurídica número </w:t>
      </w:r>
      <w:r w:rsidR="005D4B0A">
        <w:rPr>
          <w:rFonts w:ascii="Verdana" w:hAnsi="Verdana"/>
          <w:b/>
          <w:sz w:val="22"/>
          <w:szCs w:val="22"/>
        </w:rPr>
        <w:t>…</w:t>
      </w:r>
      <w:r w:rsidRPr="00C60184">
        <w:rPr>
          <w:rFonts w:ascii="Verdana" w:hAnsi="Verdana"/>
          <w:sz w:val="22"/>
          <w:szCs w:val="22"/>
        </w:rPr>
        <w:t xml:space="preserve"> por medio del </w:t>
      </w:r>
      <w:r w:rsidRPr="00C60184">
        <w:rPr>
          <w:rFonts w:ascii="Verdana" w:hAnsi="Verdana"/>
          <w:b/>
          <w:sz w:val="22"/>
          <w:szCs w:val="22"/>
        </w:rPr>
        <w:t xml:space="preserve">señor </w:t>
      </w:r>
      <w:r>
        <w:rPr>
          <w:rFonts w:ascii="Verdana" w:hAnsi="Verdana"/>
          <w:b/>
          <w:sz w:val="22"/>
          <w:szCs w:val="22"/>
          <w:lang w:val="es-ES"/>
        </w:rPr>
        <w:t>J</w:t>
      </w:r>
      <w:r w:rsidR="005D4B0A">
        <w:rPr>
          <w:rFonts w:ascii="Verdana" w:hAnsi="Verdana"/>
          <w:b/>
          <w:sz w:val="22"/>
          <w:szCs w:val="22"/>
          <w:lang w:val="es-ES"/>
        </w:rPr>
        <w:t>.D.V.A.</w:t>
      </w:r>
      <w:r w:rsidRPr="00C60184">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xml:space="preserve">, </w:t>
      </w:r>
      <w:r>
        <w:rPr>
          <w:rFonts w:ascii="Verdana" w:hAnsi="Verdana"/>
          <w:b/>
          <w:sz w:val="22"/>
          <w:szCs w:val="22"/>
          <w:lang w:val="es-ES"/>
        </w:rPr>
        <w:t xml:space="preserve">en su condición de </w:t>
      </w:r>
      <w:r w:rsidR="005D4B0A">
        <w:rPr>
          <w:rFonts w:ascii="Verdana" w:hAnsi="Verdana"/>
          <w:b/>
          <w:sz w:val="22"/>
          <w:szCs w:val="22"/>
          <w:lang w:val="es-ES"/>
        </w:rPr>
        <w:t>P</w:t>
      </w:r>
      <w:r>
        <w:rPr>
          <w:rFonts w:ascii="Verdana" w:hAnsi="Verdana"/>
          <w:b/>
          <w:sz w:val="22"/>
          <w:szCs w:val="22"/>
          <w:lang w:val="es-ES"/>
        </w:rPr>
        <w:t>residente</w:t>
      </w:r>
      <w:r w:rsidRPr="00C60184">
        <w:rPr>
          <w:rFonts w:ascii="Verdana" w:hAnsi="Verdana"/>
          <w:sz w:val="22"/>
          <w:szCs w:val="22"/>
          <w:lang w:val="es-ES"/>
        </w:rPr>
        <w:t>,</w:t>
      </w:r>
      <w:r w:rsidRPr="00C60184">
        <w:rPr>
          <w:rFonts w:ascii="Verdana" w:hAnsi="Verdana"/>
          <w:b/>
          <w:sz w:val="22"/>
          <w:szCs w:val="22"/>
          <w:lang w:val="es-ES"/>
        </w:rPr>
        <w:t xml:space="preserve"> </w:t>
      </w:r>
      <w:r>
        <w:rPr>
          <w:rFonts w:ascii="Verdana" w:hAnsi="Verdana"/>
          <w:b/>
          <w:sz w:val="22"/>
          <w:szCs w:val="22"/>
          <w:lang w:val="es-ES"/>
        </w:rPr>
        <w:t>C</w:t>
      </w:r>
      <w:r w:rsidR="005D4B0A">
        <w:rPr>
          <w:rFonts w:ascii="Verdana" w:hAnsi="Verdana"/>
          <w:b/>
          <w:sz w:val="22"/>
          <w:szCs w:val="22"/>
          <w:lang w:val="es-ES"/>
        </w:rPr>
        <w:t>.L.C.</w:t>
      </w:r>
      <w:r w:rsidR="001149CD">
        <w:rPr>
          <w:rFonts w:ascii="Verdana" w:hAnsi="Verdana"/>
          <w:b/>
          <w:sz w:val="22"/>
          <w:szCs w:val="22"/>
          <w:lang w:val="es-ES"/>
        </w:rPr>
        <w:t>,</w:t>
      </w:r>
      <w:r>
        <w:rPr>
          <w:rFonts w:ascii="Verdana" w:hAnsi="Verdana"/>
          <w:b/>
          <w:sz w:val="22"/>
          <w:szCs w:val="22"/>
          <w:lang w:val="es-ES"/>
        </w:rPr>
        <w:t xml:space="preserve"> cédula de identidad </w:t>
      </w:r>
      <w:r w:rsidR="005D4B0A">
        <w:rPr>
          <w:rFonts w:ascii="Verdana" w:hAnsi="Verdana"/>
          <w:b/>
          <w:sz w:val="22"/>
          <w:szCs w:val="22"/>
          <w:lang w:val="es-ES"/>
        </w:rPr>
        <w:t>…</w:t>
      </w:r>
      <w:r w:rsidR="001149CD">
        <w:rPr>
          <w:rFonts w:ascii="Verdana" w:hAnsi="Verdana"/>
          <w:b/>
          <w:sz w:val="22"/>
          <w:szCs w:val="22"/>
          <w:lang w:val="es-ES"/>
        </w:rPr>
        <w:t>,</w:t>
      </w:r>
      <w:r>
        <w:rPr>
          <w:rFonts w:ascii="Verdana" w:hAnsi="Verdana"/>
          <w:b/>
          <w:sz w:val="22"/>
          <w:szCs w:val="22"/>
          <w:lang w:val="es-ES"/>
        </w:rPr>
        <w:t xml:space="preserve"> en su condición de </w:t>
      </w:r>
      <w:r w:rsidR="005D4B0A">
        <w:rPr>
          <w:rFonts w:ascii="Verdana" w:hAnsi="Verdana"/>
          <w:b/>
          <w:sz w:val="22"/>
          <w:szCs w:val="22"/>
          <w:lang w:val="es-ES"/>
        </w:rPr>
        <w:t>S</w:t>
      </w:r>
      <w:r>
        <w:rPr>
          <w:rFonts w:ascii="Verdana" w:hAnsi="Verdana"/>
          <w:b/>
          <w:sz w:val="22"/>
          <w:szCs w:val="22"/>
          <w:lang w:val="es-ES"/>
        </w:rPr>
        <w:t>ecretario, Z</w:t>
      </w:r>
      <w:r w:rsidR="005D4B0A">
        <w:rPr>
          <w:rFonts w:ascii="Verdana" w:hAnsi="Verdana"/>
          <w:b/>
          <w:sz w:val="22"/>
          <w:szCs w:val="22"/>
          <w:lang w:val="es-ES"/>
        </w:rPr>
        <w:t>.G.S.</w:t>
      </w:r>
      <w:r w:rsidR="001149CD">
        <w:rPr>
          <w:rFonts w:ascii="Verdana" w:hAnsi="Verdana"/>
          <w:b/>
          <w:sz w:val="22"/>
          <w:szCs w:val="22"/>
          <w:lang w:val="es-ES"/>
        </w:rPr>
        <w:t>,</w:t>
      </w:r>
      <w:r>
        <w:rPr>
          <w:rFonts w:ascii="Verdana" w:hAnsi="Verdana"/>
          <w:b/>
          <w:sz w:val="22"/>
          <w:szCs w:val="22"/>
          <w:lang w:val="es-ES"/>
        </w:rPr>
        <w:t xml:space="preserve"> cédula de identidad número </w:t>
      </w:r>
      <w:r w:rsidR="005D4B0A">
        <w:rPr>
          <w:rFonts w:ascii="Verdana" w:hAnsi="Verdana"/>
          <w:b/>
          <w:sz w:val="22"/>
          <w:szCs w:val="22"/>
          <w:lang w:val="es-ES"/>
        </w:rPr>
        <w:t>…</w:t>
      </w:r>
      <w:r>
        <w:rPr>
          <w:rFonts w:ascii="Verdana" w:hAnsi="Verdana"/>
          <w:b/>
          <w:sz w:val="22"/>
          <w:szCs w:val="22"/>
          <w:lang w:val="es-ES"/>
        </w:rPr>
        <w:t xml:space="preserve"> en su condición de Tesorera, J</w:t>
      </w:r>
      <w:r w:rsidR="005D4B0A">
        <w:rPr>
          <w:rFonts w:ascii="Verdana" w:hAnsi="Verdana"/>
          <w:b/>
          <w:sz w:val="22"/>
          <w:szCs w:val="22"/>
          <w:lang w:val="es-ES"/>
        </w:rPr>
        <w:t>.E.V.H.</w:t>
      </w:r>
      <w:r w:rsidR="001149CD">
        <w:rPr>
          <w:rFonts w:ascii="Verdana" w:hAnsi="Verdana"/>
          <w:b/>
          <w:sz w:val="22"/>
          <w:szCs w:val="22"/>
          <w:lang w:val="es-ES"/>
        </w:rPr>
        <w:t>,</w:t>
      </w:r>
      <w:r>
        <w:rPr>
          <w:rFonts w:ascii="Verdana" w:hAnsi="Verdana"/>
          <w:b/>
          <w:sz w:val="22"/>
          <w:szCs w:val="22"/>
          <w:lang w:val="es-ES"/>
        </w:rPr>
        <w:t xml:space="preserve"> cédula de identidad número</w:t>
      </w:r>
      <w:r w:rsidR="001149CD">
        <w:rPr>
          <w:rFonts w:ascii="Verdana" w:hAnsi="Verdana"/>
          <w:b/>
          <w:sz w:val="22"/>
          <w:szCs w:val="22"/>
          <w:lang w:val="es-ES"/>
        </w:rPr>
        <w:t xml:space="preserve"> </w:t>
      </w:r>
      <w:r w:rsidR="005D4B0A">
        <w:rPr>
          <w:rFonts w:ascii="Verdana" w:hAnsi="Verdana"/>
          <w:b/>
          <w:sz w:val="22"/>
          <w:szCs w:val="22"/>
          <w:lang w:val="es-ES"/>
        </w:rPr>
        <w:t>…</w:t>
      </w:r>
      <w:r>
        <w:rPr>
          <w:rFonts w:ascii="Verdana" w:hAnsi="Verdana"/>
          <w:b/>
          <w:sz w:val="22"/>
          <w:szCs w:val="22"/>
          <w:lang w:val="es-ES"/>
        </w:rPr>
        <w:t>, C</w:t>
      </w:r>
      <w:r w:rsidR="005D4B0A">
        <w:rPr>
          <w:rFonts w:ascii="Verdana" w:hAnsi="Verdana"/>
          <w:b/>
          <w:sz w:val="22"/>
          <w:szCs w:val="22"/>
          <w:lang w:val="es-ES"/>
        </w:rPr>
        <w:t>.L.S.</w:t>
      </w:r>
      <w:r w:rsidR="001149CD">
        <w:rPr>
          <w:rFonts w:ascii="Verdana" w:hAnsi="Verdana"/>
          <w:b/>
          <w:sz w:val="22"/>
          <w:szCs w:val="22"/>
          <w:lang w:val="es-ES"/>
        </w:rPr>
        <w:t>,</w:t>
      </w:r>
      <w:r>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xml:space="preserve"> </w:t>
      </w:r>
      <w:r>
        <w:rPr>
          <w:rFonts w:ascii="Verdana" w:hAnsi="Verdana"/>
          <w:b/>
          <w:sz w:val="22"/>
          <w:szCs w:val="22"/>
          <w:lang w:val="es-ES"/>
        </w:rPr>
        <w:t>en su condición del sucesorio de H</w:t>
      </w:r>
      <w:r w:rsidR="005D4B0A">
        <w:rPr>
          <w:rFonts w:ascii="Verdana" w:hAnsi="Verdana"/>
          <w:b/>
          <w:sz w:val="22"/>
          <w:szCs w:val="22"/>
          <w:lang w:val="es-ES"/>
        </w:rPr>
        <w:t>.G.V.</w:t>
      </w:r>
      <w:r>
        <w:rPr>
          <w:rFonts w:ascii="Verdana" w:hAnsi="Verdana"/>
          <w:b/>
          <w:sz w:val="22"/>
          <w:szCs w:val="22"/>
          <w:lang w:val="es-ES"/>
        </w:rPr>
        <w:t>, estos últimos junto con la señora Z</w:t>
      </w:r>
      <w:r w:rsidR="005D4B0A">
        <w:rPr>
          <w:rFonts w:ascii="Verdana" w:hAnsi="Verdana"/>
          <w:b/>
          <w:sz w:val="22"/>
          <w:szCs w:val="22"/>
          <w:lang w:val="es-ES"/>
        </w:rPr>
        <w:t>.G.S.</w:t>
      </w:r>
      <w:r>
        <w:rPr>
          <w:rFonts w:ascii="Verdana" w:hAnsi="Verdana"/>
          <w:sz w:val="22"/>
          <w:szCs w:val="22"/>
          <w:lang w:val="es-ES"/>
        </w:rPr>
        <w:t xml:space="preserve">, en condición de Socios accionistas de </w:t>
      </w:r>
      <w:r w:rsidRPr="005163E3">
        <w:rPr>
          <w:rFonts w:ascii="Verdana" w:hAnsi="Verdana"/>
          <w:b/>
          <w:bCs/>
          <w:sz w:val="22"/>
          <w:szCs w:val="22"/>
          <w:lang w:val="es-ES"/>
        </w:rPr>
        <w:t>B</w:t>
      </w:r>
      <w:r w:rsidR="005D4B0A">
        <w:rPr>
          <w:rFonts w:ascii="Verdana" w:hAnsi="Verdana"/>
          <w:b/>
          <w:bCs/>
          <w:sz w:val="22"/>
          <w:szCs w:val="22"/>
          <w:lang w:val="es-ES"/>
        </w:rPr>
        <w:t>.H.</w:t>
      </w:r>
      <w:r w:rsidRPr="005163E3">
        <w:rPr>
          <w:rFonts w:ascii="Verdana" w:hAnsi="Verdana"/>
          <w:b/>
          <w:bCs/>
          <w:sz w:val="22"/>
          <w:szCs w:val="22"/>
          <w:lang w:val="es-ES"/>
        </w:rPr>
        <w:t>S.A.</w:t>
      </w:r>
      <w:r w:rsidRPr="00C60184">
        <w:rPr>
          <w:rFonts w:ascii="Verdana" w:hAnsi="Verdana"/>
          <w:sz w:val="22"/>
          <w:szCs w:val="22"/>
        </w:rPr>
        <w:t xml:space="preserve">, en contra del </w:t>
      </w:r>
      <w:r w:rsidRPr="00C60184">
        <w:rPr>
          <w:rFonts w:ascii="Verdana" w:hAnsi="Verdana"/>
          <w:b/>
          <w:sz w:val="22"/>
          <w:szCs w:val="22"/>
        </w:rPr>
        <w:t>artículo 7.</w:t>
      </w:r>
      <w:r>
        <w:rPr>
          <w:rFonts w:ascii="Verdana" w:hAnsi="Verdana"/>
          <w:b/>
          <w:sz w:val="22"/>
          <w:szCs w:val="22"/>
        </w:rPr>
        <w:t>1</w:t>
      </w:r>
      <w:r w:rsidRPr="00C60184">
        <w:rPr>
          <w:rFonts w:ascii="Verdana" w:hAnsi="Verdana"/>
          <w:b/>
          <w:sz w:val="22"/>
          <w:szCs w:val="22"/>
        </w:rPr>
        <w:t xml:space="preserve"> de la Sesión Ordinaria </w:t>
      </w:r>
      <w:r>
        <w:rPr>
          <w:rFonts w:ascii="Verdana" w:hAnsi="Verdana"/>
          <w:b/>
          <w:sz w:val="22"/>
          <w:szCs w:val="22"/>
        </w:rPr>
        <w:t>21</w:t>
      </w:r>
      <w:r w:rsidRPr="00C60184">
        <w:rPr>
          <w:rFonts w:ascii="Verdana" w:hAnsi="Verdana"/>
          <w:b/>
          <w:sz w:val="22"/>
          <w:szCs w:val="22"/>
        </w:rPr>
        <w:t xml:space="preserve">-2020 del </w:t>
      </w:r>
      <w:r>
        <w:rPr>
          <w:rFonts w:ascii="Verdana" w:hAnsi="Verdana"/>
          <w:b/>
          <w:sz w:val="22"/>
          <w:szCs w:val="22"/>
        </w:rPr>
        <w:t>17  de marzo</w:t>
      </w:r>
      <w:r w:rsidRPr="00C60184">
        <w:rPr>
          <w:rFonts w:ascii="Verdana" w:hAnsi="Verdana"/>
          <w:b/>
          <w:sz w:val="22"/>
          <w:szCs w:val="22"/>
        </w:rPr>
        <w:t xml:space="preserve"> de 2020</w:t>
      </w:r>
      <w:bookmarkStart w:id="1" w:name="_Hlk53757125"/>
      <w:bookmarkEnd w:id="0"/>
      <w:r w:rsidRPr="00C60184">
        <w:rPr>
          <w:rFonts w:ascii="Verdana" w:hAnsi="Verdana"/>
          <w:sz w:val="22"/>
          <w:szCs w:val="22"/>
        </w:rPr>
        <w:t>, de la Junta Directiva del Consejo de Transporte Público</w:t>
      </w:r>
      <w:bookmarkEnd w:id="1"/>
      <w:r w:rsidRPr="00C60184">
        <w:rPr>
          <w:rFonts w:ascii="Verdana" w:hAnsi="Verdana"/>
          <w:sz w:val="22"/>
          <w:szCs w:val="22"/>
        </w:rPr>
        <w:t xml:space="preserve">. El caso se tramita en </w:t>
      </w:r>
      <w:r w:rsidRPr="00C60184">
        <w:rPr>
          <w:rFonts w:ascii="Verdana" w:hAnsi="Verdana"/>
          <w:b/>
          <w:sz w:val="22"/>
          <w:szCs w:val="22"/>
        </w:rPr>
        <w:t xml:space="preserve">Expediente Administrativo </w:t>
      </w:r>
      <w:proofErr w:type="spellStart"/>
      <w:r w:rsidRPr="00C60184">
        <w:rPr>
          <w:rFonts w:ascii="Verdana" w:hAnsi="Verdana"/>
          <w:b/>
          <w:sz w:val="22"/>
          <w:szCs w:val="22"/>
        </w:rPr>
        <w:t>N°</w:t>
      </w:r>
      <w:proofErr w:type="spellEnd"/>
      <w:r w:rsidRPr="00C60184">
        <w:rPr>
          <w:rFonts w:ascii="Verdana" w:hAnsi="Verdana"/>
          <w:b/>
          <w:sz w:val="22"/>
          <w:szCs w:val="22"/>
        </w:rPr>
        <w:t xml:space="preserve"> TAT-0</w:t>
      </w:r>
      <w:r>
        <w:rPr>
          <w:rFonts w:ascii="Verdana" w:hAnsi="Verdana"/>
          <w:b/>
          <w:sz w:val="22"/>
          <w:szCs w:val="22"/>
        </w:rPr>
        <w:t>60</w:t>
      </w:r>
      <w:r w:rsidRPr="00C60184">
        <w:rPr>
          <w:rFonts w:ascii="Verdana" w:hAnsi="Verdana"/>
          <w:b/>
          <w:sz w:val="22"/>
          <w:szCs w:val="22"/>
        </w:rPr>
        <w:t>-20</w:t>
      </w:r>
      <w:r w:rsidRPr="00C60184">
        <w:rPr>
          <w:rFonts w:ascii="Verdana" w:hAnsi="Verdana"/>
          <w:sz w:val="22"/>
          <w:szCs w:val="22"/>
        </w:rPr>
        <w:t>.</w:t>
      </w:r>
    </w:p>
    <w:p w14:paraId="09D7A6F6" w14:textId="77777777" w:rsidR="00EE5A08" w:rsidRPr="00C60184" w:rsidRDefault="00EE5A08" w:rsidP="00EE5A08">
      <w:pPr>
        <w:jc w:val="both"/>
        <w:rPr>
          <w:rFonts w:ascii="Verdana" w:hAnsi="Verdana"/>
          <w:b/>
          <w:sz w:val="22"/>
          <w:szCs w:val="22"/>
        </w:rPr>
      </w:pPr>
    </w:p>
    <w:p w14:paraId="312CDAA6" w14:textId="77777777" w:rsidR="00EE5A08" w:rsidRPr="00C60184" w:rsidRDefault="00EE5A08" w:rsidP="00EE5A08">
      <w:pPr>
        <w:jc w:val="center"/>
        <w:rPr>
          <w:rFonts w:ascii="Verdana" w:hAnsi="Verdana"/>
          <w:b/>
          <w:sz w:val="22"/>
          <w:szCs w:val="22"/>
        </w:rPr>
      </w:pPr>
      <w:r w:rsidRPr="00C60184">
        <w:rPr>
          <w:rFonts w:ascii="Verdana" w:hAnsi="Verdana"/>
          <w:b/>
          <w:sz w:val="22"/>
          <w:szCs w:val="22"/>
        </w:rPr>
        <w:t>RESULTANDO</w:t>
      </w:r>
    </w:p>
    <w:p w14:paraId="20CCDD63" w14:textId="77777777" w:rsidR="00EE5A08" w:rsidRPr="00C60184" w:rsidRDefault="00EE5A08" w:rsidP="00EE5A08">
      <w:pPr>
        <w:jc w:val="center"/>
        <w:rPr>
          <w:rFonts w:ascii="Verdana" w:hAnsi="Verdana"/>
          <w:b/>
          <w:sz w:val="22"/>
          <w:szCs w:val="22"/>
        </w:rPr>
      </w:pPr>
    </w:p>
    <w:p w14:paraId="6E55D297" w14:textId="4767F7AC" w:rsidR="00EE5A08" w:rsidRPr="0018277B" w:rsidRDefault="00EE5A08" w:rsidP="00EE5A08">
      <w:pPr>
        <w:jc w:val="both"/>
        <w:rPr>
          <w:rFonts w:ascii="Verdana" w:hAnsi="Verdana"/>
          <w:sz w:val="22"/>
          <w:szCs w:val="22"/>
        </w:rPr>
      </w:pPr>
      <w:r w:rsidRPr="00C60184">
        <w:rPr>
          <w:rFonts w:ascii="Verdana" w:hAnsi="Verdana"/>
          <w:b/>
          <w:sz w:val="22"/>
          <w:szCs w:val="22"/>
        </w:rPr>
        <w:t xml:space="preserve">PRIMERO: </w:t>
      </w:r>
      <w:r w:rsidRPr="00C60184">
        <w:rPr>
          <w:rFonts w:ascii="Verdana" w:hAnsi="Verdana"/>
          <w:sz w:val="22"/>
          <w:szCs w:val="22"/>
        </w:rPr>
        <w:t xml:space="preserve">La Junta Directiva del Consejo de Transporte Público, mediante </w:t>
      </w:r>
      <w:r w:rsidRPr="00C60184">
        <w:rPr>
          <w:rFonts w:ascii="Verdana" w:hAnsi="Verdana"/>
          <w:b/>
          <w:sz w:val="22"/>
          <w:szCs w:val="22"/>
        </w:rPr>
        <w:t>artículo 7.</w:t>
      </w:r>
      <w:r>
        <w:rPr>
          <w:rFonts w:ascii="Verdana" w:hAnsi="Verdana"/>
          <w:b/>
          <w:sz w:val="22"/>
          <w:szCs w:val="22"/>
        </w:rPr>
        <w:t>1</w:t>
      </w:r>
      <w:r w:rsidRPr="00C60184">
        <w:rPr>
          <w:rFonts w:ascii="Verdana" w:hAnsi="Verdana"/>
          <w:b/>
          <w:sz w:val="22"/>
          <w:szCs w:val="22"/>
        </w:rPr>
        <w:t xml:space="preserve"> de la Sesión Ordinaria </w:t>
      </w:r>
      <w:r>
        <w:rPr>
          <w:rFonts w:ascii="Verdana" w:hAnsi="Verdana"/>
          <w:b/>
          <w:sz w:val="22"/>
          <w:szCs w:val="22"/>
        </w:rPr>
        <w:t>21</w:t>
      </w:r>
      <w:r w:rsidRPr="00C60184">
        <w:rPr>
          <w:rFonts w:ascii="Verdana" w:hAnsi="Verdana"/>
          <w:b/>
          <w:sz w:val="22"/>
          <w:szCs w:val="22"/>
        </w:rPr>
        <w:t xml:space="preserve">-2020 del </w:t>
      </w:r>
      <w:proofErr w:type="gramStart"/>
      <w:r>
        <w:rPr>
          <w:rFonts w:ascii="Verdana" w:hAnsi="Verdana"/>
          <w:b/>
          <w:sz w:val="22"/>
          <w:szCs w:val="22"/>
        </w:rPr>
        <w:t>17  de</w:t>
      </w:r>
      <w:proofErr w:type="gramEnd"/>
      <w:r>
        <w:rPr>
          <w:rFonts w:ascii="Verdana" w:hAnsi="Verdana"/>
          <w:b/>
          <w:sz w:val="22"/>
          <w:szCs w:val="22"/>
        </w:rPr>
        <w:t xml:space="preserve"> marzo</w:t>
      </w:r>
      <w:r w:rsidRPr="00C60184">
        <w:rPr>
          <w:rFonts w:ascii="Verdana" w:hAnsi="Verdana"/>
          <w:b/>
          <w:sz w:val="22"/>
          <w:szCs w:val="22"/>
        </w:rPr>
        <w:t xml:space="preserve"> de 2020</w:t>
      </w:r>
      <w:r w:rsidRPr="00C60184">
        <w:rPr>
          <w:rFonts w:ascii="Verdana" w:hAnsi="Verdana"/>
          <w:sz w:val="22"/>
          <w:szCs w:val="22"/>
        </w:rPr>
        <w:t xml:space="preserve">, acuerda, en lo que interesa para el caso, lo siguiente: </w:t>
      </w:r>
      <w:r w:rsidRPr="0018277B">
        <w:rPr>
          <w:rFonts w:ascii="Verdana" w:hAnsi="Verdana"/>
          <w:sz w:val="22"/>
          <w:szCs w:val="22"/>
        </w:rPr>
        <w:t xml:space="preserve">(Léanse folios del </w:t>
      </w:r>
      <w:r w:rsidR="0018277B" w:rsidRPr="0018277B">
        <w:rPr>
          <w:rFonts w:ascii="Verdana" w:hAnsi="Verdana"/>
          <w:sz w:val="22"/>
          <w:szCs w:val="22"/>
        </w:rPr>
        <w:t xml:space="preserve">59 </w:t>
      </w:r>
      <w:r w:rsidRPr="0018277B">
        <w:rPr>
          <w:rFonts w:ascii="Verdana" w:hAnsi="Verdana"/>
          <w:sz w:val="22"/>
          <w:szCs w:val="22"/>
        </w:rPr>
        <w:t xml:space="preserve">al </w:t>
      </w:r>
      <w:r w:rsidR="0018277B" w:rsidRPr="0018277B">
        <w:rPr>
          <w:rFonts w:ascii="Verdana" w:hAnsi="Verdana"/>
          <w:sz w:val="22"/>
          <w:szCs w:val="22"/>
        </w:rPr>
        <w:t xml:space="preserve">62 </w:t>
      </w:r>
      <w:r w:rsidRPr="0018277B">
        <w:rPr>
          <w:rFonts w:ascii="Verdana" w:hAnsi="Verdana"/>
          <w:sz w:val="22"/>
          <w:szCs w:val="22"/>
        </w:rPr>
        <w:t>del expediente administrativo)</w:t>
      </w:r>
    </w:p>
    <w:p w14:paraId="6D7CCA76" w14:textId="77777777" w:rsidR="00EE5A08" w:rsidRPr="00C60184" w:rsidRDefault="00EE5A08" w:rsidP="00EE5A08">
      <w:pPr>
        <w:jc w:val="both"/>
        <w:rPr>
          <w:rFonts w:ascii="Verdana" w:hAnsi="Verdana"/>
          <w:sz w:val="22"/>
          <w:szCs w:val="22"/>
        </w:rPr>
      </w:pPr>
    </w:p>
    <w:p w14:paraId="67700860" w14:textId="0BB5971E" w:rsidR="00EE5A08" w:rsidRPr="00DB5C1A" w:rsidRDefault="00EE5A08" w:rsidP="00EE5A08">
      <w:pPr>
        <w:ind w:left="397" w:right="397"/>
        <w:rPr>
          <w:rFonts w:ascii="Verdana" w:hAnsi="Verdana"/>
          <w:i/>
          <w:iCs/>
          <w:sz w:val="20"/>
          <w:szCs w:val="20"/>
        </w:rPr>
      </w:pPr>
      <w:r>
        <w:rPr>
          <w:rFonts w:ascii="Verdana" w:hAnsi="Verdana"/>
          <w:b/>
          <w:i/>
          <w:iCs/>
          <w:sz w:val="20"/>
          <w:szCs w:val="20"/>
        </w:rPr>
        <w:t>“</w:t>
      </w:r>
      <w:r w:rsidRPr="00DB5C1A">
        <w:rPr>
          <w:rFonts w:ascii="Verdana" w:eastAsia="Calibri" w:hAnsi="Verdana" w:cs="Calibri"/>
          <w:b/>
          <w:i/>
          <w:iCs/>
          <w:sz w:val="20"/>
          <w:szCs w:val="20"/>
        </w:rPr>
        <w:t>ARTICULO 7.1.-</w:t>
      </w:r>
      <w:r w:rsidRPr="00DB5C1A">
        <w:rPr>
          <w:rFonts w:ascii="Verdana" w:hAnsi="Verdana"/>
          <w:i/>
          <w:iCs/>
          <w:sz w:val="20"/>
          <w:szCs w:val="20"/>
        </w:rPr>
        <w:t xml:space="preserve"> Se conocen oficios </w:t>
      </w:r>
      <w:r w:rsidRPr="00DB5C1A">
        <w:rPr>
          <w:rFonts w:ascii="Verdana" w:eastAsia="Calibri" w:hAnsi="Verdana" w:cs="Calibri"/>
          <w:b/>
          <w:i/>
          <w:iCs/>
          <w:sz w:val="20"/>
          <w:szCs w:val="20"/>
        </w:rPr>
        <w:t>CTP AJ OF 2020-000220</w:t>
      </w:r>
      <w:r w:rsidRPr="00DB5C1A">
        <w:rPr>
          <w:rFonts w:ascii="Verdana" w:hAnsi="Verdana"/>
          <w:i/>
          <w:iCs/>
          <w:sz w:val="20"/>
          <w:szCs w:val="20"/>
        </w:rPr>
        <w:t xml:space="preserve"> y </w:t>
      </w:r>
      <w:r w:rsidRPr="00DB5C1A">
        <w:rPr>
          <w:rFonts w:ascii="Verdana" w:eastAsia="Calibri" w:hAnsi="Verdana" w:cs="Calibri"/>
          <w:b/>
          <w:i/>
          <w:iCs/>
          <w:sz w:val="20"/>
          <w:szCs w:val="20"/>
        </w:rPr>
        <w:t>DAJ 2019-01264</w:t>
      </w:r>
      <w:r w:rsidRPr="00DB5C1A">
        <w:rPr>
          <w:rFonts w:ascii="Verdana" w:hAnsi="Verdana"/>
          <w:i/>
          <w:iCs/>
          <w:sz w:val="20"/>
          <w:szCs w:val="20"/>
        </w:rPr>
        <w:t xml:space="preserve"> referente a amparo de legalidad bajo expediente 20-000721-1027-CA-5, presentado por el señor </w:t>
      </w:r>
      <w:r w:rsidRPr="00DB5C1A">
        <w:rPr>
          <w:rFonts w:ascii="Verdana" w:eastAsia="Calibri" w:hAnsi="Verdana" w:cs="Calibri"/>
          <w:b/>
          <w:i/>
          <w:iCs/>
          <w:sz w:val="20"/>
          <w:szCs w:val="20"/>
        </w:rPr>
        <w:t>C</w:t>
      </w:r>
      <w:r w:rsidR="005D4B0A">
        <w:rPr>
          <w:rFonts w:ascii="Verdana" w:eastAsia="Calibri" w:hAnsi="Verdana" w:cs="Calibri"/>
          <w:b/>
          <w:i/>
          <w:iCs/>
          <w:sz w:val="20"/>
          <w:szCs w:val="20"/>
        </w:rPr>
        <w:t>.R.S.</w:t>
      </w:r>
      <w:r w:rsidRPr="00DB5C1A">
        <w:rPr>
          <w:rFonts w:ascii="Verdana" w:hAnsi="Verdana"/>
          <w:i/>
          <w:iCs/>
          <w:sz w:val="20"/>
          <w:szCs w:val="20"/>
        </w:rPr>
        <w:t xml:space="preserve">, quien alega que no se ha ejecutado por parte de la Junta Directiva del Consejo, la resolución </w:t>
      </w:r>
      <w:r w:rsidRPr="00DB5C1A">
        <w:rPr>
          <w:rFonts w:ascii="Verdana" w:eastAsia="Calibri" w:hAnsi="Verdana" w:cs="Calibri"/>
          <w:b/>
          <w:i/>
          <w:iCs/>
          <w:sz w:val="20"/>
          <w:szCs w:val="20"/>
        </w:rPr>
        <w:t>TAT 3669-2019</w:t>
      </w:r>
      <w:r w:rsidRPr="00DB5C1A">
        <w:rPr>
          <w:rFonts w:ascii="Verdana" w:hAnsi="Verdana"/>
          <w:i/>
          <w:iCs/>
          <w:sz w:val="20"/>
          <w:szCs w:val="20"/>
        </w:rPr>
        <w:t xml:space="preserve">, debido a que se encuentran pendientes de resolver recursos ordinarios interpuestos desde el 30 de agosto del 2019.  </w:t>
      </w:r>
      <w:r>
        <w:rPr>
          <w:rFonts w:ascii="Verdana" w:hAnsi="Verdana"/>
          <w:i/>
          <w:iCs/>
          <w:sz w:val="20"/>
          <w:szCs w:val="20"/>
        </w:rPr>
        <w:t>(…)</w:t>
      </w:r>
    </w:p>
    <w:p w14:paraId="4FFE4049" w14:textId="77777777" w:rsidR="00EE5A08" w:rsidRPr="00DB5C1A" w:rsidRDefault="00EE5A08" w:rsidP="00EE5A08">
      <w:pPr>
        <w:spacing w:line="259" w:lineRule="auto"/>
        <w:ind w:left="397" w:right="397"/>
        <w:rPr>
          <w:rFonts w:ascii="Verdana" w:hAnsi="Verdana"/>
          <w:i/>
          <w:iCs/>
          <w:sz w:val="20"/>
          <w:szCs w:val="20"/>
        </w:rPr>
      </w:pPr>
      <w:r w:rsidRPr="00DB5C1A">
        <w:rPr>
          <w:rFonts w:ascii="Verdana" w:eastAsia="Calibri" w:hAnsi="Verdana" w:cs="Calibri"/>
          <w:b/>
          <w:i/>
          <w:iCs/>
          <w:sz w:val="20"/>
          <w:szCs w:val="20"/>
        </w:rPr>
        <w:t xml:space="preserve"> </w:t>
      </w:r>
    </w:p>
    <w:p w14:paraId="67F5228F" w14:textId="77777777" w:rsidR="00EE5A08" w:rsidRPr="00DB5C1A" w:rsidRDefault="00EE5A08" w:rsidP="00EE5A08">
      <w:pPr>
        <w:spacing w:after="14" w:line="249" w:lineRule="auto"/>
        <w:ind w:left="397" w:right="397" w:hanging="10"/>
        <w:rPr>
          <w:rFonts w:ascii="Verdana" w:hAnsi="Verdana"/>
          <w:i/>
          <w:iCs/>
          <w:sz w:val="20"/>
          <w:szCs w:val="20"/>
        </w:rPr>
      </w:pPr>
      <w:r w:rsidRPr="00DB5C1A">
        <w:rPr>
          <w:rFonts w:ascii="Verdana" w:eastAsia="Calibri" w:hAnsi="Verdana" w:cs="Calibri"/>
          <w:b/>
          <w:i/>
          <w:iCs/>
          <w:sz w:val="20"/>
          <w:szCs w:val="20"/>
        </w:rPr>
        <w:t>POR TANTO, SE ACUERDA de la siguiente forma</w:t>
      </w:r>
      <w:r w:rsidRPr="00DB5C1A">
        <w:rPr>
          <w:rFonts w:ascii="Verdana" w:hAnsi="Verdana"/>
          <w:i/>
          <w:iCs/>
          <w:sz w:val="20"/>
          <w:szCs w:val="20"/>
        </w:rPr>
        <w:t xml:space="preserve">: </w:t>
      </w:r>
    </w:p>
    <w:p w14:paraId="423BB352" w14:textId="77777777" w:rsidR="00EE5A08" w:rsidRPr="00DB5C1A" w:rsidRDefault="00EE5A08" w:rsidP="00EE5A08">
      <w:pPr>
        <w:spacing w:after="14" w:line="249" w:lineRule="auto"/>
        <w:ind w:left="397" w:right="397" w:hanging="10"/>
        <w:rPr>
          <w:rFonts w:ascii="Verdana" w:hAnsi="Verdana"/>
          <w:i/>
          <w:iCs/>
          <w:sz w:val="20"/>
          <w:szCs w:val="20"/>
        </w:rPr>
      </w:pPr>
      <w:r w:rsidRPr="00DB5C1A">
        <w:rPr>
          <w:rFonts w:ascii="Verdana" w:eastAsia="Calibri" w:hAnsi="Verdana" w:cs="Calibri"/>
          <w:b/>
          <w:i/>
          <w:iCs/>
          <w:sz w:val="20"/>
          <w:szCs w:val="20"/>
        </w:rPr>
        <w:t xml:space="preserve">UNANIMIDAD EN LO QUE SE REFIERE A LOS PUNTOS UNO, DOS Y TRES DE LA PARTE DISPOSITIVA. </w:t>
      </w:r>
    </w:p>
    <w:p w14:paraId="075B35CC" w14:textId="77777777" w:rsidR="00EE5A08" w:rsidRPr="00DB5C1A" w:rsidRDefault="00EE5A08" w:rsidP="00EE5A08">
      <w:pPr>
        <w:spacing w:after="14" w:line="249" w:lineRule="auto"/>
        <w:ind w:left="397" w:right="397" w:hanging="10"/>
        <w:rPr>
          <w:rFonts w:ascii="Verdana" w:hAnsi="Verdana"/>
          <w:i/>
          <w:iCs/>
          <w:sz w:val="20"/>
          <w:szCs w:val="20"/>
        </w:rPr>
      </w:pPr>
      <w:r w:rsidRPr="00DB5C1A">
        <w:rPr>
          <w:rFonts w:ascii="Verdana" w:eastAsia="Calibri" w:hAnsi="Verdana" w:cs="Calibri"/>
          <w:b/>
          <w:i/>
          <w:iCs/>
          <w:sz w:val="20"/>
          <w:szCs w:val="20"/>
        </w:rPr>
        <w:t xml:space="preserve">CINCO VOTOS A FAVOR Y DOS VOTOS EN CONTRA ÚNICAMENTE EN LO QUE SE REFIERE AL PUNTO NÚMERO CUATRO DE LA PARTE DISPOSITIVA (los votos negativos son de los directores Lic. Carlos Manuel Rodríguez y Licda. Helen Simmons): </w:t>
      </w:r>
    </w:p>
    <w:p w14:paraId="512B80E4" w14:textId="77777777" w:rsidR="00EE5A08" w:rsidRPr="00DB5C1A" w:rsidRDefault="00EE5A08" w:rsidP="00EE5A08">
      <w:pPr>
        <w:numPr>
          <w:ilvl w:val="0"/>
          <w:numId w:val="1"/>
        </w:numPr>
        <w:spacing w:after="23" w:line="248" w:lineRule="auto"/>
        <w:ind w:left="397" w:right="397" w:hanging="348"/>
        <w:jc w:val="both"/>
        <w:rPr>
          <w:rFonts w:ascii="Verdana" w:hAnsi="Verdana"/>
          <w:i/>
          <w:iCs/>
          <w:sz w:val="20"/>
          <w:szCs w:val="20"/>
        </w:rPr>
      </w:pPr>
      <w:r w:rsidRPr="00DB5C1A">
        <w:rPr>
          <w:rFonts w:ascii="Verdana" w:hAnsi="Verdana"/>
          <w:i/>
          <w:iCs/>
          <w:sz w:val="20"/>
          <w:szCs w:val="20"/>
        </w:rPr>
        <w:t xml:space="preserve">Aprobar, basados en los fundamentos, motivos y contenidos, desarrollados en los considerandos de los oficios CTP AJ OF 2020-000220 y DAJ 2019-1264, todas las recomendaciones contenidas en los oficios dichos, los cuales forman parte integral de este acuerdo. </w:t>
      </w:r>
    </w:p>
    <w:p w14:paraId="0CFC83FF" w14:textId="6530CCD8" w:rsidR="00EE5A08" w:rsidRPr="00DB5C1A" w:rsidRDefault="00EE5A08" w:rsidP="00EE5A08">
      <w:pPr>
        <w:numPr>
          <w:ilvl w:val="0"/>
          <w:numId w:val="1"/>
        </w:numPr>
        <w:spacing w:after="23" w:line="248" w:lineRule="auto"/>
        <w:ind w:left="397" w:right="397" w:hanging="348"/>
        <w:jc w:val="both"/>
        <w:rPr>
          <w:rFonts w:ascii="Verdana" w:hAnsi="Verdana"/>
          <w:i/>
          <w:iCs/>
          <w:sz w:val="20"/>
          <w:szCs w:val="20"/>
        </w:rPr>
      </w:pPr>
      <w:r w:rsidRPr="00DB5C1A">
        <w:rPr>
          <w:rFonts w:ascii="Verdana" w:hAnsi="Verdana"/>
          <w:i/>
          <w:iCs/>
          <w:sz w:val="20"/>
          <w:szCs w:val="20"/>
        </w:rPr>
        <w:t>Esta Junta Directiva reitera acoger el incidente de nulidad contra el acuerdo 7.5 de la sesión ordinaria 17-2019, presentado por el señor C</w:t>
      </w:r>
      <w:r w:rsidR="005D4B0A">
        <w:rPr>
          <w:rFonts w:ascii="Verdana" w:hAnsi="Verdana"/>
          <w:i/>
          <w:iCs/>
          <w:sz w:val="20"/>
          <w:szCs w:val="20"/>
        </w:rPr>
        <w:t>.A.R.S.</w:t>
      </w:r>
      <w:r w:rsidRPr="00DB5C1A">
        <w:rPr>
          <w:rFonts w:ascii="Verdana" w:hAnsi="Verdana"/>
          <w:i/>
          <w:iCs/>
          <w:sz w:val="20"/>
          <w:szCs w:val="20"/>
        </w:rPr>
        <w:t xml:space="preserve">, toda vez que mediante el artículo 7.7 de la sesión ordinaria 02-2020 del 9 de enero del 2020, en acato de la Resolución TAT-3669-2019 del Tribunal Administrativo de </w:t>
      </w:r>
      <w:r w:rsidRPr="00DB5C1A">
        <w:rPr>
          <w:rFonts w:ascii="Verdana" w:hAnsi="Verdana"/>
          <w:i/>
          <w:iCs/>
          <w:sz w:val="20"/>
          <w:szCs w:val="20"/>
        </w:rPr>
        <w:lastRenderedPageBreak/>
        <w:t>Transportes</w:t>
      </w:r>
      <w:r w:rsidR="00C653AA">
        <w:rPr>
          <w:rFonts w:ascii="Verdana" w:hAnsi="Verdana"/>
          <w:i/>
          <w:iCs/>
          <w:sz w:val="20"/>
          <w:szCs w:val="20"/>
        </w:rPr>
        <w:t xml:space="preserve"> (</w:t>
      </w:r>
      <w:r w:rsidR="00A62970">
        <w:rPr>
          <w:rFonts w:ascii="Verdana" w:hAnsi="Verdana"/>
          <w:i/>
          <w:iCs/>
          <w:sz w:val="20"/>
          <w:szCs w:val="20"/>
        </w:rPr>
        <w:t>sic</w:t>
      </w:r>
      <w:r w:rsidR="00C653AA">
        <w:rPr>
          <w:rFonts w:ascii="Verdana" w:hAnsi="Verdana"/>
          <w:i/>
          <w:iCs/>
          <w:sz w:val="20"/>
          <w:szCs w:val="20"/>
        </w:rPr>
        <w:t>)</w:t>
      </w:r>
      <w:r w:rsidRPr="00DB5C1A">
        <w:rPr>
          <w:rFonts w:ascii="Verdana" w:hAnsi="Verdana"/>
          <w:i/>
          <w:iCs/>
          <w:sz w:val="20"/>
          <w:szCs w:val="20"/>
        </w:rPr>
        <w:t xml:space="preserve"> ya se había dispuesto la anulación del artículo 7.7 de la sesión ordinaria 48-2019. </w:t>
      </w:r>
    </w:p>
    <w:p w14:paraId="4E6086F5" w14:textId="27837095" w:rsidR="00EE5A08" w:rsidRPr="00DB5C1A" w:rsidRDefault="00EE5A08" w:rsidP="00EE5A08">
      <w:pPr>
        <w:numPr>
          <w:ilvl w:val="0"/>
          <w:numId w:val="1"/>
        </w:numPr>
        <w:spacing w:after="23" w:line="248" w:lineRule="auto"/>
        <w:ind w:left="397" w:right="397" w:hanging="348"/>
        <w:jc w:val="both"/>
        <w:rPr>
          <w:rFonts w:ascii="Verdana" w:hAnsi="Verdana"/>
          <w:i/>
          <w:iCs/>
          <w:sz w:val="20"/>
          <w:szCs w:val="20"/>
        </w:rPr>
      </w:pPr>
      <w:r w:rsidRPr="00DB5C1A">
        <w:rPr>
          <w:rFonts w:ascii="Verdana" w:hAnsi="Verdana"/>
          <w:i/>
          <w:iCs/>
          <w:sz w:val="20"/>
          <w:szCs w:val="20"/>
        </w:rPr>
        <w:t xml:space="preserve">Se ordena a la Administración que inicie los trámites y procedimientos de licitación pública </w:t>
      </w:r>
      <w:r w:rsidR="00A63C03">
        <w:rPr>
          <w:rFonts w:ascii="Verdana" w:hAnsi="Verdana"/>
          <w:i/>
          <w:iCs/>
          <w:sz w:val="20"/>
          <w:szCs w:val="20"/>
        </w:rPr>
        <w:t xml:space="preserve">de las rutas operadas por las empresas </w:t>
      </w:r>
      <w:r w:rsidR="00A62970">
        <w:rPr>
          <w:rFonts w:ascii="Verdana" w:hAnsi="Verdana"/>
          <w:b/>
          <w:bCs/>
          <w:i/>
          <w:iCs/>
          <w:sz w:val="20"/>
          <w:szCs w:val="20"/>
        </w:rPr>
        <w:t>B</w:t>
      </w:r>
      <w:r w:rsidR="005D4B0A">
        <w:rPr>
          <w:rFonts w:ascii="Verdana" w:hAnsi="Verdana"/>
          <w:b/>
          <w:bCs/>
          <w:i/>
          <w:iCs/>
          <w:sz w:val="20"/>
          <w:szCs w:val="20"/>
        </w:rPr>
        <w:t>.H.S.A.</w:t>
      </w:r>
      <w:r w:rsidR="00A63C03">
        <w:rPr>
          <w:rFonts w:ascii="Verdana" w:hAnsi="Verdana"/>
          <w:b/>
          <w:bCs/>
          <w:i/>
          <w:iCs/>
          <w:sz w:val="20"/>
          <w:szCs w:val="20"/>
        </w:rPr>
        <w:t xml:space="preserve">, </w:t>
      </w:r>
      <w:r w:rsidR="00A63C03">
        <w:rPr>
          <w:rFonts w:ascii="Verdana" w:hAnsi="Verdana"/>
          <w:i/>
          <w:iCs/>
          <w:sz w:val="20"/>
          <w:szCs w:val="20"/>
        </w:rPr>
        <w:t xml:space="preserve">operadora de la ruta número 400 BS; y </w:t>
      </w:r>
      <w:r w:rsidR="00A63C03">
        <w:rPr>
          <w:rFonts w:ascii="Verdana" w:hAnsi="Verdana"/>
          <w:b/>
          <w:bCs/>
          <w:i/>
          <w:iCs/>
          <w:sz w:val="20"/>
          <w:szCs w:val="20"/>
        </w:rPr>
        <w:t>B</w:t>
      </w:r>
      <w:r w:rsidR="005D4B0A">
        <w:rPr>
          <w:rFonts w:ascii="Verdana" w:hAnsi="Verdana"/>
          <w:b/>
          <w:bCs/>
          <w:i/>
          <w:iCs/>
          <w:sz w:val="20"/>
          <w:szCs w:val="20"/>
        </w:rPr>
        <w:t>.I.U.</w:t>
      </w:r>
      <w:r w:rsidR="00A63C03">
        <w:rPr>
          <w:rFonts w:ascii="Verdana" w:hAnsi="Verdana"/>
          <w:b/>
          <w:bCs/>
          <w:i/>
          <w:iCs/>
          <w:sz w:val="20"/>
          <w:szCs w:val="20"/>
        </w:rPr>
        <w:t xml:space="preserve">S.A., </w:t>
      </w:r>
      <w:r w:rsidR="00A63C03">
        <w:rPr>
          <w:rFonts w:ascii="Verdana" w:hAnsi="Verdana"/>
          <w:i/>
          <w:iCs/>
          <w:sz w:val="20"/>
          <w:szCs w:val="20"/>
        </w:rPr>
        <w:t xml:space="preserve">operadora de la </w:t>
      </w:r>
      <w:proofErr w:type="spellStart"/>
      <w:r w:rsidR="006969FC">
        <w:rPr>
          <w:rFonts w:ascii="Verdana" w:hAnsi="Verdana"/>
          <w:i/>
          <w:iCs/>
          <w:sz w:val="20"/>
          <w:szCs w:val="20"/>
        </w:rPr>
        <w:t>xxx</w:t>
      </w:r>
      <w:proofErr w:type="spellEnd"/>
      <w:r w:rsidR="00A62970">
        <w:rPr>
          <w:rFonts w:ascii="Verdana" w:hAnsi="Verdana"/>
          <w:i/>
          <w:iCs/>
          <w:sz w:val="20"/>
          <w:szCs w:val="20"/>
        </w:rPr>
        <w:t>,</w:t>
      </w:r>
      <w:r w:rsidR="00A63C03">
        <w:rPr>
          <w:rFonts w:ascii="Verdana" w:hAnsi="Verdana"/>
          <w:i/>
          <w:iCs/>
          <w:sz w:val="20"/>
          <w:szCs w:val="20"/>
        </w:rPr>
        <w:t xml:space="preserve"> por encontrarse caducas, </w:t>
      </w:r>
      <w:r w:rsidRPr="00DB5C1A">
        <w:rPr>
          <w:rFonts w:ascii="Verdana" w:hAnsi="Verdana"/>
          <w:i/>
          <w:iCs/>
          <w:sz w:val="20"/>
          <w:szCs w:val="20"/>
        </w:rPr>
        <w:t xml:space="preserve">y se hagan los estudios técnicos requeridos para tal efecto, de acuerdo con las Políticas Públicas de la Modernización y Sectorización del Transporte Público, contenidos en el Decreto Ejecutivo </w:t>
      </w:r>
      <w:proofErr w:type="spellStart"/>
      <w:r w:rsidRPr="00DB5C1A">
        <w:rPr>
          <w:rFonts w:ascii="Verdana" w:hAnsi="Verdana"/>
          <w:i/>
          <w:iCs/>
          <w:sz w:val="20"/>
          <w:szCs w:val="20"/>
        </w:rPr>
        <w:t>N°</w:t>
      </w:r>
      <w:proofErr w:type="spellEnd"/>
      <w:r w:rsidRPr="00DB5C1A">
        <w:rPr>
          <w:rFonts w:ascii="Verdana" w:hAnsi="Verdana"/>
          <w:i/>
          <w:iCs/>
          <w:sz w:val="20"/>
          <w:szCs w:val="20"/>
        </w:rPr>
        <w:t xml:space="preserve"> 28.338-MOPT, Decreto Ejecutivo </w:t>
      </w:r>
      <w:proofErr w:type="spellStart"/>
      <w:r w:rsidRPr="00DB5C1A">
        <w:rPr>
          <w:rFonts w:ascii="Verdana" w:hAnsi="Verdana"/>
          <w:i/>
          <w:iCs/>
          <w:sz w:val="20"/>
          <w:szCs w:val="20"/>
        </w:rPr>
        <w:t>N°</w:t>
      </w:r>
      <w:proofErr w:type="spellEnd"/>
      <w:r w:rsidRPr="00DB5C1A">
        <w:rPr>
          <w:rFonts w:ascii="Verdana" w:hAnsi="Verdana"/>
          <w:i/>
          <w:iCs/>
          <w:sz w:val="20"/>
          <w:szCs w:val="20"/>
        </w:rPr>
        <w:t xml:space="preserve"> 40186-MOPT y Decreto Ejecutivo </w:t>
      </w:r>
      <w:proofErr w:type="spellStart"/>
      <w:r w:rsidRPr="00DB5C1A">
        <w:rPr>
          <w:rFonts w:ascii="Verdana" w:hAnsi="Verdana"/>
          <w:i/>
          <w:iCs/>
          <w:sz w:val="20"/>
          <w:szCs w:val="20"/>
        </w:rPr>
        <w:t>N°</w:t>
      </w:r>
      <w:proofErr w:type="spellEnd"/>
      <w:r w:rsidRPr="00DB5C1A">
        <w:rPr>
          <w:rFonts w:ascii="Verdana" w:hAnsi="Verdana"/>
          <w:i/>
          <w:iCs/>
          <w:sz w:val="20"/>
          <w:szCs w:val="20"/>
        </w:rPr>
        <w:t xml:space="preserve"> 40545-MOPT.  </w:t>
      </w:r>
    </w:p>
    <w:p w14:paraId="1E03991E" w14:textId="3A28942D" w:rsidR="00EE5A08" w:rsidRPr="00DB5C1A" w:rsidRDefault="00EE5A08" w:rsidP="00A63C03">
      <w:pPr>
        <w:numPr>
          <w:ilvl w:val="0"/>
          <w:numId w:val="1"/>
        </w:numPr>
        <w:spacing w:after="23" w:line="248" w:lineRule="auto"/>
        <w:ind w:left="397" w:right="397" w:hanging="348"/>
        <w:jc w:val="both"/>
        <w:rPr>
          <w:rFonts w:ascii="Verdana" w:hAnsi="Verdana"/>
          <w:i/>
          <w:iCs/>
          <w:sz w:val="20"/>
          <w:szCs w:val="20"/>
        </w:rPr>
      </w:pPr>
      <w:r w:rsidRPr="00DB5C1A">
        <w:rPr>
          <w:rFonts w:ascii="Verdana" w:hAnsi="Verdana"/>
          <w:i/>
          <w:iCs/>
          <w:sz w:val="20"/>
          <w:szCs w:val="20"/>
        </w:rPr>
        <w:t xml:space="preserve">Se dispone que </w:t>
      </w:r>
      <w:r w:rsidR="00A63C03">
        <w:rPr>
          <w:rFonts w:ascii="Verdana" w:hAnsi="Verdana"/>
          <w:i/>
          <w:iCs/>
          <w:sz w:val="20"/>
          <w:szCs w:val="20"/>
        </w:rPr>
        <w:t xml:space="preserve">los actuales operadores continuarán prestando el servicio en las condiciones que lo vienen haciendo, hasta que el Consejo así lo determine de acuerdo con sus potestades de imperio legalmente establecidas, el principio de continuidad del servicio y las políticas públicas señaladas en la normativa antes </w:t>
      </w:r>
      <w:proofErr w:type="gramStart"/>
      <w:r w:rsidR="00A63C03">
        <w:rPr>
          <w:rFonts w:ascii="Verdana" w:hAnsi="Verdana"/>
          <w:i/>
          <w:iCs/>
          <w:sz w:val="20"/>
          <w:szCs w:val="20"/>
        </w:rPr>
        <w:t>citada.</w:t>
      </w:r>
      <w:r>
        <w:rPr>
          <w:rFonts w:ascii="Verdana" w:hAnsi="Verdana"/>
          <w:i/>
          <w:iCs/>
          <w:sz w:val="20"/>
          <w:szCs w:val="20"/>
        </w:rPr>
        <w:t>(</w:t>
      </w:r>
      <w:proofErr w:type="gramEnd"/>
      <w:r>
        <w:rPr>
          <w:rFonts w:ascii="Verdana" w:hAnsi="Verdana"/>
          <w:i/>
          <w:iCs/>
          <w:sz w:val="20"/>
          <w:szCs w:val="20"/>
        </w:rPr>
        <w:t>…)”</w:t>
      </w:r>
    </w:p>
    <w:p w14:paraId="0B15D8FC" w14:textId="77777777" w:rsidR="00EE5A08" w:rsidRPr="00C60184" w:rsidRDefault="00EE5A08" w:rsidP="00EE5A08">
      <w:pPr>
        <w:jc w:val="both"/>
        <w:rPr>
          <w:rFonts w:ascii="Verdana" w:hAnsi="Verdana"/>
          <w:sz w:val="22"/>
          <w:szCs w:val="22"/>
        </w:rPr>
      </w:pPr>
    </w:p>
    <w:p w14:paraId="60320127" w14:textId="48800585" w:rsidR="00EE5A08" w:rsidRPr="0018277B" w:rsidRDefault="00EE5A08" w:rsidP="00EE5A08">
      <w:pPr>
        <w:jc w:val="both"/>
        <w:rPr>
          <w:rFonts w:ascii="Verdana" w:hAnsi="Verdana"/>
          <w:sz w:val="22"/>
          <w:szCs w:val="22"/>
        </w:rPr>
      </w:pPr>
      <w:r w:rsidRPr="00C60184">
        <w:rPr>
          <w:rFonts w:ascii="Verdana" w:hAnsi="Verdana"/>
          <w:b/>
          <w:sz w:val="22"/>
          <w:szCs w:val="22"/>
        </w:rPr>
        <w:t xml:space="preserve">SEGUNDO: </w:t>
      </w:r>
      <w:r w:rsidRPr="00C64AE8">
        <w:rPr>
          <w:rFonts w:ascii="Verdana" w:hAnsi="Verdana"/>
          <w:bCs/>
          <w:sz w:val="22"/>
          <w:szCs w:val="22"/>
        </w:rPr>
        <w:t>Los Recurrentes  en su libelo</w:t>
      </w:r>
      <w:r>
        <w:rPr>
          <w:rFonts w:ascii="Verdana" w:hAnsi="Verdana"/>
          <w:b/>
          <w:sz w:val="22"/>
          <w:szCs w:val="22"/>
        </w:rPr>
        <w:t xml:space="preserve"> </w:t>
      </w:r>
      <w:r>
        <w:rPr>
          <w:rFonts w:ascii="Verdana" w:hAnsi="Verdana"/>
          <w:sz w:val="22"/>
          <w:szCs w:val="22"/>
        </w:rPr>
        <w:t xml:space="preserve">concretamente solicitan la anulación del </w:t>
      </w:r>
      <w:r w:rsidRPr="00C64AE8">
        <w:rPr>
          <w:rFonts w:ascii="Verdana" w:hAnsi="Verdana"/>
          <w:b/>
          <w:sz w:val="22"/>
          <w:szCs w:val="22"/>
        </w:rPr>
        <w:t xml:space="preserve"> </w:t>
      </w:r>
      <w:r w:rsidRPr="00C60184">
        <w:rPr>
          <w:rFonts w:ascii="Verdana" w:hAnsi="Verdana"/>
          <w:b/>
          <w:sz w:val="22"/>
          <w:szCs w:val="22"/>
        </w:rPr>
        <w:t>artículo 7.</w:t>
      </w:r>
      <w:r>
        <w:rPr>
          <w:rFonts w:ascii="Verdana" w:hAnsi="Verdana"/>
          <w:b/>
          <w:sz w:val="22"/>
          <w:szCs w:val="22"/>
        </w:rPr>
        <w:t>1</w:t>
      </w:r>
      <w:r w:rsidRPr="00C60184">
        <w:rPr>
          <w:rFonts w:ascii="Verdana" w:hAnsi="Verdana"/>
          <w:b/>
          <w:sz w:val="22"/>
          <w:szCs w:val="22"/>
        </w:rPr>
        <w:t xml:space="preserve"> de la Sesión Ordinaria </w:t>
      </w:r>
      <w:r>
        <w:rPr>
          <w:rFonts w:ascii="Verdana" w:hAnsi="Verdana"/>
          <w:b/>
          <w:sz w:val="22"/>
          <w:szCs w:val="22"/>
        </w:rPr>
        <w:t>21</w:t>
      </w:r>
      <w:r w:rsidRPr="00C60184">
        <w:rPr>
          <w:rFonts w:ascii="Verdana" w:hAnsi="Verdana"/>
          <w:b/>
          <w:sz w:val="22"/>
          <w:szCs w:val="22"/>
        </w:rPr>
        <w:t xml:space="preserve">-2020 del </w:t>
      </w:r>
      <w:r>
        <w:rPr>
          <w:rFonts w:ascii="Verdana" w:hAnsi="Verdana"/>
          <w:b/>
          <w:sz w:val="22"/>
          <w:szCs w:val="22"/>
        </w:rPr>
        <w:t>17  de marzo</w:t>
      </w:r>
      <w:r w:rsidRPr="00C60184">
        <w:rPr>
          <w:rFonts w:ascii="Verdana" w:hAnsi="Verdana"/>
          <w:b/>
          <w:sz w:val="22"/>
          <w:szCs w:val="22"/>
        </w:rPr>
        <w:t xml:space="preserve"> de 2020</w:t>
      </w:r>
      <w:r>
        <w:rPr>
          <w:rFonts w:ascii="Verdana" w:hAnsi="Verdana"/>
          <w:sz w:val="22"/>
          <w:szCs w:val="22"/>
        </w:rPr>
        <w:t xml:space="preserve"> por cuanto consideran que al estar impugnado ante el Consejo de Gobierno el procedimiento Administrativo de Cancelación de Concesión que realizó la ARESEP, en contra de la empresa </w:t>
      </w:r>
      <w:r w:rsidR="00A63C03">
        <w:rPr>
          <w:rFonts w:ascii="Verdana" w:hAnsi="Verdana"/>
          <w:sz w:val="22"/>
          <w:szCs w:val="22"/>
        </w:rPr>
        <w:t xml:space="preserve"> </w:t>
      </w:r>
      <w:r w:rsidRPr="00C64AE8">
        <w:rPr>
          <w:rFonts w:ascii="Verdana" w:hAnsi="Verdana"/>
          <w:b/>
          <w:bCs/>
          <w:sz w:val="22"/>
          <w:szCs w:val="22"/>
        </w:rPr>
        <w:t>B</w:t>
      </w:r>
      <w:r w:rsidR="005D4B0A">
        <w:rPr>
          <w:rFonts w:ascii="Verdana" w:hAnsi="Verdana"/>
          <w:b/>
          <w:bCs/>
          <w:sz w:val="22"/>
          <w:szCs w:val="22"/>
        </w:rPr>
        <w:t>.H.S.A.</w:t>
      </w:r>
      <w:r>
        <w:rPr>
          <w:rFonts w:ascii="Verdana" w:hAnsi="Verdana"/>
          <w:sz w:val="22"/>
          <w:szCs w:val="22"/>
        </w:rPr>
        <w:t>, es improcedente que se disponga en el acuerdo recurrido proceder con procesos de Licitación lo que haría incurrir a los miembros de la Junta Directiva del CTP en responsabilidad Administrativa, civil y Penal, por lo que al no estar en firme el procedimiento de caducidad que se siguió contra la empresa el acto recurrido se vicia de nulidad Absoluta</w:t>
      </w:r>
      <w:r w:rsidRPr="0018277B">
        <w:rPr>
          <w:rFonts w:ascii="Verdana" w:hAnsi="Verdana"/>
          <w:sz w:val="22"/>
          <w:szCs w:val="22"/>
        </w:rPr>
        <w:t xml:space="preserve">.  (ver folios del </w:t>
      </w:r>
      <w:r w:rsidR="0018277B" w:rsidRPr="0018277B">
        <w:rPr>
          <w:rFonts w:ascii="Verdana" w:hAnsi="Verdana"/>
          <w:sz w:val="22"/>
          <w:szCs w:val="22"/>
        </w:rPr>
        <w:t xml:space="preserve">22 al 26 </w:t>
      </w:r>
      <w:r w:rsidRPr="0018277B">
        <w:rPr>
          <w:rFonts w:ascii="Verdana" w:hAnsi="Verdana"/>
          <w:sz w:val="22"/>
          <w:szCs w:val="22"/>
        </w:rPr>
        <w:t>del expediente administrativo)</w:t>
      </w:r>
    </w:p>
    <w:p w14:paraId="79632B8D" w14:textId="77777777" w:rsidR="00EE5A08" w:rsidRPr="0018277B" w:rsidRDefault="00EE5A08" w:rsidP="00EE5A08">
      <w:pPr>
        <w:jc w:val="both"/>
        <w:rPr>
          <w:rFonts w:ascii="Verdana" w:hAnsi="Verdana"/>
          <w:sz w:val="22"/>
          <w:szCs w:val="22"/>
        </w:rPr>
      </w:pPr>
    </w:p>
    <w:p w14:paraId="6C8AC01F" w14:textId="030C23B0" w:rsidR="00EE5A08" w:rsidRPr="0018277B" w:rsidRDefault="00EE5A08" w:rsidP="00EE5A08">
      <w:pPr>
        <w:jc w:val="both"/>
        <w:rPr>
          <w:rFonts w:ascii="Verdana" w:hAnsi="Verdana"/>
          <w:sz w:val="22"/>
          <w:szCs w:val="22"/>
        </w:rPr>
      </w:pPr>
      <w:r w:rsidRPr="0018277B">
        <w:rPr>
          <w:rFonts w:ascii="Verdana" w:hAnsi="Verdana"/>
          <w:b/>
          <w:sz w:val="22"/>
          <w:szCs w:val="22"/>
        </w:rPr>
        <w:t xml:space="preserve">TERCERO: </w:t>
      </w:r>
      <w:r w:rsidRPr="0018277B">
        <w:rPr>
          <w:rFonts w:ascii="Verdana" w:hAnsi="Verdana"/>
          <w:sz w:val="22"/>
          <w:szCs w:val="22"/>
        </w:rPr>
        <w:t xml:space="preserve">Mediante </w:t>
      </w:r>
      <w:r w:rsidRPr="0018277B">
        <w:rPr>
          <w:rFonts w:ascii="Verdana" w:hAnsi="Verdana"/>
          <w:b/>
          <w:sz w:val="22"/>
          <w:szCs w:val="22"/>
        </w:rPr>
        <w:t>Acuerdo</w:t>
      </w:r>
      <w:r w:rsidRPr="0018277B">
        <w:rPr>
          <w:rFonts w:ascii="Verdana" w:hAnsi="Verdana"/>
          <w:sz w:val="22"/>
          <w:szCs w:val="22"/>
        </w:rPr>
        <w:t xml:space="preserve"> </w:t>
      </w:r>
      <w:r w:rsidRPr="0018277B">
        <w:rPr>
          <w:rFonts w:ascii="Verdana" w:hAnsi="Verdana"/>
          <w:b/>
          <w:sz w:val="22"/>
          <w:szCs w:val="22"/>
        </w:rPr>
        <w:t xml:space="preserve">7.9 de la Sesión Ordinaria 74-2020 </w:t>
      </w:r>
      <w:r w:rsidRPr="00C60184">
        <w:rPr>
          <w:rFonts w:ascii="Verdana" w:hAnsi="Verdana"/>
          <w:b/>
          <w:sz w:val="22"/>
          <w:szCs w:val="22"/>
        </w:rPr>
        <w:t xml:space="preserve">de 1 de </w:t>
      </w:r>
      <w:r>
        <w:rPr>
          <w:rFonts w:ascii="Verdana" w:hAnsi="Verdana"/>
          <w:b/>
          <w:sz w:val="22"/>
          <w:szCs w:val="22"/>
        </w:rPr>
        <w:t>octubre</w:t>
      </w:r>
      <w:r w:rsidRPr="00C60184">
        <w:rPr>
          <w:rFonts w:ascii="Verdana" w:hAnsi="Verdana"/>
          <w:b/>
          <w:sz w:val="22"/>
          <w:szCs w:val="22"/>
        </w:rPr>
        <w:t xml:space="preserve"> de 2020,</w:t>
      </w:r>
      <w:r w:rsidRPr="00C60184">
        <w:rPr>
          <w:rFonts w:ascii="Verdana" w:hAnsi="Verdana"/>
          <w:sz w:val="22"/>
          <w:szCs w:val="22"/>
        </w:rPr>
        <w:t xml:space="preserve"> la Junta Directiva del Consejo de Transporte Público, conoce y avala el informe de la Dirección de Asuntos Jurídicos el </w:t>
      </w:r>
      <w:r w:rsidRPr="00C60184">
        <w:rPr>
          <w:rFonts w:ascii="Verdana" w:hAnsi="Verdana"/>
          <w:b/>
          <w:sz w:val="22"/>
          <w:szCs w:val="22"/>
        </w:rPr>
        <w:t>CTP-AJ-OF-2020-</w:t>
      </w:r>
      <w:r>
        <w:rPr>
          <w:rFonts w:ascii="Verdana" w:hAnsi="Verdana"/>
          <w:b/>
          <w:sz w:val="22"/>
          <w:szCs w:val="22"/>
        </w:rPr>
        <w:t>1594</w:t>
      </w:r>
      <w:r w:rsidRPr="00C60184">
        <w:rPr>
          <w:rFonts w:ascii="Verdana" w:hAnsi="Verdana"/>
          <w:b/>
          <w:sz w:val="22"/>
          <w:szCs w:val="22"/>
        </w:rPr>
        <w:t xml:space="preserve"> </w:t>
      </w:r>
      <w:r>
        <w:rPr>
          <w:rFonts w:ascii="Verdana" w:hAnsi="Verdana"/>
          <w:b/>
          <w:sz w:val="22"/>
          <w:szCs w:val="22"/>
        </w:rPr>
        <w:t xml:space="preserve">de 24 de setiembre de 2020 </w:t>
      </w:r>
      <w:r w:rsidRPr="00C60184">
        <w:rPr>
          <w:rFonts w:ascii="Verdana" w:hAnsi="Verdana"/>
          <w:bCs/>
          <w:sz w:val="22"/>
          <w:szCs w:val="22"/>
        </w:rPr>
        <w:t>y</w:t>
      </w:r>
      <w:r w:rsidRPr="00C60184">
        <w:rPr>
          <w:rFonts w:ascii="Verdana" w:hAnsi="Verdana"/>
          <w:b/>
          <w:sz w:val="22"/>
          <w:szCs w:val="22"/>
        </w:rPr>
        <w:t xml:space="preserve"> </w:t>
      </w:r>
      <w:r w:rsidRPr="00C60184">
        <w:rPr>
          <w:rFonts w:ascii="Verdana" w:hAnsi="Verdana"/>
          <w:sz w:val="22"/>
          <w:szCs w:val="22"/>
        </w:rPr>
        <w:t>dispone</w:t>
      </w:r>
      <w:r>
        <w:rPr>
          <w:rFonts w:ascii="Verdana" w:hAnsi="Verdana"/>
          <w:sz w:val="22"/>
          <w:szCs w:val="22"/>
        </w:rPr>
        <w:t xml:space="preserve"> rechazar el Recurso de Revocatoria, así como la nulidad presentada por Falta de Legitimación.</w:t>
      </w:r>
      <w:r w:rsidRPr="00C60184">
        <w:rPr>
          <w:rFonts w:ascii="Verdana" w:hAnsi="Verdana"/>
          <w:b/>
          <w:sz w:val="22"/>
          <w:szCs w:val="22"/>
        </w:rPr>
        <w:t xml:space="preserve"> </w:t>
      </w:r>
      <w:r w:rsidRPr="0018277B">
        <w:rPr>
          <w:rFonts w:ascii="Verdana" w:hAnsi="Verdana"/>
          <w:sz w:val="22"/>
          <w:szCs w:val="22"/>
        </w:rPr>
        <w:t xml:space="preserve">(Léanse folios del </w:t>
      </w:r>
      <w:r w:rsidR="0018277B" w:rsidRPr="0018277B">
        <w:rPr>
          <w:rFonts w:ascii="Verdana" w:hAnsi="Verdana"/>
          <w:sz w:val="22"/>
          <w:szCs w:val="22"/>
        </w:rPr>
        <w:t>2 al 11</w:t>
      </w:r>
      <w:r w:rsidRPr="0018277B">
        <w:rPr>
          <w:rFonts w:ascii="Verdana" w:hAnsi="Verdana"/>
          <w:sz w:val="22"/>
          <w:szCs w:val="22"/>
        </w:rPr>
        <w:t xml:space="preserve"> del expediente administrativo).</w:t>
      </w:r>
    </w:p>
    <w:p w14:paraId="21F967DD" w14:textId="77777777" w:rsidR="00EE5A08" w:rsidRPr="00AF03CF" w:rsidRDefault="00EE5A08" w:rsidP="00EE5A08">
      <w:pPr>
        <w:jc w:val="both"/>
        <w:rPr>
          <w:rFonts w:ascii="Verdana" w:hAnsi="Verdana"/>
          <w:color w:val="FF0000"/>
          <w:sz w:val="22"/>
          <w:szCs w:val="22"/>
        </w:rPr>
      </w:pPr>
    </w:p>
    <w:p w14:paraId="781253D6" w14:textId="77777777" w:rsidR="00EE5A08" w:rsidRPr="00C60184" w:rsidRDefault="00EE5A08" w:rsidP="00EE5A08">
      <w:pPr>
        <w:jc w:val="both"/>
        <w:rPr>
          <w:rFonts w:ascii="Verdana" w:hAnsi="Verdana"/>
          <w:sz w:val="22"/>
          <w:szCs w:val="22"/>
        </w:rPr>
      </w:pPr>
    </w:p>
    <w:p w14:paraId="72272EAD" w14:textId="4AAD5E75" w:rsidR="00EE5A08" w:rsidRPr="0018277B" w:rsidRDefault="00EE5A08" w:rsidP="00EE5A08">
      <w:pPr>
        <w:jc w:val="both"/>
        <w:rPr>
          <w:rFonts w:ascii="Verdana" w:hAnsi="Verdana"/>
          <w:bCs/>
          <w:sz w:val="22"/>
          <w:szCs w:val="22"/>
        </w:rPr>
      </w:pPr>
      <w:r w:rsidRPr="00C60184">
        <w:rPr>
          <w:rFonts w:ascii="Verdana" w:hAnsi="Verdana"/>
          <w:b/>
          <w:sz w:val="22"/>
          <w:szCs w:val="22"/>
        </w:rPr>
        <w:t xml:space="preserve">CUARTO: </w:t>
      </w:r>
      <w:r>
        <w:rPr>
          <w:rFonts w:ascii="Verdana" w:hAnsi="Verdana"/>
          <w:bCs/>
          <w:sz w:val="22"/>
          <w:szCs w:val="22"/>
        </w:rPr>
        <w:t>La Dirección de Asuntos Jurídicos del CTP, mediante oficio CTP-AJ-OF-2020-952 del 17 de junio de 2020, solicita a los recurrentes Aportar la Certificación de Personería Jurídica de la empresa B</w:t>
      </w:r>
      <w:r w:rsidR="005D4B0A">
        <w:rPr>
          <w:rFonts w:ascii="Verdana" w:hAnsi="Verdana"/>
          <w:bCs/>
          <w:sz w:val="22"/>
          <w:szCs w:val="22"/>
        </w:rPr>
        <w:t>.H.S.A.</w:t>
      </w:r>
      <w:r>
        <w:rPr>
          <w:rFonts w:ascii="Verdana" w:hAnsi="Verdana"/>
          <w:bCs/>
          <w:sz w:val="22"/>
          <w:szCs w:val="22"/>
        </w:rPr>
        <w:t xml:space="preserve"> en la que se demuestre que cuentan con la representación suficiente para actuar en el presente asunto</w:t>
      </w:r>
      <w:r w:rsidRPr="00C60184">
        <w:rPr>
          <w:rFonts w:ascii="Verdana" w:hAnsi="Verdana"/>
          <w:bCs/>
          <w:sz w:val="22"/>
          <w:szCs w:val="22"/>
        </w:rPr>
        <w:t xml:space="preserve">. </w:t>
      </w:r>
      <w:r w:rsidRPr="0018277B">
        <w:rPr>
          <w:rFonts w:ascii="Verdana" w:hAnsi="Verdana"/>
          <w:bCs/>
          <w:sz w:val="22"/>
          <w:szCs w:val="22"/>
        </w:rPr>
        <w:t>(ver folio</w:t>
      </w:r>
      <w:r w:rsidR="0018277B" w:rsidRPr="0018277B">
        <w:rPr>
          <w:rFonts w:ascii="Verdana" w:hAnsi="Verdana"/>
          <w:bCs/>
          <w:sz w:val="22"/>
          <w:szCs w:val="22"/>
        </w:rPr>
        <w:t xml:space="preserve"> 19</w:t>
      </w:r>
      <w:r w:rsidRPr="0018277B">
        <w:rPr>
          <w:rFonts w:ascii="Verdana" w:hAnsi="Verdana"/>
          <w:bCs/>
          <w:sz w:val="22"/>
          <w:szCs w:val="22"/>
        </w:rPr>
        <w:t xml:space="preserve"> del expediente administrativo)</w:t>
      </w:r>
    </w:p>
    <w:p w14:paraId="64369F74" w14:textId="77777777" w:rsidR="00EE5A08" w:rsidRPr="0018277B" w:rsidRDefault="00EE5A08" w:rsidP="00EE5A08">
      <w:pPr>
        <w:jc w:val="both"/>
        <w:rPr>
          <w:rFonts w:ascii="Verdana" w:hAnsi="Verdana"/>
          <w:b/>
          <w:sz w:val="22"/>
          <w:szCs w:val="22"/>
        </w:rPr>
      </w:pPr>
    </w:p>
    <w:p w14:paraId="1E9001AE" w14:textId="77777777" w:rsidR="00EE5A08" w:rsidRPr="00C60184" w:rsidRDefault="00EE5A08" w:rsidP="00EE5A08">
      <w:pPr>
        <w:jc w:val="both"/>
        <w:rPr>
          <w:rFonts w:ascii="Verdana" w:hAnsi="Verdana"/>
          <w:b/>
          <w:sz w:val="22"/>
          <w:szCs w:val="22"/>
        </w:rPr>
      </w:pPr>
    </w:p>
    <w:p w14:paraId="159D3034" w14:textId="6A80AA5B" w:rsidR="00EE5A08" w:rsidRPr="00AF03CF" w:rsidRDefault="00EE5A08" w:rsidP="00EE5A08">
      <w:pPr>
        <w:jc w:val="both"/>
        <w:rPr>
          <w:rFonts w:ascii="Verdana" w:hAnsi="Verdana"/>
          <w:bCs/>
          <w:sz w:val="22"/>
          <w:szCs w:val="22"/>
        </w:rPr>
      </w:pPr>
      <w:r w:rsidRPr="00C60184">
        <w:rPr>
          <w:rFonts w:ascii="Verdana" w:hAnsi="Verdana"/>
          <w:b/>
          <w:sz w:val="22"/>
          <w:szCs w:val="22"/>
        </w:rPr>
        <w:t xml:space="preserve">QUINTO: </w:t>
      </w:r>
      <w:r>
        <w:rPr>
          <w:rFonts w:ascii="Verdana" w:hAnsi="Verdana"/>
          <w:b/>
          <w:sz w:val="22"/>
          <w:szCs w:val="22"/>
        </w:rPr>
        <w:t xml:space="preserve">El 9 de julio de 2020 </w:t>
      </w:r>
      <w:r w:rsidRPr="00AF03CF">
        <w:rPr>
          <w:rFonts w:ascii="Verdana" w:hAnsi="Verdana"/>
          <w:bCs/>
          <w:sz w:val="22"/>
          <w:szCs w:val="22"/>
        </w:rPr>
        <w:t>los recur</w:t>
      </w:r>
      <w:r>
        <w:rPr>
          <w:rFonts w:ascii="Verdana" w:hAnsi="Verdana"/>
          <w:bCs/>
          <w:sz w:val="22"/>
          <w:szCs w:val="22"/>
        </w:rPr>
        <w:t>r</w:t>
      </w:r>
      <w:r w:rsidRPr="00AF03CF">
        <w:rPr>
          <w:rFonts w:ascii="Verdana" w:hAnsi="Verdana"/>
          <w:bCs/>
          <w:sz w:val="22"/>
          <w:szCs w:val="22"/>
        </w:rPr>
        <w:t xml:space="preserve">entes dan </w:t>
      </w:r>
      <w:r>
        <w:rPr>
          <w:rFonts w:ascii="Verdana" w:hAnsi="Verdana"/>
          <w:bCs/>
          <w:sz w:val="22"/>
          <w:szCs w:val="22"/>
        </w:rPr>
        <w:t>respuesta a la prevención emitida por el CTP e indican que el 2 de diciembre de 2019 se celebró la Asamblea de Socios la que quedo en firme el cambio de la Junta Directiva y por voluntad de los socios los Recurrentes J</w:t>
      </w:r>
      <w:r w:rsidR="005D4B0A">
        <w:rPr>
          <w:rFonts w:ascii="Verdana" w:hAnsi="Verdana"/>
          <w:bCs/>
          <w:sz w:val="22"/>
          <w:szCs w:val="22"/>
        </w:rPr>
        <w:t>.D.V.A.</w:t>
      </w:r>
      <w:r>
        <w:rPr>
          <w:rFonts w:ascii="Verdana" w:hAnsi="Verdana"/>
          <w:bCs/>
          <w:sz w:val="22"/>
          <w:szCs w:val="22"/>
        </w:rPr>
        <w:t>, C</w:t>
      </w:r>
      <w:r w:rsidR="005D4B0A">
        <w:rPr>
          <w:rFonts w:ascii="Verdana" w:hAnsi="Verdana"/>
          <w:bCs/>
          <w:sz w:val="22"/>
          <w:szCs w:val="22"/>
        </w:rPr>
        <w:t>.L.C.</w:t>
      </w:r>
      <w:r>
        <w:rPr>
          <w:rFonts w:ascii="Verdana" w:hAnsi="Verdana"/>
          <w:bCs/>
          <w:sz w:val="22"/>
          <w:szCs w:val="22"/>
        </w:rPr>
        <w:t xml:space="preserve"> y Z</w:t>
      </w:r>
      <w:r w:rsidR="005D4B0A">
        <w:rPr>
          <w:rFonts w:ascii="Verdana" w:hAnsi="Verdana"/>
          <w:bCs/>
          <w:sz w:val="22"/>
          <w:szCs w:val="22"/>
        </w:rPr>
        <w:t>.G.S.</w:t>
      </w:r>
      <w:r>
        <w:rPr>
          <w:rFonts w:ascii="Verdana" w:hAnsi="Verdana"/>
          <w:bCs/>
          <w:sz w:val="22"/>
          <w:szCs w:val="22"/>
        </w:rPr>
        <w:t xml:space="preserve">, fueron electos como presidente secretario y tesorera respectivamente, que no se ha inscrito ante el Registro Público por varios defectos pero que se encuentra en trámite. Que de conformidad con el numeral 152 del Código de Comercio la voluntad de </w:t>
      </w:r>
      <w:r>
        <w:rPr>
          <w:rFonts w:ascii="Verdana" w:hAnsi="Verdana"/>
          <w:bCs/>
          <w:sz w:val="22"/>
          <w:szCs w:val="22"/>
        </w:rPr>
        <w:lastRenderedPageBreak/>
        <w:t>la Asamblea es suficiente para la validez del nombramiento sin importar que no se haya publicado.</w:t>
      </w:r>
    </w:p>
    <w:p w14:paraId="4A4EF303" w14:textId="77777777" w:rsidR="00EE5A08" w:rsidRDefault="00EE5A08" w:rsidP="00EE5A08">
      <w:pPr>
        <w:jc w:val="both"/>
        <w:rPr>
          <w:rFonts w:ascii="Verdana" w:hAnsi="Verdana"/>
          <w:b/>
          <w:sz w:val="22"/>
          <w:szCs w:val="22"/>
        </w:rPr>
      </w:pPr>
    </w:p>
    <w:p w14:paraId="51CD95CD" w14:textId="77777777" w:rsidR="00EE5A08" w:rsidRPr="00C60184" w:rsidRDefault="00EE5A08" w:rsidP="00EE5A08">
      <w:pPr>
        <w:jc w:val="both"/>
        <w:rPr>
          <w:rFonts w:ascii="Verdana" w:hAnsi="Verdana"/>
          <w:sz w:val="22"/>
          <w:szCs w:val="22"/>
        </w:rPr>
      </w:pPr>
      <w:r>
        <w:rPr>
          <w:rFonts w:ascii="Verdana" w:hAnsi="Verdana"/>
          <w:b/>
          <w:sz w:val="22"/>
          <w:szCs w:val="22"/>
        </w:rPr>
        <w:t xml:space="preserve">SEXTO: </w:t>
      </w:r>
      <w:r w:rsidRPr="00C60184">
        <w:rPr>
          <w:rFonts w:ascii="Verdana" w:hAnsi="Verdana"/>
          <w:sz w:val="22"/>
          <w:szCs w:val="22"/>
        </w:rPr>
        <w:t>En los procedimientos se ha seguido las prescripciones de ley.</w:t>
      </w:r>
    </w:p>
    <w:p w14:paraId="56F8BFE6" w14:textId="77777777" w:rsidR="00EE5A08" w:rsidRPr="00C60184" w:rsidRDefault="00EE5A08" w:rsidP="00EE5A08">
      <w:pPr>
        <w:jc w:val="both"/>
        <w:rPr>
          <w:rFonts w:ascii="Verdana" w:hAnsi="Verdana"/>
          <w:b/>
          <w:smallCaps/>
          <w:sz w:val="22"/>
          <w:szCs w:val="22"/>
        </w:rPr>
      </w:pPr>
    </w:p>
    <w:p w14:paraId="1FE6C003" w14:textId="77777777" w:rsidR="00EE5A08" w:rsidRPr="00C60184" w:rsidRDefault="00EE5A08" w:rsidP="00EE5A08">
      <w:pPr>
        <w:jc w:val="both"/>
        <w:rPr>
          <w:rFonts w:ascii="Verdana" w:hAnsi="Verdana"/>
          <w:b/>
          <w:smallCaps/>
          <w:sz w:val="22"/>
          <w:szCs w:val="22"/>
        </w:rPr>
      </w:pPr>
      <w:r w:rsidRPr="00C60184">
        <w:rPr>
          <w:rFonts w:ascii="Verdana" w:hAnsi="Verdana"/>
          <w:b/>
          <w:smallCaps/>
          <w:sz w:val="22"/>
          <w:szCs w:val="22"/>
        </w:rPr>
        <w:t>REDACTA EL JUEZ MUÑOZ COREA, Y</w:t>
      </w:r>
    </w:p>
    <w:p w14:paraId="7260E451" w14:textId="77777777" w:rsidR="00EE5A08" w:rsidRPr="00C60184" w:rsidRDefault="00EE5A08" w:rsidP="00EE5A08">
      <w:pPr>
        <w:rPr>
          <w:rFonts w:ascii="Verdana" w:hAnsi="Verdana"/>
          <w:b/>
          <w:sz w:val="22"/>
          <w:szCs w:val="22"/>
        </w:rPr>
      </w:pPr>
    </w:p>
    <w:p w14:paraId="0A23DE3B" w14:textId="77777777" w:rsidR="00EE5A08" w:rsidRPr="00C60184" w:rsidRDefault="00EE5A08" w:rsidP="00EE5A08">
      <w:pPr>
        <w:tabs>
          <w:tab w:val="left" w:pos="2580"/>
        </w:tabs>
        <w:jc w:val="center"/>
        <w:rPr>
          <w:rFonts w:ascii="Verdana" w:hAnsi="Verdana"/>
          <w:b/>
          <w:sz w:val="22"/>
          <w:szCs w:val="22"/>
        </w:rPr>
      </w:pPr>
    </w:p>
    <w:p w14:paraId="1D113901" w14:textId="77777777" w:rsidR="00EE5A08" w:rsidRPr="00C60184" w:rsidRDefault="00EE5A08" w:rsidP="00EE5A08">
      <w:pPr>
        <w:tabs>
          <w:tab w:val="left" w:pos="2580"/>
        </w:tabs>
        <w:jc w:val="center"/>
        <w:rPr>
          <w:rFonts w:ascii="Verdana" w:hAnsi="Verdana"/>
          <w:b/>
          <w:sz w:val="22"/>
          <w:szCs w:val="22"/>
        </w:rPr>
      </w:pPr>
      <w:r w:rsidRPr="00C60184">
        <w:rPr>
          <w:rFonts w:ascii="Verdana" w:hAnsi="Verdana"/>
          <w:b/>
          <w:sz w:val="22"/>
          <w:szCs w:val="22"/>
        </w:rPr>
        <w:t>CONSIDERANDO ÚNICO</w:t>
      </w:r>
    </w:p>
    <w:p w14:paraId="596882D4" w14:textId="77777777" w:rsidR="00971B9B" w:rsidRDefault="00971B9B" w:rsidP="00971B9B">
      <w:pPr>
        <w:tabs>
          <w:tab w:val="left" w:pos="2580"/>
        </w:tabs>
        <w:jc w:val="both"/>
        <w:rPr>
          <w:rFonts w:ascii="Verdana" w:hAnsi="Verdana"/>
          <w:sz w:val="22"/>
          <w:szCs w:val="22"/>
        </w:rPr>
      </w:pPr>
    </w:p>
    <w:p w14:paraId="38C49E5A" w14:textId="4D84BE8A" w:rsidR="00EE5A08" w:rsidRPr="00C60184" w:rsidRDefault="00971B9B" w:rsidP="00971B9B">
      <w:pPr>
        <w:tabs>
          <w:tab w:val="left" w:pos="2580"/>
        </w:tabs>
        <w:jc w:val="both"/>
        <w:rPr>
          <w:rFonts w:ascii="Verdana" w:hAnsi="Verdana"/>
          <w:b/>
          <w:sz w:val="22"/>
          <w:szCs w:val="22"/>
        </w:rPr>
      </w:pPr>
      <w:r w:rsidRPr="00971B9B">
        <w:rPr>
          <w:rFonts w:ascii="Verdana" w:hAnsi="Verdana"/>
          <w:bCs/>
          <w:sz w:val="22"/>
          <w:szCs w:val="22"/>
        </w:rPr>
        <w:t>L</w:t>
      </w:r>
      <w:r w:rsidRPr="00C60184">
        <w:rPr>
          <w:rFonts w:ascii="Verdana" w:hAnsi="Verdana"/>
          <w:sz w:val="22"/>
          <w:szCs w:val="22"/>
        </w:rPr>
        <w:t xml:space="preserve">a Junta Directiva del Consejo de Transporte Público Mediante </w:t>
      </w:r>
      <w:r w:rsidRPr="00C60184">
        <w:rPr>
          <w:rFonts w:ascii="Verdana" w:hAnsi="Verdana"/>
          <w:b/>
          <w:sz w:val="22"/>
          <w:szCs w:val="22"/>
        </w:rPr>
        <w:t>Acuerdo</w:t>
      </w:r>
      <w:r w:rsidRPr="00C60184">
        <w:rPr>
          <w:rFonts w:ascii="Verdana" w:hAnsi="Verdana"/>
          <w:sz w:val="22"/>
          <w:szCs w:val="22"/>
        </w:rPr>
        <w:t xml:space="preserve"> </w:t>
      </w:r>
      <w:r w:rsidRPr="00C60184">
        <w:rPr>
          <w:rFonts w:ascii="Verdana" w:hAnsi="Verdana"/>
          <w:b/>
          <w:sz w:val="22"/>
          <w:szCs w:val="22"/>
        </w:rPr>
        <w:t>7.</w:t>
      </w:r>
      <w:r>
        <w:rPr>
          <w:rFonts w:ascii="Verdana" w:hAnsi="Verdana"/>
          <w:b/>
          <w:sz w:val="22"/>
          <w:szCs w:val="22"/>
        </w:rPr>
        <w:t>9</w:t>
      </w:r>
      <w:r w:rsidRPr="00C60184">
        <w:rPr>
          <w:rFonts w:ascii="Verdana" w:hAnsi="Verdana"/>
          <w:b/>
          <w:sz w:val="22"/>
          <w:szCs w:val="22"/>
        </w:rPr>
        <w:t xml:space="preserve"> de la Sesión Ordinaria </w:t>
      </w:r>
      <w:r>
        <w:rPr>
          <w:rFonts w:ascii="Verdana" w:hAnsi="Verdana"/>
          <w:b/>
          <w:sz w:val="22"/>
          <w:szCs w:val="22"/>
        </w:rPr>
        <w:t>74</w:t>
      </w:r>
      <w:r w:rsidRPr="00C60184">
        <w:rPr>
          <w:rFonts w:ascii="Verdana" w:hAnsi="Verdana"/>
          <w:b/>
          <w:sz w:val="22"/>
          <w:szCs w:val="22"/>
        </w:rPr>
        <w:t xml:space="preserve">-2020 de 1 de </w:t>
      </w:r>
      <w:r>
        <w:rPr>
          <w:rFonts w:ascii="Verdana" w:hAnsi="Verdana"/>
          <w:b/>
          <w:sz w:val="22"/>
          <w:szCs w:val="22"/>
        </w:rPr>
        <w:t>octubre</w:t>
      </w:r>
      <w:r w:rsidRPr="00C60184">
        <w:rPr>
          <w:rFonts w:ascii="Verdana" w:hAnsi="Verdana"/>
          <w:b/>
          <w:sz w:val="22"/>
          <w:szCs w:val="22"/>
        </w:rPr>
        <w:t xml:space="preserve"> de 2020</w:t>
      </w:r>
      <w:r w:rsidRPr="00C60184">
        <w:rPr>
          <w:rFonts w:ascii="Verdana" w:hAnsi="Verdana"/>
          <w:sz w:val="22"/>
          <w:szCs w:val="22"/>
        </w:rPr>
        <w:t xml:space="preserve">, conoce y avala el informe de la Dirección de Asuntos Jurídicos el </w:t>
      </w:r>
      <w:r w:rsidRPr="00C60184">
        <w:rPr>
          <w:rFonts w:ascii="Verdana" w:hAnsi="Verdana"/>
          <w:b/>
          <w:sz w:val="22"/>
          <w:szCs w:val="22"/>
        </w:rPr>
        <w:t>CTP-AJ-OF-2020-</w:t>
      </w:r>
      <w:r>
        <w:rPr>
          <w:rFonts w:ascii="Verdana" w:hAnsi="Verdana"/>
          <w:b/>
          <w:sz w:val="22"/>
          <w:szCs w:val="22"/>
        </w:rPr>
        <w:t>1594</w:t>
      </w:r>
      <w:r w:rsidRPr="00C60184">
        <w:rPr>
          <w:rFonts w:ascii="Verdana" w:hAnsi="Verdana"/>
          <w:b/>
          <w:sz w:val="22"/>
          <w:szCs w:val="22"/>
        </w:rPr>
        <w:t xml:space="preserve"> </w:t>
      </w:r>
      <w:r>
        <w:rPr>
          <w:rFonts w:ascii="Verdana" w:hAnsi="Verdana"/>
          <w:b/>
          <w:sz w:val="22"/>
          <w:szCs w:val="22"/>
        </w:rPr>
        <w:t xml:space="preserve">de 24 de setiembre de 2020 </w:t>
      </w:r>
      <w:r w:rsidRPr="00C60184">
        <w:rPr>
          <w:rFonts w:ascii="Verdana" w:hAnsi="Verdana"/>
          <w:bCs/>
          <w:sz w:val="22"/>
          <w:szCs w:val="22"/>
        </w:rPr>
        <w:t>y</w:t>
      </w:r>
      <w:r w:rsidRPr="00C60184">
        <w:rPr>
          <w:rFonts w:ascii="Verdana" w:hAnsi="Verdana"/>
          <w:b/>
          <w:sz w:val="22"/>
          <w:szCs w:val="22"/>
        </w:rPr>
        <w:t xml:space="preserve"> </w:t>
      </w:r>
      <w:r w:rsidRPr="00C60184">
        <w:rPr>
          <w:rFonts w:ascii="Verdana" w:hAnsi="Verdana"/>
          <w:sz w:val="22"/>
          <w:szCs w:val="22"/>
        </w:rPr>
        <w:t>dispone</w:t>
      </w:r>
      <w:r>
        <w:rPr>
          <w:rFonts w:ascii="Verdana" w:hAnsi="Verdana"/>
          <w:sz w:val="22"/>
          <w:szCs w:val="22"/>
        </w:rPr>
        <w:t xml:space="preserve"> rechazar el Recurso de Revocatoria, así como la nulidad presentada por Falta de Legitimación, por no encontrarse inscrita ante el Regis</w:t>
      </w:r>
      <w:r w:rsidR="00D405B0">
        <w:rPr>
          <w:rFonts w:ascii="Verdana" w:hAnsi="Verdana"/>
          <w:sz w:val="22"/>
          <w:szCs w:val="22"/>
        </w:rPr>
        <w:t>t</w:t>
      </w:r>
      <w:r>
        <w:rPr>
          <w:rFonts w:ascii="Verdana" w:hAnsi="Verdana"/>
          <w:sz w:val="22"/>
          <w:szCs w:val="22"/>
        </w:rPr>
        <w:t>ro Públic</w:t>
      </w:r>
      <w:r w:rsidR="0018277B">
        <w:rPr>
          <w:rFonts w:ascii="Verdana" w:hAnsi="Verdana"/>
          <w:sz w:val="22"/>
          <w:szCs w:val="22"/>
        </w:rPr>
        <w:t>o</w:t>
      </w:r>
      <w:r>
        <w:rPr>
          <w:rFonts w:ascii="Verdana" w:hAnsi="Verdana"/>
          <w:sz w:val="22"/>
          <w:szCs w:val="22"/>
        </w:rPr>
        <w:t xml:space="preserve"> la Junta Directiva</w:t>
      </w:r>
      <w:r w:rsidR="00D405B0">
        <w:rPr>
          <w:rFonts w:ascii="Verdana" w:hAnsi="Verdana"/>
          <w:sz w:val="22"/>
          <w:szCs w:val="22"/>
        </w:rPr>
        <w:t xml:space="preserve"> de la empresa B</w:t>
      </w:r>
      <w:r w:rsidR="005D4B0A">
        <w:rPr>
          <w:rFonts w:ascii="Verdana" w:hAnsi="Verdana"/>
          <w:sz w:val="22"/>
          <w:szCs w:val="22"/>
        </w:rPr>
        <w:t>.H.</w:t>
      </w:r>
      <w:r w:rsidR="00D405B0">
        <w:rPr>
          <w:rFonts w:ascii="Verdana" w:hAnsi="Verdana"/>
          <w:sz w:val="22"/>
          <w:szCs w:val="22"/>
        </w:rPr>
        <w:t xml:space="preserve">S.A., la que fue elegida según </w:t>
      </w:r>
      <w:proofErr w:type="gramStart"/>
      <w:r w:rsidR="00D405B0">
        <w:rPr>
          <w:rFonts w:ascii="Verdana" w:hAnsi="Verdana"/>
          <w:sz w:val="22"/>
          <w:szCs w:val="22"/>
        </w:rPr>
        <w:t>los recurrente</w:t>
      </w:r>
      <w:proofErr w:type="gramEnd"/>
      <w:r w:rsidR="00D405B0">
        <w:rPr>
          <w:rFonts w:ascii="Verdana" w:hAnsi="Verdana"/>
          <w:sz w:val="22"/>
          <w:szCs w:val="22"/>
        </w:rPr>
        <w:t xml:space="preserve"> en el año 2019.</w:t>
      </w:r>
    </w:p>
    <w:p w14:paraId="69FBA501" w14:textId="77777777" w:rsidR="00EE5A08" w:rsidRPr="00C60184" w:rsidRDefault="00EE5A08" w:rsidP="00971B9B">
      <w:pPr>
        <w:jc w:val="both"/>
        <w:rPr>
          <w:rFonts w:ascii="Verdana" w:hAnsi="Verdana"/>
          <w:b/>
          <w:sz w:val="22"/>
          <w:szCs w:val="22"/>
        </w:rPr>
      </w:pPr>
    </w:p>
    <w:p w14:paraId="3B1925FF" w14:textId="5F22DD18" w:rsidR="00D405B0" w:rsidRPr="00AF03CF" w:rsidRDefault="00D405B0" w:rsidP="00D405B0">
      <w:pPr>
        <w:jc w:val="both"/>
        <w:rPr>
          <w:rFonts w:ascii="Verdana" w:hAnsi="Verdana"/>
          <w:bCs/>
          <w:sz w:val="22"/>
          <w:szCs w:val="22"/>
        </w:rPr>
      </w:pPr>
      <w:r>
        <w:rPr>
          <w:rFonts w:ascii="Verdana" w:hAnsi="Verdana"/>
          <w:b/>
          <w:sz w:val="22"/>
          <w:szCs w:val="22"/>
        </w:rPr>
        <w:t xml:space="preserve">El 9 de julio de 2020 </w:t>
      </w:r>
      <w:r w:rsidRPr="00AF03CF">
        <w:rPr>
          <w:rFonts w:ascii="Verdana" w:hAnsi="Verdana"/>
          <w:bCs/>
          <w:sz w:val="22"/>
          <w:szCs w:val="22"/>
        </w:rPr>
        <w:t>los recur</w:t>
      </w:r>
      <w:r>
        <w:rPr>
          <w:rFonts w:ascii="Verdana" w:hAnsi="Verdana"/>
          <w:bCs/>
          <w:sz w:val="22"/>
          <w:szCs w:val="22"/>
        </w:rPr>
        <w:t>r</w:t>
      </w:r>
      <w:r w:rsidRPr="00AF03CF">
        <w:rPr>
          <w:rFonts w:ascii="Verdana" w:hAnsi="Verdana"/>
          <w:bCs/>
          <w:sz w:val="22"/>
          <w:szCs w:val="22"/>
        </w:rPr>
        <w:t xml:space="preserve">entes dan </w:t>
      </w:r>
      <w:r>
        <w:rPr>
          <w:rFonts w:ascii="Verdana" w:hAnsi="Verdana"/>
          <w:bCs/>
          <w:sz w:val="22"/>
          <w:szCs w:val="22"/>
        </w:rPr>
        <w:t>respuesta a la prevención emitida por el CTP e indican que el 2 de diciembre de 2019 se celebró la Asamblea de Socios la que qued</w:t>
      </w:r>
      <w:r w:rsidR="0018277B">
        <w:rPr>
          <w:rFonts w:ascii="Verdana" w:hAnsi="Verdana"/>
          <w:bCs/>
          <w:sz w:val="22"/>
          <w:szCs w:val="22"/>
        </w:rPr>
        <w:t>ó</w:t>
      </w:r>
      <w:r>
        <w:rPr>
          <w:rFonts w:ascii="Verdana" w:hAnsi="Verdana"/>
          <w:bCs/>
          <w:sz w:val="22"/>
          <w:szCs w:val="22"/>
        </w:rPr>
        <w:t xml:space="preserve"> en firme el cambio de la Junta Directiva y por voluntad de los socios los Recurrentes J</w:t>
      </w:r>
      <w:r w:rsidR="005D4B0A">
        <w:rPr>
          <w:rFonts w:ascii="Verdana" w:hAnsi="Verdana"/>
          <w:bCs/>
          <w:sz w:val="22"/>
          <w:szCs w:val="22"/>
        </w:rPr>
        <w:t>.D.V.A.</w:t>
      </w:r>
      <w:r>
        <w:rPr>
          <w:rFonts w:ascii="Verdana" w:hAnsi="Verdana"/>
          <w:bCs/>
          <w:sz w:val="22"/>
          <w:szCs w:val="22"/>
        </w:rPr>
        <w:t>, C</w:t>
      </w:r>
      <w:r w:rsidR="005D4B0A">
        <w:rPr>
          <w:rFonts w:ascii="Verdana" w:hAnsi="Verdana"/>
          <w:bCs/>
          <w:sz w:val="22"/>
          <w:szCs w:val="22"/>
        </w:rPr>
        <w:t>.L.C.</w:t>
      </w:r>
      <w:r>
        <w:rPr>
          <w:rFonts w:ascii="Verdana" w:hAnsi="Verdana"/>
          <w:bCs/>
          <w:sz w:val="22"/>
          <w:szCs w:val="22"/>
        </w:rPr>
        <w:t xml:space="preserve"> y Z</w:t>
      </w:r>
      <w:r w:rsidR="005D4B0A">
        <w:rPr>
          <w:rFonts w:ascii="Verdana" w:hAnsi="Verdana"/>
          <w:bCs/>
          <w:sz w:val="22"/>
          <w:szCs w:val="22"/>
        </w:rPr>
        <w:t>.G.S.</w:t>
      </w:r>
      <w:r>
        <w:rPr>
          <w:rFonts w:ascii="Verdana" w:hAnsi="Verdana"/>
          <w:bCs/>
          <w:sz w:val="22"/>
          <w:szCs w:val="22"/>
        </w:rPr>
        <w:t>, fueron electos como presidente</w:t>
      </w:r>
      <w:r w:rsidR="00762CB7">
        <w:rPr>
          <w:rFonts w:ascii="Verdana" w:hAnsi="Verdana"/>
          <w:bCs/>
          <w:sz w:val="22"/>
          <w:szCs w:val="22"/>
        </w:rPr>
        <w:t>,</w:t>
      </w:r>
      <w:r>
        <w:rPr>
          <w:rFonts w:ascii="Verdana" w:hAnsi="Verdana"/>
          <w:bCs/>
          <w:sz w:val="22"/>
          <w:szCs w:val="22"/>
        </w:rPr>
        <w:t xml:space="preserve"> secretario y tesorera respectivamente, que no se ha inscrito ante el Registro Público por varios defectos pero que se encuentra en trámite. Que de conformidad con el numeral 152 del Código de Comercio la voluntad de la Asamblea es suficiente para la validez del nombramiento sin importar que no se haya publicado.</w:t>
      </w:r>
    </w:p>
    <w:p w14:paraId="73B088A9" w14:textId="5D4D6F65" w:rsidR="00B524FC" w:rsidRDefault="00B524FC" w:rsidP="00971B9B">
      <w:pPr>
        <w:jc w:val="both"/>
        <w:rPr>
          <w:rFonts w:ascii="Verdana" w:hAnsi="Verdana"/>
          <w:sz w:val="22"/>
          <w:szCs w:val="22"/>
        </w:rPr>
      </w:pPr>
    </w:p>
    <w:p w14:paraId="7EB752D3" w14:textId="0886C961" w:rsidR="00D405B0" w:rsidRDefault="00D77D96" w:rsidP="00971B9B">
      <w:pPr>
        <w:jc w:val="both"/>
        <w:rPr>
          <w:rFonts w:ascii="Verdana" w:hAnsi="Verdana"/>
          <w:sz w:val="22"/>
          <w:szCs w:val="22"/>
        </w:rPr>
      </w:pPr>
      <w:r>
        <w:rPr>
          <w:rFonts w:ascii="Verdana" w:hAnsi="Verdana"/>
          <w:sz w:val="22"/>
          <w:szCs w:val="22"/>
        </w:rPr>
        <w:t>No concuerda este Tribunal con lo indicado por los Recurrente</w:t>
      </w:r>
      <w:r w:rsidR="00762CB7">
        <w:rPr>
          <w:rFonts w:ascii="Verdana" w:hAnsi="Verdana"/>
          <w:sz w:val="22"/>
          <w:szCs w:val="22"/>
        </w:rPr>
        <w:t>s</w:t>
      </w:r>
      <w:r>
        <w:rPr>
          <w:rFonts w:ascii="Verdana" w:hAnsi="Verdana"/>
          <w:sz w:val="22"/>
          <w:szCs w:val="22"/>
        </w:rPr>
        <w:t>, y considera que efectivamente hasta tanto no se inscriba debidamente ante el Registro Público la Junta Directiva, los mismos carecen de Legitimación para actuar en el presente asunto.</w:t>
      </w:r>
    </w:p>
    <w:p w14:paraId="402B33D1" w14:textId="546FBAEE" w:rsidR="00D77D96" w:rsidRDefault="00D77D96" w:rsidP="00971B9B">
      <w:pPr>
        <w:jc w:val="both"/>
        <w:rPr>
          <w:rFonts w:ascii="Verdana" w:hAnsi="Verdana"/>
          <w:sz w:val="22"/>
          <w:szCs w:val="22"/>
        </w:rPr>
      </w:pPr>
    </w:p>
    <w:p w14:paraId="5D632CC7" w14:textId="6AD2FA58" w:rsidR="00D77D96" w:rsidRDefault="00D77D96" w:rsidP="00971B9B">
      <w:pPr>
        <w:jc w:val="both"/>
        <w:rPr>
          <w:rFonts w:ascii="Verdana" w:hAnsi="Verdana"/>
          <w:sz w:val="22"/>
          <w:szCs w:val="22"/>
        </w:rPr>
      </w:pPr>
      <w:r>
        <w:rPr>
          <w:rFonts w:ascii="Verdana" w:hAnsi="Verdana"/>
          <w:sz w:val="22"/>
          <w:szCs w:val="22"/>
        </w:rPr>
        <w:t>Esto es así pues nuestro ordenamiento no solo tutela que ciertos actos jurídicos deban darse dentro de determina</w:t>
      </w:r>
      <w:r w:rsidR="0018277B">
        <w:rPr>
          <w:rFonts w:ascii="Verdana" w:hAnsi="Verdana"/>
          <w:sz w:val="22"/>
          <w:szCs w:val="22"/>
        </w:rPr>
        <w:t>das</w:t>
      </w:r>
      <w:r>
        <w:rPr>
          <w:rFonts w:ascii="Verdana" w:hAnsi="Verdana"/>
          <w:sz w:val="22"/>
          <w:szCs w:val="22"/>
        </w:rPr>
        <w:t xml:space="preserve"> formalidades, escritura Pública u otros, sino </w:t>
      </w:r>
      <w:proofErr w:type="gramStart"/>
      <w:r>
        <w:rPr>
          <w:rFonts w:ascii="Verdana" w:hAnsi="Verdana"/>
          <w:sz w:val="22"/>
          <w:szCs w:val="22"/>
        </w:rPr>
        <w:t>que</w:t>
      </w:r>
      <w:proofErr w:type="gramEnd"/>
      <w:r>
        <w:rPr>
          <w:rFonts w:ascii="Verdana" w:hAnsi="Verdana"/>
          <w:sz w:val="22"/>
          <w:szCs w:val="22"/>
        </w:rPr>
        <w:t xml:space="preserve"> además, para que aquel adquiera validez</w:t>
      </w:r>
      <w:r w:rsidR="00762CB7">
        <w:rPr>
          <w:rFonts w:ascii="Verdana" w:hAnsi="Verdana"/>
          <w:sz w:val="22"/>
          <w:szCs w:val="22"/>
        </w:rPr>
        <w:t xml:space="preserve"> y </w:t>
      </w:r>
      <w:r w:rsidR="0018277B">
        <w:rPr>
          <w:rFonts w:ascii="Verdana" w:hAnsi="Verdana"/>
          <w:sz w:val="22"/>
          <w:szCs w:val="22"/>
        </w:rPr>
        <w:t>eficacia</w:t>
      </w:r>
      <w:r>
        <w:rPr>
          <w:rFonts w:ascii="Verdana" w:hAnsi="Verdana"/>
          <w:sz w:val="22"/>
          <w:szCs w:val="22"/>
        </w:rPr>
        <w:t xml:space="preserve">, debe inscribirse debidamente.   De </w:t>
      </w:r>
      <w:proofErr w:type="gramStart"/>
      <w:r>
        <w:rPr>
          <w:rFonts w:ascii="Verdana" w:hAnsi="Verdana"/>
          <w:sz w:val="22"/>
          <w:szCs w:val="22"/>
        </w:rPr>
        <w:t>hecho</w:t>
      </w:r>
      <w:proofErr w:type="gramEnd"/>
      <w:r>
        <w:rPr>
          <w:rFonts w:ascii="Verdana" w:hAnsi="Verdana"/>
          <w:sz w:val="22"/>
          <w:szCs w:val="22"/>
        </w:rPr>
        <w:t xml:space="preserve"> el mismo numeral 186 del Código de Comercio, prevé que cuando se </w:t>
      </w:r>
      <w:r w:rsidR="00216590">
        <w:rPr>
          <w:rFonts w:ascii="Verdana" w:hAnsi="Verdana"/>
          <w:sz w:val="22"/>
          <w:szCs w:val="22"/>
        </w:rPr>
        <w:t>dé</w:t>
      </w:r>
      <w:r>
        <w:rPr>
          <w:rFonts w:ascii="Verdana" w:hAnsi="Verdana"/>
          <w:sz w:val="22"/>
          <w:szCs w:val="22"/>
        </w:rPr>
        <w:t xml:space="preserve"> una nueva junta directiva y ésta no haya podido inscribirse, continuara ejerciendo sus funciones el anterior presidente de Junta aunque su nombramiento haya vencido.</w:t>
      </w:r>
    </w:p>
    <w:p w14:paraId="4E3F7AAB" w14:textId="7451CF2E" w:rsidR="00D77D96" w:rsidRDefault="00D77D96" w:rsidP="00971B9B">
      <w:pPr>
        <w:jc w:val="both"/>
        <w:rPr>
          <w:rFonts w:ascii="Verdana" w:hAnsi="Verdana"/>
          <w:sz w:val="22"/>
          <w:szCs w:val="22"/>
        </w:rPr>
      </w:pPr>
    </w:p>
    <w:p w14:paraId="0186087B" w14:textId="057FA0B6" w:rsidR="00D77D96" w:rsidRDefault="00D77D96" w:rsidP="00971B9B">
      <w:pPr>
        <w:jc w:val="both"/>
        <w:rPr>
          <w:rFonts w:ascii="Verdana" w:hAnsi="Verdana"/>
          <w:sz w:val="22"/>
          <w:szCs w:val="22"/>
        </w:rPr>
      </w:pPr>
      <w:r>
        <w:rPr>
          <w:rFonts w:ascii="Verdana" w:hAnsi="Verdana"/>
          <w:sz w:val="22"/>
          <w:szCs w:val="22"/>
        </w:rPr>
        <w:t xml:space="preserve">Lo anterior es así precisamente por la importancia que nuestro ordenamiento otorga </w:t>
      </w:r>
      <w:r w:rsidR="00216590">
        <w:rPr>
          <w:rFonts w:ascii="Verdana" w:hAnsi="Verdana"/>
          <w:sz w:val="22"/>
          <w:szCs w:val="22"/>
        </w:rPr>
        <w:t>al</w:t>
      </w:r>
      <w:r>
        <w:rPr>
          <w:rFonts w:ascii="Verdana" w:hAnsi="Verdana"/>
          <w:sz w:val="22"/>
          <w:szCs w:val="22"/>
        </w:rPr>
        <w:t xml:space="preserve"> acto de inscripción ante el Registro, en resguardo de los principios de Transparencia y Publicidad, por la seguridad jurídica que debe prevalecer ante terceros.</w:t>
      </w:r>
    </w:p>
    <w:p w14:paraId="14BA63AB" w14:textId="4D8E414E" w:rsidR="00D77D96" w:rsidRDefault="00D77D96" w:rsidP="00971B9B">
      <w:pPr>
        <w:jc w:val="both"/>
        <w:rPr>
          <w:rFonts w:ascii="Verdana" w:hAnsi="Verdana"/>
          <w:sz w:val="22"/>
          <w:szCs w:val="22"/>
        </w:rPr>
      </w:pPr>
    </w:p>
    <w:p w14:paraId="656C314A" w14:textId="3DA70566" w:rsidR="00D77D96" w:rsidRDefault="00D77D96" w:rsidP="00971B9B">
      <w:pPr>
        <w:jc w:val="both"/>
        <w:rPr>
          <w:rFonts w:ascii="Verdana" w:hAnsi="Verdana"/>
          <w:sz w:val="22"/>
          <w:szCs w:val="22"/>
        </w:rPr>
      </w:pPr>
      <w:r>
        <w:rPr>
          <w:rFonts w:ascii="Verdana" w:hAnsi="Verdana"/>
          <w:sz w:val="22"/>
          <w:szCs w:val="22"/>
        </w:rPr>
        <w:t>Por lo tanto</w:t>
      </w:r>
      <w:r w:rsidR="00216590">
        <w:rPr>
          <w:rFonts w:ascii="Verdana" w:hAnsi="Verdana"/>
          <w:sz w:val="22"/>
          <w:szCs w:val="22"/>
        </w:rPr>
        <w:t>,</w:t>
      </w:r>
      <w:r>
        <w:rPr>
          <w:rFonts w:ascii="Verdana" w:hAnsi="Verdana"/>
          <w:sz w:val="22"/>
          <w:szCs w:val="22"/>
        </w:rPr>
        <w:t xml:space="preserve"> contrario a lo que indican los </w:t>
      </w:r>
      <w:r w:rsidR="00216590">
        <w:rPr>
          <w:rFonts w:ascii="Verdana" w:hAnsi="Verdana"/>
          <w:sz w:val="22"/>
          <w:szCs w:val="22"/>
        </w:rPr>
        <w:t>recurrentes,</w:t>
      </w:r>
      <w:r>
        <w:rPr>
          <w:rFonts w:ascii="Verdana" w:hAnsi="Verdana"/>
          <w:sz w:val="22"/>
          <w:szCs w:val="22"/>
        </w:rPr>
        <w:t xml:space="preserve"> aunque hayan sido electos como nueva junta directiva</w:t>
      </w:r>
      <w:r w:rsidR="00216590">
        <w:rPr>
          <w:rFonts w:ascii="Verdana" w:hAnsi="Verdana"/>
          <w:sz w:val="22"/>
          <w:szCs w:val="22"/>
        </w:rPr>
        <w:t>,</w:t>
      </w:r>
      <w:r>
        <w:rPr>
          <w:rFonts w:ascii="Verdana" w:hAnsi="Verdana"/>
          <w:sz w:val="22"/>
          <w:szCs w:val="22"/>
        </w:rPr>
        <w:t xml:space="preserve"> para este Tribunal mientras no haya</w:t>
      </w:r>
      <w:r w:rsidR="00762CB7">
        <w:rPr>
          <w:rFonts w:ascii="Verdana" w:hAnsi="Verdana"/>
          <w:sz w:val="22"/>
          <w:szCs w:val="22"/>
        </w:rPr>
        <w:t>n</w:t>
      </w:r>
      <w:r>
        <w:rPr>
          <w:rFonts w:ascii="Verdana" w:hAnsi="Verdana"/>
          <w:sz w:val="22"/>
          <w:szCs w:val="22"/>
        </w:rPr>
        <w:t xml:space="preserve"> sido inscrito</w:t>
      </w:r>
      <w:r w:rsidR="00762CB7">
        <w:rPr>
          <w:rFonts w:ascii="Verdana" w:hAnsi="Verdana"/>
          <w:sz w:val="22"/>
          <w:szCs w:val="22"/>
        </w:rPr>
        <w:t>s</w:t>
      </w:r>
      <w:r>
        <w:rPr>
          <w:rFonts w:ascii="Verdana" w:hAnsi="Verdana"/>
          <w:sz w:val="22"/>
          <w:szCs w:val="22"/>
        </w:rPr>
        <w:t xml:space="preserve"> </w:t>
      </w:r>
      <w:r>
        <w:rPr>
          <w:rFonts w:ascii="Verdana" w:hAnsi="Verdana"/>
          <w:sz w:val="22"/>
          <w:szCs w:val="22"/>
        </w:rPr>
        <w:lastRenderedPageBreak/>
        <w:t>dichos nombramientos en el Registro</w:t>
      </w:r>
      <w:r w:rsidR="00216590">
        <w:rPr>
          <w:rFonts w:ascii="Verdana" w:hAnsi="Verdana"/>
          <w:sz w:val="22"/>
          <w:szCs w:val="22"/>
        </w:rPr>
        <w:t xml:space="preserve"> Público,</w:t>
      </w:r>
      <w:r>
        <w:rPr>
          <w:rFonts w:ascii="Verdana" w:hAnsi="Verdana"/>
          <w:sz w:val="22"/>
          <w:szCs w:val="22"/>
        </w:rPr>
        <w:t xml:space="preserve"> carecen de Legitimación para actuar en nombre de la empresa que indican representar.</w:t>
      </w:r>
    </w:p>
    <w:p w14:paraId="46004FC4" w14:textId="1500DBDC" w:rsidR="00D77D96" w:rsidRDefault="00D77D96" w:rsidP="00971B9B">
      <w:pPr>
        <w:jc w:val="both"/>
        <w:rPr>
          <w:rFonts w:ascii="Verdana" w:hAnsi="Verdana"/>
          <w:sz w:val="22"/>
          <w:szCs w:val="22"/>
        </w:rPr>
      </w:pPr>
    </w:p>
    <w:p w14:paraId="499DA821" w14:textId="134D299C" w:rsidR="00D77D96" w:rsidRPr="002F12E7" w:rsidRDefault="00D77D96" w:rsidP="00D77D96">
      <w:pPr>
        <w:spacing w:after="160" w:line="259" w:lineRule="auto"/>
        <w:jc w:val="both"/>
        <w:rPr>
          <w:rFonts w:ascii="Verdana" w:hAnsi="Verdana"/>
          <w:color w:val="000000"/>
          <w:sz w:val="22"/>
          <w:szCs w:val="22"/>
          <w:lang w:val="es-MX" w:eastAsia="es-CR"/>
        </w:rPr>
      </w:pPr>
      <w:r w:rsidRPr="002F12E7">
        <w:rPr>
          <w:rFonts w:ascii="Verdana" w:hAnsi="Verdana"/>
          <w:color w:val="000000"/>
          <w:sz w:val="22"/>
          <w:szCs w:val="22"/>
          <w:lang w:val="es-MX" w:eastAsia="es-CR"/>
        </w:rPr>
        <w:t xml:space="preserve">A </w:t>
      </w:r>
      <w:r w:rsidR="00762CB7">
        <w:rPr>
          <w:rFonts w:ascii="Verdana" w:hAnsi="Verdana"/>
          <w:color w:val="000000"/>
          <w:sz w:val="22"/>
          <w:szCs w:val="22"/>
          <w:lang w:val="es-MX" w:eastAsia="es-CR"/>
        </w:rPr>
        <w:t>m</w:t>
      </w:r>
      <w:r w:rsidRPr="002F12E7">
        <w:rPr>
          <w:rFonts w:ascii="Verdana" w:hAnsi="Verdana"/>
          <w:color w:val="000000"/>
          <w:sz w:val="22"/>
          <w:szCs w:val="22"/>
          <w:lang w:val="es-MX" w:eastAsia="es-CR"/>
        </w:rPr>
        <w:t xml:space="preserve">ayor abundancia véase lo dicho por la Procuraduría General de la República en su dictamen </w:t>
      </w:r>
      <w:bookmarkStart w:id="2" w:name="up"/>
      <w:bookmarkEnd w:id="2"/>
      <w:r w:rsidRPr="002F12E7">
        <w:rPr>
          <w:rFonts w:ascii="Verdana" w:hAnsi="Verdana" w:cs="Arial"/>
          <w:b/>
          <w:bCs/>
          <w:color w:val="000000"/>
          <w:sz w:val="22"/>
          <w:szCs w:val="22"/>
          <w:lang w:val="es-MX" w:eastAsia="es-CR"/>
        </w:rPr>
        <w:t>C-050-2008 del 19 de febrero de 2008.</w:t>
      </w:r>
    </w:p>
    <w:p w14:paraId="4047C405" w14:textId="77777777" w:rsidR="00D77D96" w:rsidRPr="002F12E7" w:rsidRDefault="00D77D96" w:rsidP="00D77D96">
      <w:pPr>
        <w:ind w:firstLine="709"/>
        <w:jc w:val="both"/>
        <w:rPr>
          <w:rFonts w:ascii="Verdana" w:hAnsi="Verdana"/>
          <w:color w:val="000000"/>
          <w:sz w:val="22"/>
          <w:szCs w:val="22"/>
          <w:lang w:val="es-MX" w:eastAsia="es-CR"/>
        </w:rPr>
      </w:pPr>
    </w:p>
    <w:p w14:paraId="1C37B8FA" w14:textId="77777777" w:rsidR="00D77D96" w:rsidRPr="002F12E7" w:rsidRDefault="00D77D96" w:rsidP="00D77D96">
      <w:pPr>
        <w:ind w:left="340" w:right="340" w:firstLine="709"/>
        <w:jc w:val="both"/>
        <w:rPr>
          <w:rFonts w:ascii="Verdana" w:hAnsi="Verdana"/>
          <w:i/>
          <w:iCs/>
          <w:color w:val="000000"/>
          <w:sz w:val="20"/>
          <w:szCs w:val="20"/>
          <w:lang w:eastAsia="es-CR"/>
        </w:rPr>
      </w:pPr>
      <w:r>
        <w:rPr>
          <w:rFonts w:ascii="Verdana" w:hAnsi="Verdana"/>
          <w:i/>
          <w:iCs/>
          <w:color w:val="000000"/>
          <w:sz w:val="20"/>
          <w:szCs w:val="20"/>
          <w:lang w:val="es-MX" w:eastAsia="es-CR"/>
        </w:rPr>
        <w:t>“(</w:t>
      </w:r>
      <w:proofErr w:type="gramStart"/>
      <w:r>
        <w:rPr>
          <w:rFonts w:ascii="Verdana" w:hAnsi="Verdana"/>
          <w:i/>
          <w:iCs/>
          <w:color w:val="000000"/>
          <w:sz w:val="20"/>
          <w:szCs w:val="20"/>
          <w:lang w:val="es-MX" w:eastAsia="es-CR"/>
        </w:rPr>
        <w:t>…)</w:t>
      </w:r>
      <w:r w:rsidRPr="002F12E7">
        <w:rPr>
          <w:rFonts w:ascii="Verdana" w:hAnsi="Verdana"/>
          <w:i/>
          <w:iCs/>
          <w:color w:val="000000"/>
          <w:sz w:val="20"/>
          <w:szCs w:val="20"/>
          <w:lang w:val="es-MX" w:eastAsia="es-CR"/>
        </w:rPr>
        <w:t>Ahora</w:t>
      </w:r>
      <w:proofErr w:type="gramEnd"/>
      <w:r w:rsidRPr="002F12E7">
        <w:rPr>
          <w:rFonts w:ascii="Verdana" w:hAnsi="Verdana"/>
          <w:i/>
          <w:iCs/>
          <w:color w:val="000000"/>
          <w:sz w:val="20"/>
          <w:szCs w:val="20"/>
          <w:lang w:val="es-MX" w:eastAsia="es-CR"/>
        </w:rPr>
        <w:t xml:space="preserve"> bien, una vez definido el alcance del poder representativo que ostentan los miembros de la Junta Directiva, y dado que su nombramiento es por un plazo fijo, es importante que previo al vencimiento del mismo, la Asamblea de Accionistas proceda a realizar una nueva designación.  Ello para efectos de no perjudicar el funcionamiento normal de la empresa. </w:t>
      </w:r>
    </w:p>
    <w:p w14:paraId="20C01B66" w14:textId="77777777" w:rsidR="00D77D96" w:rsidRPr="002F12E7" w:rsidRDefault="00D77D96" w:rsidP="00D77D96">
      <w:pPr>
        <w:ind w:left="340" w:right="340" w:firstLine="708"/>
        <w:jc w:val="both"/>
        <w:rPr>
          <w:rFonts w:ascii="Verdana" w:hAnsi="Verdana"/>
          <w:i/>
          <w:iCs/>
          <w:color w:val="000000"/>
          <w:sz w:val="20"/>
          <w:szCs w:val="20"/>
          <w:lang w:eastAsia="es-CR"/>
        </w:rPr>
      </w:pPr>
      <w:r w:rsidRPr="002F12E7">
        <w:rPr>
          <w:rFonts w:ascii="Verdana" w:hAnsi="Verdana"/>
          <w:i/>
          <w:iCs/>
          <w:color w:val="000000"/>
          <w:sz w:val="20"/>
          <w:szCs w:val="20"/>
          <w:lang w:val="es-MX" w:eastAsia="es-CR"/>
        </w:rPr>
        <w:t xml:space="preserve">En este punto, es importante recalcar que el legislador previó la situación descrita anteriormente, por lo que estableció en el artículo 186 del Código de Comercio que “Concluido el plazo para el que hubieren sido designados, los consejeros continuarán en el desempeño de sus funciones hasta el momento en que sus sucesores puedan ejercer legalmente sus cargos”.   No obstante, los alcances y aplicación de la citada norma han sido delimitados por la Sala Primera de la Corte Suprema de Justicia.  Mediante la resolución </w:t>
      </w:r>
      <w:proofErr w:type="spellStart"/>
      <w:r w:rsidRPr="002F12E7">
        <w:rPr>
          <w:rFonts w:ascii="Verdana" w:hAnsi="Verdana"/>
          <w:i/>
          <w:iCs/>
          <w:color w:val="000000"/>
          <w:sz w:val="20"/>
          <w:szCs w:val="20"/>
          <w:lang w:val="es-MX" w:eastAsia="es-CR"/>
        </w:rPr>
        <w:t>N°</w:t>
      </w:r>
      <w:proofErr w:type="spellEnd"/>
      <w:r w:rsidRPr="002F12E7">
        <w:rPr>
          <w:rFonts w:ascii="Verdana" w:hAnsi="Verdana"/>
          <w:i/>
          <w:iCs/>
          <w:color w:val="000000"/>
          <w:spacing w:val="3"/>
          <w:sz w:val="20"/>
          <w:szCs w:val="20"/>
          <w:lang w:val="es-ES_tradnl" w:eastAsia="es-CR"/>
        </w:rPr>
        <w:t>000020-F-2000</w:t>
      </w:r>
      <w:r w:rsidRPr="002F12E7">
        <w:rPr>
          <w:rFonts w:ascii="Verdana" w:hAnsi="Verdana"/>
          <w:b/>
          <w:bCs/>
          <w:i/>
          <w:iCs/>
          <w:color w:val="000000"/>
          <w:spacing w:val="3"/>
          <w:sz w:val="20"/>
          <w:szCs w:val="20"/>
          <w:lang w:val="es-ES_tradnl" w:eastAsia="es-CR"/>
        </w:rPr>
        <w:t> </w:t>
      </w:r>
      <w:r w:rsidRPr="002F12E7">
        <w:rPr>
          <w:rFonts w:ascii="Verdana" w:hAnsi="Verdana"/>
          <w:i/>
          <w:iCs/>
          <w:color w:val="000000"/>
          <w:sz w:val="20"/>
          <w:szCs w:val="20"/>
          <w:lang w:val="es-ES" w:eastAsia="es-CR"/>
        </w:rPr>
        <w:t>de</w:t>
      </w:r>
      <w:r w:rsidRPr="002F12E7">
        <w:rPr>
          <w:rFonts w:ascii="Verdana" w:hAnsi="Verdana"/>
          <w:i/>
          <w:iCs/>
          <w:color w:val="000000"/>
          <w:spacing w:val="3"/>
          <w:sz w:val="20"/>
          <w:szCs w:val="20"/>
          <w:lang w:val="es-ES_tradnl" w:eastAsia="es-CR"/>
        </w:rPr>
        <w:t> las quince horas treinta y cinco minutos del doce de enero del dos mil</w:t>
      </w:r>
      <w:r w:rsidRPr="002F12E7">
        <w:rPr>
          <w:rFonts w:ascii="Verdana" w:hAnsi="Verdana"/>
          <w:i/>
          <w:iCs/>
          <w:color w:val="000000"/>
          <w:sz w:val="20"/>
          <w:szCs w:val="20"/>
          <w:lang w:val="es-MX" w:eastAsia="es-CR"/>
        </w:rPr>
        <w:t xml:space="preserve">, dicho Tribunal consideró que la norma en mención debe interpretarse al tenor de lo dispuesto en el artículo 1251 del Código Civil, </w:t>
      </w:r>
      <w:r w:rsidRPr="002F12E7">
        <w:rPr>
          <w:rFonts w:ascii="Verdana" w:hAnsi="Verdana"/>
          <w:b/>
          <w:bCs/>
          <w:i/>
          <w:iCs/>
          <w:color w:val="000000"/>
          <w:sz w:val="20"/>
          <w:szCs w:val="20"/>
          <w:u w:val="single"/>
          <w:lang w:val="es-MX" w:eastAsia="es-CR"/>
        </w:rPr>
        <w:t>de manera que la ampliación del consejero en su cargo, procede únicamente cuando en el Registro Público se encuentre pendiente de inscripción el nuevo nombramiento, sea la sustitución del mandato</w:t>
      </w:r>
      <w:r w:rsidRPr="002F12E7">
        <w:rPr>
          <w:rFonts w:ascii="Verdana" w:hAnsi="Verdana"/>
          <w:i/>
          <w:iCs/>
          <w:color w:val="000000"/>
          <w:sz w:val="20"/>
          <w:szCs w:val="20"/>
          <w:lang w:val="es-MX" w:eastAsia="es-CR"/>
        </w:rPr>
        <w:t>.   En lo conducente, apuntó la mencionada sentencia:</w:t>
      </w:r>
    </w:p>
    <w:p w14:paraId="04E7E3F6" w14:textId="77777777" w:rsidR="00D77D96" w:rsidRPr="002F12E7" w:rsidRDefault="00D77D96" w:rsidP="00D77D96">
      <w:pPr>
        <w:ind w:left="340" w:right="340"/>
        <w:rPr>
          <w:rFonts w:ascii="Verdana" w:hAnsi="Verdana"/>
          <w:i/>
          <w:iCs/>
          <w:sz w:val="20"/>
          <w:szCs w:val="20"/>
          <w:lang w:eastAsia="es-CR"/>
        </w:rPr>
      </w:pPr>
      <w:r w:rsidRPr="002F12E7">
        <w:rPr>
          <w:rFonts w:ascii="Verdana" w:hAnsi="Verdana" w:cs="Arial"/>
          <w:i/>
          <w:iCs/>
          <w:color w:val="000000"/>
          <w:sz w:val="20"/>
          <w:szCs w:val="20"/>
          <w:lang w:eastAsia="es-CR"/>
        </w:rPr>
        <w:br/>
      </w:r>
    </w:p>
    <w:p w14:paraId="4F2107EB" w14:textId="77777777" w:rsidR="00D77D96" w:rsidRPr="002F12E7" w:rsidRDefault="00D77D96" w:rsidP="00D77D96">
      <w:pPr>
        <w:ind w:left="567" w:right="567"/>
        <w:jc w:val="both"/>
        <w:rPr>
          <w:rFonts w:ascii="Verdana" w:hAnsi="Verdana"/>
          <w:i/>
          <w:iCs/>
          <w:color w:val="000000"/>
          <w:sz w:val="20"/>
          <w:szCs w:val="20"/>
          <w:lang w:eastAsia="es-CR"/>
        </w:rPr>
      </w:pPr>
      <w:r w:rsidRPr="002F12E7">
        <w:rPr>
          <w:rFonts w:ascii="Verdana" w:hAnsi="Verdana"/>
          <w:i/>
          <w:iCs/>
          <w:color w:val="000000"/>
          <w:spacing w:val="3"/>
          <w:sz w:val="20"/>
          <w:szCs w:val="20"/>
          <w:lang w:val="es-ES_tradnl" w:eastAsia="es-CR"/>
        </w:rPr>
        <w:t> “</w:t>
      </w:r>
      <w:proofErr w:type="gramStart"/>
      <w:r w:rsidRPr="002F12E7">
        <w:rPr>
          <w:rFonts w:ascii="Verdana" w:hAnsi="Verdana"/>
          <w:b/>
          <w:bCs/>
          <w:i/>
          <w:iCs/>
          <w:color w:val="000000"/>
          <w:spacing w:val="3"/>
          <w:sz w:val="20"/>
          <w:szCs w:val="20"/>
          <w:u w:val="single"/>
          <w:lang w:val="es-ES_tradnl" w:eastAsia="es-CR"/>
        </w:rPr>
        <w:t>VI.-</w:t>
      </w:r>
      <w:proofErr w:type="gramEnd"/>
      <w:r w:rsidRPr="002F12E7">
        <w:rPr>
          <w:rFonts w:ascii="Verdana" w:hAnsi="Verdana"/>
          <w:b/>
          <w:bCs/>
          <w:i/>
          <w:iCs/>
          <w:color w:val="000000"/>
          <w:spacing w:val="3"/>
          <w:sz w:val="20"/>
          <w:szCs w:val="20"/>
          <w:u w:val="single"/>
          <w:lang w:val="es-ES_tradnl" w:eastAsia="es-CR"/>
        </w:rPr>
        <w:t> </w:t>
      </w:r>
      <w:r w:rsidRPr="002F12E7">
        <w:rPr>
          <w:rFonts w:ascii="Verdana" w:hAnsi="Verdana"/>
          <w:i/>
          <w:iCs/>
          <w:color w:val="000000"/>
          <w:spacing w:val="3"/>
          <w:sz w:val="20"/>
          <w:szCs w:val="20"/>
          <w:lang w:val="es-ES_tradnl" w:eastAsia="es-CR"/>
        </w:rPr>
        <w:t>Es de tener claro que el mandato es un acto que, bajo la autonomía de la voluntad, ejecuta una persona para que otra realice actos en su nombre, quedando facultada para lo que el mandato diga y dentro de los límites y requisitos que la ley señala. (…) </w:t>
      </w:r>
      <w:r w:rsidRPr="002F12E7">
        <w:rPr>
          <w:rFonts w:ascii="Verdana" w:hAnsi="Verdana"/>
          <w:b/>
          <w:bCs/>
          <w:i/>
          <w:iCs/>
          <w:color w:val="000000"/>
          <w:spacing w:val="3"/>
          <w:sz w:val="20"/>
          <w:szCs w:val="20"/>
          <w:lang w:val="es-ES_tradnl" w:eastAsia="es-CR"/>
        </w:rPr>
        <w:t>El artículo 186 del Código de Comercio especifica que, para efectos de sociedades anónimas, dicho poder, a pesar de ser revocado y sustituido, debe perdurar en el tiempo hasta el momento en que su o sus sustitutos puedan ejercer legalmente el cargo. El artículo 1251 del Código Civil hace referencia a que dicho poder, para este caso la sustitución de mandato, debe ser inscrito en el Registro Público, a fin de tener efectos para terceros. Es este último artículo el que define cuál es el requisito de legalidad al que se refiere el artículo 186 del Código de Comercio.</w:t>
      </w:r>
      <w:r w:rsidRPr="002F12E7">
        <w:rPr>
          <w:rFonts w:ascii="Verdana" w:hAnsi="Verdana"/>
          <w:i/>
          <w:iCs/>
          <w:color w:val="000000"/>
          <w:spacing w:val="3"/>
          <w:sz w:val="20"/>
          <w:szCs w:val="20"/>
          <w:lang w:val="es-ES_tradnl" w:eastAsia="es-CR"/>
        </w:rPr>
        <w:t xml:space="preserve"> Lo anterior implica que para terceros el representante es, junto con todas las atribuciones con las que se registró su poder, el que aparece inscrito en el Registro, independientemente de la o las sustituciones que se hayan dado a lo interno de la sociedad. (…)   El artículo 186 del Código de Comercio es trascendental para la protección de terceros y para no impedir el normal funcionamiento de la empresa, por cuanto, por un lado, protege a terceros en razón de seguridad jurídica, para saber con quién relacionarse dentro de la empresa y, por otro lado, no detener el funcionamiento empresarial, mientras se realiza la inscripción en el Registro que exige el Código Civil. De hecho, es práctica común a nivel de empresas, realizar las sustituciones previo a la cesación de las labores del representante dentro de la empresa, todo con el fin de que la actividad empresarial no se vea perjudicada o impedida, además, ello </w:t>
      </w:r>
      <w:r w:rsidRPr="002F12E7">
        <w:rPr>
          <w:rFonts w:ascii="Verdana" w:hAnsi="Verdana"/>
          <w:i/>
          <w:iCs/>
          <w:color w:val="000000"/>
          <w:spacing w:val="3"/>
          <w:sz w:val="20"/>
          <w:szCs w:val="20"/>
          <w:lang w:val="es-ES_tradnl" w:eastAsia="es-CR"/>
        </w:rPr>
        <w:lastRenderedPageBreak/>
        <w:t>permite que a la sociedad le puedan notificar demandas.”  (El resaltado no es del original).</w:t>
      </w:r>
    </w:p>
    <w:p w14:paraId="41399B03" w14:textId="77777777" w:rsidR="00D77D96" w:rsidRPr="002F12E7" w:rsidRDefault="00D77D96" w:rsidP="00D77D96">
      <w:pPr>
        <w:ind w:left="567" w:right="567"/>
        <w:rPr>
          <w:rFonts w:ascii="Verdana" w:hAnsi="Verdana"/>
          <w:i/>
          <w:iCs/>
          <w:sz w:val="20"/>
          <w:szCs w:val="20"/>
          <w:lang w:eastAsia="es-CR"/>
        </w:rPr>
      </w:pPr>
      <w:r w:rsidRPr="002F12E7">
        <w:rPr>
          <w:rFonts w:ascii="Verdana" w:hAnsi="Verdana" w:cs="Arial"/>
          <w:i/>
          <w:iCs/>
          <w:color w:val="000000"/>
          <w:sz w:val="20"/>
          <w:szCs w:val="20"/>
          <w:lang w:eastAsia="es-CR"/>
        </w:rPr>
        <w:br/>
      </w:r>
    </w:p>
    <w:p w14:paraId="59FC975B" w14:textId="77777777" w:rsidR="00D77D96" w:rsidRPr="002F12E7" w:rsidRDefault="00D77D96" w:rsidP="00D77D96">
      <w:pPr>
        <w:ind w:left="340" w:right="340" w:firstLine="709"/>
        <w:jc w:val="both"/>
        <w:rPr>
          <w:rFonts w:ascii="Verdana" w:hAnsi="Verdana"/>
          <w:i/>
          <w:iCs/>
          <w:color w:val="000000"/>
          <w:sz w:val="20"/>
          <w:szCs w:val="20"/>
          <w:lang w:eastAsia="es-CR"/>
        </w:rPr>
      </w:pPr>
      <w:r w:rsidRPr="002F12E7">
        <w:rPr>
          <w:rFonts w:ascii="Verdana" w:hAnsi="Verdana"/>
          <w:i/>
          <w:iCs/>
          <w:color w:val="000000"/>
          <w:sz w:val="20"/>
          <w:szCs w:val="20"/>
          <w:lang w:val="es-MX" w:eastAsia="es-CR"/>
        </w:rPr>
        <w:t>La resolución transcrita hace hincapié en la figura del mandato representativo.  La razón es simple, los miembros de la Junta Directiva o del Consejo de Administración, y demás administradores deben cumplir los deberes que les imponen la ley y los estatutos con la diligencia de mandatario, conforme lo dispone el artículo 189 del Código de Comercio.  Norma que en concordancia con el numeral 2 del mismo cuerpo legal, remite a las disposiciones del mandato contenidas en el Código Civil.  </w:t>
      </w:r>
    </w:p>
    <w:p w14:paraId="4A477305" w14:textId="77777777" w:rsidR="00D77D96" w:rsidRPr="002F12E7" w:rsidRDefault="00D77D96" w:rsidP="00D77D96">
      <w:pPr>
        <w:ind w:left="340" w:right="340"/>
        <w:rPr>
          <w:rFonts w:ascii="Verdana" w:hAnsi="Verdana"/>
          <w:i/>
          <w:iCs/>
          <w:sz w:val="20"/>
          <w:szCs w:val="20"/>
          <w:lang w:eastAsia="es-CR"/>
        </w:rPr>
      </w:pPr>
    </w:p>
    <w:p w14:paraId="32147569" w14:textId="77777777" w:rsidR="00D77D96" w:rsidRPr="002F12E7" w:rsidRDefault="00D77D96" w:rsidP="00D77D96">
      <w:pPr>
        <w:ind w:left="340" w:right="340" w:firstLine="709"/>
        <w:jc w:val="both"/>
        <w:rPr>
          <w:rFonts w:ascii="Verdana" w:hAnsi="Verdana"/>
          <w:i/>
          <w:iCs/>
          <w:color w:val="000000"/>
          <w:sz w:val="20"/>
          <w:szCs w:val="20"/>
          <w:lang w:eastAsia="es-CR"/>
        </w:rPr>
      </w:pPr>
      <w:r w:rsidRPr="002F12E7">
        <w:rPr>
          <w:rFonts w:ascii="Verdana" w:hAnsi="Verdana"/>
          <w:i/>
          <w:iCs/>
          <w:color w:val="000000"/>
          <w:sz w:val="20"/>
          <w:szCs w:val="20"/>
          <w:lang w:val="es-MX" w:eastAsia="es-CR"/>
        </w:rPr>
        <w:t xml:space="preserve">La aplicación supletoria de la normativa en cuestión, así como la línea interpretativa trazada por la Sala Primera de la Corte Suprema de Justicia, han propiciado que los Tribunales de Justicia designen como sociedades acéfalas </w:t>
      </w:r>
      <w:proofErr w:type="gramStart"/>
      <w:r w:rsidRPr="002F12E7">
        <w:rPr>
          <w:rFonts w:ascii="Verdana" w:hAnsi="Verdana"/>
          <w:i/>
          <w:iCs/>
          <w:color w:val="000000"/>
          <w:sz w:val="20"/>
          <w:szCs w:val="20"/>
          <w:lang w:val="es-MX" w:eastAsia="es-CR"/>
        </w:rPr>
        <w:t>a  aquellas</w:t>
      </w:r>
      <w:proofErr w:type="gramEnd"/>
      <w:r w:rsidRPr="002F12E7">
        <w:rPr>
          <w:rFonts w:ascii="Verdana" w:hAnsi="Verdana"/>
          <w:i/>
          <w:iCs/>
          <w:color w:val="000000"/>
          <w:sz w:val="20"/>
          <w:szCs w:val="20"/>
          <w:lang w:val="es-MX" w:eastAsia="es-CR"/>
        </w:rPr>
        <w:t xml:space="preserve"> que carecen de un representante legítimo para actuar.  Criterio que ha sido aplicado para el caso de una sociedad que tiene vencido el nombramiento de su representante y no existe un sucesor nombrado ni anotado en el Registro Público.  A mayor abundamiento, señala la mencionada jurisprudencia:</w:t>
      </w:r>
    </w:p>
    <w:p w14:paraId="55E91AE1" w14:textId="77777777" w:rsidR="00D77D96" w:rsidRPr="002F12E7" w:rsidRDefault="00D77D96" w:rsidP="00D77D96">
      <w:pPr>
        <w:ind w:left="340" w:right="340"/>
        <w:rPr>
          <w:rFonts w:ascii="Verdana" w:hAnsi="Verdana"/>
          <w:i/>
          <w:iCs/>
          <w:sz w:val="20"/>
          <w:szCs w:val="20"/>
          <w:lang w:eastAsia="es-CR"/>
        </w:rPr>
      </w:pPr>
      <w:r w:rsidRPr="002F12E7">
        <w:rPr>
          <w:rFonts w:ascii="Verdana" w:hAnsi="Verdana" w:cs="Arial"/>
          <w:i/>
          <w:iCs/>
          <w:color w:val="000000"/>
          <w:sz w:val="20"/>
          <w:szCs w:val="20"/>
          <w:lang w:eastAsia="es-CR"/>
        </w:rPr>
        <w:br/>
      </w:r>
    </w:p>
    <w:p w14:paraId="6AB90C7E" w14:textId="77777777" w:rsidR="00D77D96" w:rsidRPr="002F12E7" w:rsidRDefault="00D77D96" w:rsidP="00D77D96">
      <w:pPr>
        <w:ind w:left="567" w:right="567"/>
        <w:jc w:val="both"/>
        <w:rPr>
          <w:rFonts w:ascii="Verdana" w:hAnsi="Verdana"/>
          <w:color w:val="000000"/>
          <w:sz w:val="22"/>
          <w:szCs w:val="22"/>
          <w:lang w:eastAsia="es-CR"/>
        </w:rPr>
      </w:pPr>
      <w:r w:rsidRPr="002F12E7">
        <w:rPr>
          <w:rFonts w:ascii="Verdana" w:hAnsi="Verdana"/>
          <w:b/>
          <w:bCs/>
          <w:i/>
          <w:iCs/>
          <w:color w:val="000000"/>
          <w:spacing w:val="3"/>
          <w:sz w:val="20"/>
          <w:szCs w:val="20"/>
          <w:lang w:val="es-ES_tradnl" w:eastAsia="es-CR"/>
        </w:rPr>
        <w:t> </w:t>
      </w:r>
      <w:r w:rsidRPr="002F12E7">
        <w:rPr>
          <w:rFonts w:ascii="Verdana" w:hAnsi="Verdana"/>
          <w:i/>
          <w:iCs/>
          <w:color w:val="000000"/>
          <w:spacing w:val="3"/>
          <w:sz w:val="20"/>
          <w:szCs w:val="20"/>
          <w:lang w:val="es-ES_tradnl" w:eastAsia="es-CR"/>
        </w:rPr>
        <w:t>“</w:t>
      </w:r>
      <w:r w:rsidRPr="002F12E7">
        <w:rPr>
          <w:rFonts w:ascii="Verdana" w:hAnsi="Verdana"/>
          <w:b/>
          <w:bCs/>
          <w:i/>
          <w:iCs/>
          <w:color w:val="000000"/>
          <w:spacing w:val="3"/>
          <w:sz w:val="20"/>
          <w:szCs w:val="20"/>
          <w:lang w:val="es-ES_tradnl" w:eastAsia="es-CR"/>
        </w:rPr>
        <w:t>II.- </w:t>
      </w:r>
      <w:r w:rsidRPr="002F12E7">
        <w:rPr>
          <w:rFonts w:ascii="Verdana" w:hAnsi="Verdana"/>
          <w:i/>
          <w:iCs/>
          <w:color w:val="000000"/>
          <w:spacing w:val="3"/>
          <w:sz w:val="20"/>
          <w:szCs w:val="20"/>
          <w:lang w:val="es-ES_tradnl" w:eastAsia="es-CR"/>
        </w:rPr>
        <w:t xml:space="preserve">En este asunto consta a folio 74 que al señor </w:t>
      </w:r>
      <w:proofErr w:type="gramStart"/>
      <w:r>
        <w:rPr>
          <w:rFonts w:ascii="Verdana" w:hAnsi="Verdana"/>
          <w:i/>
          <w:iCs/>
          <w:color w:val="000000"/>
          <w:spacing w:val="3"/>
          <w:sz w:val="20"/>
          <w:szCs w:val="20"/>
          <w:lang w:val="es-ES_tradnl" w:eastAsia="es-CR"/>
        </w:rPr>
        <w:t>G:G</w:t>
      </w:r>
      <w:proofErr w:type="gramEnd"/>
      <w:r>
        <w:rPr>
          <w:rFonts w:ascii="Verdana" w:hAnsi="Verdana"/>
          <w:i/>
          <w:iCs/>
          <w:color w:val="000000"/>
          <w:spacing w:val="3"/>
          <w:sz w:val="20"/>
          <w:szCs w:val="20"/>
          <w:lang w:val="es-ES_tradnl" w:eastAsia="es-CR"/>
        </w:rPr>
        <w:t>:R</w:t>
      </w:r>
      <w:r w:rsidRPr="002F12E7">
        <w:rPr>
          <w:rFonts w:ascii="Verdana" w:hAnsi="Verdana"/>
          <w:i/>
          <w:iCs/>
          <w:color w:val="000000"/>
          <w:spacing w:val="3"/>
          <w:sz w:val="20"/>
          <w:szCs w:val="20"/>
          <w:lang w:val="es-ES_tradnl" w:eastAsia="es-CR"/>
        </w:rPr>
        <w:t xml:space="preserve"> se le había nombrado por un plazo de 1 año como presidente del Banco Solidario Costa Rica S.A con la representación judicial y extrajudicial con facultades de apoderado generalísimo sin límite de suma conforme al artículo 1253 del Código Civil, dicho nombramiento venció el 7 de abril del año 2000. En razón de ello la fallida se encuentra acéfala, pues el plazo del nombramiento de su representante venció, y no es de aplicación el numeral 186 de Código de Comercio como lo considera el a-quo</w:t>
      </w:r>
      <w:r w:rsidRPr="002F12E7">
        <w:rPr>
          <w:rFonts w:ascii="Verdana" w:hAnsi="Verdana"/>
          <w:b/>
          <w:bCs/>
          <w:i/>
          <w:iCs/>
          <w:color w:val="000000"/>
          <w:spacing w:val="3"/>
          <w:sz w:val="20"/>
          <w:szCs w:val="20"/>
          <w:u w:val="single"/>
          <w:lang w:val="es-ES_tradnl" w:eastAsia="es-CR"/>
        </w:rPr>
        <w:t>, en cuanto a que el señor G:R: continúa en su cargo, por cuanto se ha interpretado que ese numeral sólo se aplica en el caso de que esté pendiente de inscripción, es decir en trámite ante el Registro Mercantil</w:t>
      </w:r>
      <w:r w:rsidRPr="002F12E7">
        <w:rPr>
          <w:rFonts w:ascii="Verdana" w:hAnsi="Verdana"/>
          <w:i/>
          <w:iCs/>
          <w:color w:val="000000"/>
          <w:spacing w:val="3"/>
          <w:sz w:val="20"/>
          <w:szCs w:val="20"/>
          <w:lang w:val="es-ES_tradnl" w:eastAsia="es-CR"/>
        </w:rPr>
        <w:t>, la inscripción de otra personería, lo cual no ocurre en este caso, porque no consta que esté en trámite de inscripción otra personería.”  </w:t>
      </w:r>
      <w:r w:rsidRPr="002F12E7">
        <w:rPr>
          <w:rFonts w:ascii="Verdana" w:hAnsi="Verdana"/>
          <w:i/>
          <w:iCs/>
          <w:color w:val="000000"/>
          <w:sz w:val="20"/>
          <w:szCs w:val="20"/>
          <w:lang w:val="es-ES_tradnl" w:eastAsia="es-CR"/>
        </w:rPr>
        <w:t> </w:t>
      </w:r>
      <w:r w:rsidRPr="002F12E7">
        <w:rPr>
          <w:rFonts w:ascii="Verdana" w:hAnsi="Verdana"/>
          <w:i/>
          <w:iCs/>
          <w:color w:val="000000"/>
          <w:spacing w:val="3"/>
          <w:sz w:val="20"/>
          <w:szCs w:val="20"/>
          <w:u w:val="single"/>
          <w:lang w:val="es-ES_tradnl" w:eastAsia="es-CR"/>
        </w:rPr>
        <w:t>Tribunal Segundo Civil, Sección Segunda</w:t>
      </w:r>
      <w:r w:rsidRPr="002F12E7">
        <w:rPr>
          <w:rFonts w:ascii="Verdana" w:hAnsi="Verdana"/>
          <w:i/>
          <w:iCs/>
          <w:color w:val="000000"/>
          <w:spacing w:val="3"/>
          <w:sz w:val="20"/>
          <w:szCs w:val="20"/>
          <w:lang w:val="es-ES_tradnl" w:eastAsia="es-CR"/>
        </w:rPr>
        <w:t xml:space="preserve">, resolución </w:t>
      </w:r>
      <w:proofErr w:type="spellStart"/>
      <w:r w:rsidRPr="002F12E7">
        <w:rPr>
          <w:rFonts w:ascii="Verdana" w:hAnsi="Verdana"/>
          <w:i/>
          <w:iCs/>
          <w:color w:val="000000"/>
          <w:spacing w:val="3"/>
          <w:sz w:val="20"/>
          <w:szCs w:val="20"/>
          <w:lang w:val="es-ES_tradnl" w:eastAsia="es-CR"/>
        </w:rPr>
        <w:t>N°</w:t>
      </w:r>
      <w:proofErr w:type="spellEnd"/>
      <w:r w:rsidRPr="002F12E7">
        <w:rPr>
          <w:rFonts w:ascii="Verdana" w:hAnsi="Verdana"/>
          <w:i/>
          <w:iCs/>
          <w:color w:val="000000"/>
          <w:spacing w:val="3"/>
          <w:sz w:val="20"/>
          <w:szCs w:val="20"/>
          <w:lang w:val="es-ES_tradnl" w:eastAsia="es-CR"/>
        </w:rPr>
        <w:t> 209 de </w:t>
      </w:r>
      <w:r w:rsidRPr="002F12E7">
        <w:rPr>
          <w:rFonts w:ascii="Verdana" w:hAnsi="Verdana"/>
          <w:i/>
          <w:iCs/>
          <w:color w:val="000000"/>
          <w:spacing w:val="-3"/>
          <w:sz w:val="20"/>
          <w:szCs w:val="20"/>
          <w:lang w:val="es-ES_tradnl" w:eastAsia="es-CR"/>
        </w:rPr>
        <w:t xml:space="preserve">las nueve horas del veinticinco de mayo del dos </w:t>
      </w:r>
      <w:proofErr w:type="gramStart"/>
      <w:r w:rsidRPr="002F12E7">
        <w:rPr>
          <w:rFonts w:ascii="Verdana" w:hAnsi="Verdana"/>
          <w:i/>
          <w:iCs/>
          <w:color w:val="000000"/>
          <w:spacing w:val="-3"/>
          <w:sz w:val="20"/>
          <w:szCs w:val="20"/>
          <w:lang w:val="es-ES_tradnl" w:eastAsia="es-CR"/>
        </w:rPr>
        <w:t>mil uno</w:t>
      </w:r>
      <w:proofErr w:type="gramEnd"/>
      <w:r w:rsidRPr="002F12E7">
        <w:rPr>
          <w:rFonts w:ascii="Verdana" w:hAnsi="Verdana"/>
          <w:i/>
          <w:iCs/>
          <w:color w:val="000000"/>
          <w:spacing w:val="-3"/>
          <w:sz w:val="20"/>
          <w:szCs w:val="20"/>
          <w:lang w:val="es-ES_tradnl" w:eastAsia="es-CR"/>
        </w:rPr>
        <w:t>. (Ver en igual sentido sentencia N°1189 de las ocho horas quince minutos del once de agosto de 2004, dictada por el Tribunal Primero Civil de San José</w:t>
      </w:r>
      <w:proofErr w:type="gramStart"/>
      <w:r w:rsidRPr="002F12E7">
        <w:rPr>
          <w:rFonts w:ascii="Verdana" w:hAnsi="Verdana"/>
          <w:i/>
          <w:iCs/>
          <w:color w:val="000000"/>
          <w:spacing w:val="-3"/>
          <w:sz w:val="20"/>
          <w:szCs w:val="20"/>
          <w:lang w:val="es-ES_tradnl" w:eastAsia="es-CR"/>
        </w:rPr>
        <w:t>).</w:t>
      </w:r>
      <w:r>
        <w:rPr>
          <w:rFonts w:ascii="Verdana" w:hAnsi="Verdana"/>
          <w:i/>
          <w:iCs/>
          <w:color w:val="000000"/>
          <w:spacing w:val="-3"/>
          <w:sz w:val="20"/>
          <w:szCs w:val="20"/>
          <w:lang w:val="es-ES_tradnl" w:eastAsia="es-CR"/>
        </w:rPr>
        <w:t>(</w:t>
      </w:r>
      <w:proofErr w:type="gramEnd"/>
      <w:r>
        <w:rPr>
          <w:rFonts w:ascii="Verdana" w:hAnsi="Verdana"/>
          <w:i/>
          <w:iCs/>
          <w:color w:val="000000"/>
          <w:spacing w:val="-3"/>
          <w:sz w:val="20"/>
          <w:szCs w:val="20"/>
          <w:lang w:val="es-ES_tradnl" w:eastAsia="es-CR"/>
        </w:rPr>
        <w:t xml:space="preserve">…)”  </w:t>
      </w:r>
      <w:r w:rsidRPr="002F12E7">
        <w:rPr>
          <w:rFonts w:ascii="Verdana" w:hAnsi="Verdana"/>
          <w:i/>
          <w:iCs/>
          <w:color w:val="000000"/>
          <w:spacing w:val="-3"/>
          <w:sz w:val="20"/>
          <w:szCs w:val="20"/>
          <w:lang w:val="es-ES_tradnl" w:eastAsia="es-CR"/>
        </w:rPr>
        <w:t> </w:t>
      </w:r>
      <w:r w:rsidRPr="002F12E7">
        <w:rPr>
          <w:rFonts w:ascii="Verdana" w:hAnsi="Verdana"/>
          <w:color w:val="000000"/>
          <w:spacing w:val="-3"/>
          <w:sz w:val="22"/>
          <w:szCs w:val="22"/>
          <w:lang w:val="es-ES_tradnl" w:eastAsia="es-CR"/>
        </w:rPr>
        <w:t>(El Resaltado es nuestro)</w:t>
      </w:r>
    </w:p>
    <w:p w14:paraId="5821270C" w14:textId="77777777" w:rsidR="00D77D96" w:rsidRPr="002F12E7" w:rsidRDefault="00D77D96" w:rsidP="00D77D96">
      <w:pPr>
        <w:ind w:left="340" w:right="340"/>
        <w:rPr>
          <w:rFonts w:ascii="Verdana" w:hAnsi="Verdana"/>
          <w:sz w:val="22"/>
          <w:szCs w:val="22"/>
        </w:rPr>
      </w:pPr>
    </w:p>
    <w:p w14:paraId="5CFF4F9A" w14:textId="77777777" w:rsidR="00D77D96" w:rsidRDefault="00D77D96" w:rsidP="00971B9B">
      <w:pPr>
        <w:jc w:val="both"/>
        <w:rPr>
          <w:rFonts w:ascii="Verdana" w:hAnsi="Verdana"/>
          <w:sz w:val="22"/>
          <w:szCs w:val="22"/>
        </w:rPr>
      </w:pPr>
    </w:p>
    <w:p w14:paraId="534F1C72" w14:textId="3E933964" w:rsidR="00B524FC" w:rsidRPr="00B524FC" w:rsidRDefault="00B524FC" w:rsidP="00971B9B">
      <w:pPr>
        <w:pStyle w:val="NormalWeb"/>
        <w:spacing w:line="276" w:lineRule="auto"/>
        <w:jc w:val="both"/>
        <w:rPr>
          <w:rFonts w:ascii="Verdana" w:hAnsi="Verdana"/>
          <w:i/>
          <w:iCs/>
          <w:color w:val="000000"/>
          <w:sz w:val="22"/>
          <w:szCs w:val="22"/>
          <w:shd w:val="clear" w:color="auto" w:fill="FFFFFF"/>
        </w:rPr>
      </w:pPr>
      <w:r w:rsidRPr="00B524FC">
        <w:rPr>
          <w:rFonts w:ascii="Verdana" w:hAnsi="Verdana"/>
          <w:bCs/>
          <w:sz w:val="22"/>
          <w:szCs w:val="22"/>
        </w:rPr>
        <w:t>Con relación al tema de la Legitimación</w:t>
      </w:r>
      <w:r w:rsidR="001149CD">
        <w:rPr>
          <w:rFonts w:ascii="Verdana" w:hAnsi="Verdana"/>
          <w:bCs/>
          <w:sz w:val="22"/>
          <w:szCs w:val="22"/>
        </w:rPr>
        <w:t>, l</w:t>
      </w:r>
      <w:r w:rsidRPr="00B524FC">
        <w:rPr>
          <w:rFonts w:ascii="Verdana" w:hAnsi="Verdana"/>
          <w:sz w:val="22"/>
          <w:szCs w:val="22"/>
        </w:rPr>
        <w:t xml:space="preserve">a Sala Primera de la Corte Suprema de Justicia en su sentencia número 00822 de fecha 04 de julio de 2013   de </w:t>
      </w:r>
      <w:proofErr w:type="gramStart"/>
      <w:r w:rsidRPr="00B524FC">
        <w:rPr>
          <w:rFonts w:ascii="Verdana" w:hAnsi="Verdana"/>
          <w:sz w:val="22"/>
          <w:szCs w:val="22"/>
        </w:rPr>
        <w:t>las  09</w:t>
      </w:r>
      <w:proofErr w:type="gramEnd"/>
      <w:r w:rsidRPr="00B524FC">
        <w:rPr>
          <w:rFonts w:ascii="Verdana" w:hAnsi="Verdana"/>
          <w:sz w:val="22"/>
          <w:szCs w:val="22"/>
        </w:rPr>
        <w:t xml:space="preserve">:20:00 horas indicó </w:t>
      </w:r>
      <w:r w:rsidR="001149CD">
        <w:rPr>
          <w:rFonts w:ascii="Verdana" w:hAnsi="Verdana"/>
          <w:sz w:val="22"/>
          <w:szCs w:val="22"/>
        </w:rPr>
        <w:t>lo que a continuación se consigna:</w:t>
      </w:r>
      <w:r w:rsidRPr="00B524FC">
        <w:rPr>
          <w:rFonts w:ascii="Verdana" w:hAnsi="Verdana"/>
          <w:sz w:val="22"/>
          <w:szCs w:val="22"/>
        </w:rPr>
        <w:t xml:space="preserve"> </w:t>
      </w:r>
    </w:p>
    <w:p w14:paraId="1D033661" w14:textId="77777777" w:rsidR="00B524FC" w:rsidRPr="00B524FC" w:rsidRDefault="00B524FC" w:rsidP="00B524FC">
      <w:pPr>
        <w:pStyle w:val="NormalWeb"/>
        <w:spacing w:before="0" w:beforeAutospacing="0" w:after="0" w:afterAutospacing="0"/>
        <w:ind w:left="397" w:right="397"/>
        <w:jc w:val="both"/>
        <w:rPr>
          <w:rFonts w:ascii="Verdana" w:hAnsi="Verdana"/>
          <w:b/>
          <w:i/>
          <w:sz w:val="22"/>
          <w:szCs w:val="22"/>
        </w:rPr>
      </w:pPr>
      <w:r w:rsidRPr="00B524FC">
        <w:rPr>
          <w:rFonts w:ascii="Verdana" w:hAnsi="Verdana"/>
          <w:i/>
          <w:iCs/>
          <w:sz w:val="22"/>
          <w:szCs w:val="22"/>
        </w:rPr>
        <w:t>“La </w:t>
      </w:r>
      <w:r w:rsidRPr="00B524FC">
        <w:rPr>
          <w:rFonts w:ascii="Verdana" w:hAnsi="Verdana"/>
          <w:b/>
          <w:bCs/>
          <w:i/>
          <w:iCs/>
          <w:sz w:val="22"/>
          <w:szCs w:val="22"/>
        </w:rPr>
        <w:t>legitimación</w:t>
      </w:r>
      <w:r w:rsidRPr="00B524FC">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B524FC">
        <w:rPr>
          <w:rFonts w:ascii="Verdana" w:hAnsi="Verdana"/>
          <w:b/>
          <w:bCs/>
          <w:i/>
          <w:iCs/>
          <w:sz w:val="22"/>
          <w:szCs w:val="22"/>
        </w:rPr>
        <w:t>legitimación</w:t>
      </w:r>
      <w:r w:rsidRPr="00B524FC">
        <w:rPr>
          <w:rFonts w:ascii="Verdana" w:hAnsi="Verdana"/>
          <w:i/>
          <w:iCs/>
          <w:sz w:val="22"/>
          <w:szCs w:val="22"/>
        </w:rPr>
        <w:t xml:space="preserve"> en la causa no constituye un presupuesto procesal, en tanto no se refiere al procedimiento o al válido ejercicio de la acción, antes bien se refiere a la relación sustancial que debe existir entre actor </w:t>
      </w:r>
      <w:r w:rsidRPr="00B524FC">
        <w:rPr>
          <w:rFonts w:ascii="Verdana" w:hAnsi="Verdana"/>
          <w:i/>
          <w:iCs/>
          <w:sz w:val="22"/>
          <w:szCs w:val="22"/>
        </w:rPr>
        <w:lastRenderedPageBreak/>
        <w:t>y demandado y al interés sustancial que se discute en el proceso. La </w:t>
      </w:r>
      <w:r w:rsidRPr="00B524FC">
        <w:rPr>
          <w:rFonts w:ascii="Verdana" w:hAnsi="Verdana"/>
          <w:b/>
          <w:bCs/>
          <w:i/>
          <w:iCs/>
          <w:sz w:val="22"/>
          <w:szCs w:val="22"/>
        </w:rPr>
        <w:t>legitimación</w:t>
      </w:r>
      <w:r w:rsidRPr="00B524FC">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B524FC">
        <w:rPr>
          <w:rFonts w:ascii="Verdana" w:hAnsi="Verdana"/>
          <w:b/>
          <w:bCs/>
          <w:i/>
          <w:iCs/>
          <w:sz w:val="22"/>
          <w:szCs w:val="22"/>
        </w:rPr>
        <w:t>legitimación</w:t>
      </w:r>
      <w:r w:rsidRPr="00B524FC">
        <w:rPr>
          <w:rFonts w:ascii="Verdana" w:hAnsi="Verdana"/>
          <w:i/>
          <w:iCs/>
          <w:sz w:val="22"/>
          <w:szCs w:val="22"/>
        </w:rPr>
        <w:t> para obtener sentencia de fondo o mérito. De acuerdo al sujeto legitimado o a su posición en la relación procesal se puede distinguir entre </w:t>
      </w:r>
      <w:r w:rsidRPr="00B524FC">
        <w:rPr>
          <w:rFonts w:ascii="Verdana" w:hAnsi="Verdana"/>
          <w:b/>
          <w:bCs/>
          <w:i/>
          <w:iCs/>
          <w:sz w:val="22"/>
          <w:szCs w:val="22"/>
        </w:rPr>
        <w:t xml:space="preserve">legitimación </w:t>
      </w:r>
      <w:r w:rsidRPr="00B524FC">
        <w:rPr>
          <w:rFonts w:ascii="Verdana" w:hAnsi="Verdana"/>
          <w:i/>
          <w:iCs/>
          <w:sz w:val="22"/>
          <w:szCs w:val="22"/>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B524FC">
        <w:rPr>
          <w:rFonts w:ascii="Verdana" w:hAnsi="Verdana"/>
          <w:b/>
          <w:bCs/>
          <w:i/>
          <w:iCs/>
          <w:sz w:val="22"/>
          <w:szCs w:val="22"/>
        </w:rPr>
        <w:t>legitimación</w:t>
      </w:r>
      <w:r w:rsidRPr="00B524FC">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B524FC">
        <w:rPr>
          <w:rFonts w:ascii="Verdana" w:hAnsi="Verdana"/>
          <w:b/>
          <w:bCs/>
          <w:i/>
          <w:iCs/>
          <w:sz w:val="22"/>
          <w:szCs w:val="22"/>
        </w:rPr>
        <w:t>legitimación</w:t>
      </w:r>
      <w:r w:rsidRPr="00B524FC">
        <w:rPr>
          <w:rFonts w:ascii="Verdana" w:hAnsi="Verdana"/>
          <w:i/>
          <w:iCs/>
          <w:sz w:val="22"/>
          <w:szCs w:val="22"/>
        </w:rPr>
        <w:t xml:space="preserve"> en la causa demás de determinar </w:t>
      </w:r>
      <w:proofErr w:type="spellStart"/>
      <w:r w:rsidRPr="00B524FC">
        <w:rPr>
          <w:rFonts w:ascii="Verdana" w:hAnsi="Verdana"/>
          <w:i/>
          <w:iCs/>
          <w:sz w:val="22"/>
          <w:szCs w:val="22"/>
        </w:rPr>
        <w:t>quienes</w:t>
      </w:r>
      <w:proofErr w:type="spellEnd"/>
      <w:r w:rsidRPr="00B524FC">
        <w:rPr>
          <w:rFonts w:ascii="Verdana" w:hAnsi="Verdana"/>
          <w:i/>
          <w:iCs/>
          <w:sz w:val="22"/>
          <w:szCs w:val="22"/>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B524FC">
        <w:rPr>
          <w:rFonts w:ascii="Verdana" w:hAnsi="Verdana"/>
          <w:b/>
          <w:bCs/>
          <w:i/>
          <w:iCs/>
          <w:sz w:val="22"/>
          <w:szCs w:val="22"/>
        </w:rPr>
        <w:t>legitimación</w:t>
      </w:r>
      <w:r w:rsidRPr="00B524FC">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B524FC">
        <w:rPr>
          <w:rFonts w:ascii="Verdana" w:hAnsi="Verdana"/>
          <w:b/>
          <w:bCs/>
          <w:i/>
          <w:iCs/>
          <w:sz w:val="22"/>
          <w:szCs w:val="22"/>
        </w:rPr>
        <w:t>legitimación</w:t>
      </w:r>
      <w:r w:rsidRPr="00B524FC">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B524FC">
        <w:rPr>
          <w:rFonts w:ascii="Verdana" w:hAnsi="Verdana"/>
          <w:i/>
          <w:sz w:val="22"/>
          <w:szCs w:val="22"/>
        </w:rPr>
        <w:t>”.</w:t>
      </w:r>
      <w:r w:rsidRPr="00B524FC">
        <w:rPr>
          <w:rFonts w:ascii="Verdana" w:hAnsi="Verdana"/>
          <w:i/>
          <w:iCs/>
          <w:sz w:val="22"/>
          <w:szCs w:val="22"/>
        </w:rPr>
        <w:t> No. 604 de las 10 horas del 17 de agosto de 2007. En consecuencia, la </w:t>
      </w:r>
      <w:r w:rsidRPr="00B524FC">
        <w:rPr>
          <w:rFonts w:ascii="Verdana" w:hAnsi="Verdana"/>
          <w:b/>
          <w:bCs/>
          <w:i/>
          <w:iCs/>
          <w:sz w:val="22"/>
          <w:szCs w:val="22"/>
        </w:rPr>
        <w:t>legitimación</w:t>
      </w:r>
      <w:r w:rsidRPr="00B524FC">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B524FC">
        <w:rPr>
          <w:rFonts w:ascii="Verdana" w:hAnsi="Verdana"/>
          <w:b/>
          <w:bCs/>
          <w:i/>
          <w:iCs/>
          <w:sz w:val="22"/>
          <w:szCs w:val="22"/>
        </w:rPr>
        <w:t>legitimación</w:t>
      </w:r>
      <w:r w:rsidRPr="00B524FC">
        <w:rPr>
          <w:rFonts w:ascii="Verdana" w:hAnsi="Verdana"/>
          <w:i/>
          <w:iCs/>
          <w:sz w:val="22"/>
          <w:szCs w:val="22"/>
        </w:rPr>
        <w:t xml:space="preserve"> ad </w:t>
      </w:r>
      <w:proofErr w:type="spellStart"/>
      <w:r w:rsidRPr="00B524FC">
        <w:rPr>
          <w:rFonts w:ascii="Verdana" w:hAnsi="Verdana"/>
          <w:i/>
          <w:iCs/>
          <w:sz w:val="22"/>
          <w:szCs w:val="22"/>
        </w:rPr>
        <w:t>causam</w:t>
      </w:r>
      <w:proofErr w:type="spellEnd"/>
      <w:r w:rsidRPr="00B524FC">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B524FC">
        <w:rPr>
          <w:rFonts w:ascii="Verdana" w:hAnsi="Verdana"/>
          <w:i/>
          <w:sz w:val="22"/>
          <w:szCs w:val="22"/>
        </w:rPr>
        <w:t>. Fallo no. 778 de las 14 horas 50 minutos del 28 de julio de 2009. Así, para que la parte cuente con </w:t>
      </w:r>
      <w:r w:rsidRPr="00B524FC">
        <w:rPr>
          <w:rFonts w:ascii="Verdana" w:hAnsi="Verdana"/>
          <w:b/>
          <w:bCs/>
          <w:i/>
          <w:sz w:val="22"/>
          <w:szCs w:val="22"/>
        </w:rPr>
        <w:t>legitimación</w:t>
      </w:r>
      <w:r w:rsidRPr="00B524FC">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B524FC">
        <w:rPr>
          <w:rFonts w:ascii="Verdana" w:hAnsi="Verdana"/>
          <w:b/>
          <w:bCs/>
          <w:i/>
          <w:sz w:val="22"/>
          <w:szCs w:val="22"/>
        </w:rPr>
        <w:t>legitimación</w:t>
      </w:r>
      <w:r w:rsidRPr="00B524FC">
        <w:rPr>
          <w:rFonts w:ascii="Verdana" w:hAnsi="Verdana"/>
          <w:i/>
          <w:sz w:val="22"/>
          <w:szCs w:val="22"/>
        </w:rPr>
        <w:t xml:space="preserve"> en la causa constituye un </w:t>
      </w:r>
      <w:r w:rsidRPr="00B524FC">
        <w:rPr>
          <w:rFonts w:ascii="Verdana" w:hAnsi="Verdana"/>
          <w:i/>
          <w:sz w:val="22"/>
          <w:szCs w:val="22"/>
        </w:rPr>
        <w:lastRenderedPageBreak/>
        <w:t>impedimento sustancial para una sentencia estimatoria, ya que es la que determina quiénes deben actuar en el proceso.”</w:t>
      </w:r>
    </w:p>
    <w:p w14:paraId="1F49EF79" w14:textId="77777777" w:rsidR="00B524FC" w:rsidRPr="00B524FC" w:rsidRDefault="00B524FC" w:rsidP="00B524FC">
      <w:pPr>
        <w:jc w:val="both"/>
        <w:rPr>
          <w:rFonts w:ascii="Verdana" w:hAnsi="Verdana"/>
          <w:sz w:val="22"/>
          <w:szCs w:val="22"/>
        </w:rPr>
      </w:pPr>
    </w:p>
    <w:p w14:paraId="37E32C45" w14:textId="77777777" w:rsidR="00971B9B" w:rsidRDefault="00971B9B" w:rsidP="00B524FC">
      <w:pPr>
        <w:jc w:val="both"/>
        <w:rPr>
          <w:rFonts w:ascii="Verdana" w:hAnsi="Verdana"/>
          <w:sz w:val="22"/>
          <w:szCs w:val="22"/>
        </w:rPr>
      </w:pPr>
    </w:p>
    <w:p w14:paraId="7274AC54" w14:textId="4E4811D0" w:rsidR="00B524FC" w:rsidRPr="00B524FC" w:rsidRDefault="00B524FC" w:rsidP="00B524FC">
      <w:pPr>
        <w:jc w:val="both"/>
        <w:rPr>
          <w:rFonts w:ascii="Verdana" w:hAnsi="Verdana"/>
          <w:sz w:val="22"/>
          <w:szCs w:val="22"/>
        </w:rPr>
      </w:pPr>
      <w:r w:rsidRPr="00B524FC">
        <w:rPr>
          <w:rFonts w:ascii="Verdana" w:hAnsi="Verdana"/>
          <w:sz w:val="22"/>
          <w:szCs w:val="22"/>
        </w:rPr>
        <w:t xml:space="preserve">De conformidad con lo indicado en líneas supra, al no encontrarse que concurre </w:t>
      </w:r>
      <w:r w:rsidR="00D77D96">
        <w:rPr>
          <w:rFonts w:ascii="Verdana" w:hAnsi="Verdana"/>
          <w:sz w:val="22"/>
          <w:szCs w:val="22"/>
        </w:rPr>
        <w:t>todos</w:t>
      </w:r>
      <w:r w:rsidRPr="00B524FC">
        <w:rPr>
          <w:rFonts w:ascii="Verdana" w:hAnsi="Verdana"/>
          <w:sz w:val="22"/>
          <w:szCs w:val="22"/>
        </w:rPr>
        <w:t xml:space="preserve"> los presupuestos </w:t>
      </w:r>
      <w:r w:rsidR="00D77D96">
        <w:rPr>
          <w:rFonts w:ascii="Verdana" w:hAnsi="Verdana"/>
          <w:sz w:val="22"/>
          <w:szCs w:val="22"/>
        </w:rPr>
        <w:t>formales</w:t>
      </w:r>
      <w:r w:rsidRPr="00B524FC">
        <w:rPr>
          <w:rFonts w:ascii="Verdana" w:hAnsi="Verdana"/>
          <w:sz w:val="22"/>
          <w:szCs w:val="22"/>
        </w:rPr>
        <w:t xml:space="preserve"> para que </w:t>
      </w:r>
      <w:r w:rsidR="00D77D96">
        <w:rPr>
          <w:rFonts w:ascii="Verdana" w:hAnsi="Verdana"/>
          <w:sz w:val="22"/>
          <w:szCs w:val="22"/>
        </w:rPr>
        <w:t>a los</w:t>
      </w:r>
      <w:r w:rsidRPr="00B524FC">
        <w:rPr>
          <w:rFonts w:ascii="Verdana" w:hAnsi="Verdana"/>
          <w:sz w:val="22"/>
          <w:szCs w:val="22"/>
        </w:rPr>
        <w:t xml:space="preserve"> recurrente</w:t>
      </w:r>
      <w:r w:rsidR="00D77D96">
        <w:rPr>
          <w:rFonts w:ascii="Verdana" w:hAnsi="Verdana"/>
          <w:sz w:val="22"/>
          <w:szCs w:val="22"/>
        </w:rPr>
        <w:t>s</w:t>
      </w:r>
      <w:r w:rsidRPr="00B524FC">
        <w:rPr>
          <w:rFonts w:ascii="Verdana" w:hAnsi="Verdana"/>
          <w:sz w:val="22"/>
          <w:szCs w:val="22"/>
        </w:rPr>
        <w:t xml:space="preserve"> pueda asistirle</w:t>
      </w:r>
      <w:r w:rsidR="00D77D96">
        <w:rPr>
          <w:rFonts w:ascii="Verdana" w:hAnsi="Verdana"/>
          <w:sz w:val="22"/>
          <w:szCs w:val="22"/>
        </w:rPr>
        <w:t>s</w:t>
      </w:r>
      <w:r w:rsidRPr="00B524FC">
        <w:rPr>
          <w:rFonts w:ascii="Verdana" w:hAnsi="Verdana"/>
          <w:sz w:val="22"/>
          <w:szCs w:val="22"/>
        </w:rPr>
        <w:t xml:space="preserve"> Legitimación en este asunto y siendo que dicho requisito procesal es indispensable para la admisibilidad del asunto no queda más a este Tribunal que proceder al rechazo ad-portas del asunto.</w:t>
      </w:r>
    </w:p>
    <w:p w14:paraId="0103F546" w14:textId="77777777" w:rsidR="00B524FC" w:rsidRPr="00B524FC" w:rsidRDefault="00B524FC" w:rsidP="00B524FC">
      <w:pPr>
        <w:jc w:val="center"/>
        <w:rPr>
          <w:rFonts w:ascii="Verdana" w:hAnsi="Verdana"/>
          <w:b/>
          <w:sz w:val="22"/>
          <w:szCs w:val="22"/>
        </w:rPr>
      </w:pPr>
    </w:p>
    <w:p w14:paraId="6696DB7E" w14:textId="77777777" w:rsidR="00B524FC" w:rsidRPr="00B524FC" w:rsidRDefault="00B524FC" w:rsidP="00B524FC">
      <w:pPr>
        <w:jc w:val="center"/>
        <w:rPr>
          <w:rFonts w:ascii="Verdana" w:hAnsi="Verdana"/>
          <w:b/>
          <w:sz w:val="22"/>
          <w:szCs w:val="22"/>
        </w:rPr>
      </w:pPr>
      <w:r w:rsidRPr="00B524FC">
        <w:rPr>
          <w:rFonts w:ascii="Verdana" w:hAnsi="Verdana"/>
          <w:b/>
          <w:sz w:val="22"/>
          <w:szCs w:val="22"/>
        </w:rPr>
        <w:t>POR TANTO</w:t>
      </w:r>
    </w:p>
    <w:p w14:paraId="446F5002" w14:textId="77777777" w:rsidR="00B524FC" w:rsidRPr="00B524FC" w:rsidRDefault="00B524FC" w:rsidP="00B524FC">
      <w:pPr>
        <w:jc w:val="center"/>
        <w:rPr>
          <w:rFonts w:ascii="Verdana" w:hAnsi="Verdana"/>
          <w:b/>
          <w:sz w:val="22"/>
          <w:szCs w:val="22"/>
        </w:rPr>
      </w:pPr>
    </w:p>
    <w:p w14:paraId="7052FA46" w14:textId="30502E66" w:rsidR="001149CD" w:rsidRDefault="00B524FC" w:rsidP="00B524FC">
      <w:pPr>
        <w:spacing w:line="276" w:lineRule="auto"/>
        <w:jc w:val="both"/>
        <w:rPr>
          <w:rFonts w:ascii="Verdana" w:hAnsi="Verdana"/>
          <w:sz w:val="22"/>
          <w:szCs w:val="22"/>
        </w:rPr>
      </w:pPr>
      <w:r w:rsidRPr="00B524FC">
        <w:rPr>
          <w:rFonts w:ascii="Verdana" w:hAnsi="Verdana"/>
          <w:b/>
          <w:sz w:val="22"/>
          <w:szCs w:val="22"/>
        </w:rPr>
        <w:t xml:space="preserve">I.-  </w:t>
      </w:r>
      <w:r w:rsidRPr="00B524FC">
        <w:rPr>
          <w:rFonts w:ascii="Verdana" w:hAnsi="Verdana"/>
          <w:sz w:val="22"/>
          <w:szCs w:val="22"/>
        </w:rPr>
        <w:t>Se</w:t>
      </w:r>
      <w:r w:rsidRPr="00B524FC">
        <w:rPr>
          <w:rFonts w:ascii="Verdana" w:hAnsi="Verdana"/>
          <w:b/>
          <w:sz w:val="22"/>
          <w:szCs w:val="22"/>
        </w:rPr>
        <w:t xml:space="preserve"> Rechaza por Falta Legitimación, el Recurso de Apelación</w:t>
      </w:r>
      <w:r w:rsidR="00EE5A08" w:rsidRPr="00C60184">
        <w:rPr>
          <w:rFonts w:ascii="Verdana" w:hAnsi="Verdana"/>
          <w:smallCaps/>
          <w:sz w:val="22"/>
          <w:szCs w:val="22"/>
        </w:rPr>
        <w:t xml:space="preserve">, </w:t>
      </w:r>
      <w:r w:rsidR="00EE5A08" w:rsidRPr="00C60184">
        <w:rPr>
          <w:rFonts w:ascii="Verdana" w:hAnsi="Verdana"/>
          <w:sz w:val="22"/>
          <w:szCs w:val="22"/>
        </w:rPr>
        <w:t xml:space="preserve">interpuesto por la empresa </w:t>
      </w:r>
      <w:r w:rsidR="00EE5A08" w:rsidRPr="00C60184">
        <w:rPr>
          <w:rFonts w:ascii="Verdana" w:hAnsi="Verdana"/>
          <w:b/>
          <w:sz w:val="22"/>
          <w:szCs w:val="22"/>
        </w:rPr>
        <w:t>B</w:t>
      </w:r>
      <w:r w:rsidR="005D4B0A">
        <w:rPr>
          <w:rFonts w:ascii="Verdana" w:hAnsi="Verdana"/>
          <w:b/>
          <w:sz w:val="22"/>
          <w:szCs w:val="22"/>
        </w:rPr>
        <w:t>.H.</w:t>
      </w:r>
      <w:r w:rsidR="00EE5A08" w:rsidRPr="00C60184">
        <w:rPr>
          <w:rFonts w:ascii="Verdana" w:hAnsi="Verdana"/>
          <w:b/>
          <w:sz w:val="22"/>
          <w:szCs w:val="22"/>
        </w:rPr>
        <w:t xml:space="preserve">S.A., cédula jurídica número </w:t>
      </w:r>
      <w:r w:rsidR="005D4B0A">
        <w:rPr>
          <w:rFonts w:ascii="Verdana" w:hAnsi="Verdana"/>
          <w:b/>
          <w:sz w:val="22"/>
          <w:szCs w:val="22"/>
        </w:rPr>
        <w:t>…</w:t>
      </w:r>
      <w:r w:rsidR="00956030">
        <w:rPr>
          <w:rFonts w:ascii="Verdana" w:hAnsi="Verdana"/>
          <w:sz w:val="22"/>
          <w:szCs w:val="22"/>
        </w:rPr>
        <w:t xml:space="preserve">, </w:t>
      </w:r>
      <w:r w:rsidR="001149CD" w:rsidRPr="00C60184">
        <w:rPr>
          <w:rFonts w:ascii="Verdana" w:hAnsi="Verdana"/>
          <w:sz w:val="22"/>
          <w:szCs w:val="22"/>
        </w:rPr>
        <w:t xml:space="preserve">por medio del </w:t>
      </w:r>
      <w:r w:rsidR="001149CD" w:rsidRPr="00C60184">
        <w:rPr>
          <w:rFonts w:ascii="Verdana" w:hAnsi="Verdana"/>
          <w:b/>
          <w:sz w:val="22"/>
          <w:szCs w:val="22"/>
        </w:rPr>
        <w:t xml:space="preserve">señor </w:t>
      </w:r>
      <w:r w:rsidR="001149CD">
        <w:rPr>
          <w:rFonts w:ascii="Verdana" w:hAnsi="Verdana"/>
          <w:b/>
          <w:sz w:val="22"/>
          <w:szCs w:val="22"/>
          <w:lang w:val="es-ES"/>
        </w:rPr>
        <w:t>J</w:t>
      </w:r>
      <w:r w:rsidR="005D4B0A">
        <w:rPr>
          <w:rFonts w:ascii="Verdana" w:hAnsi="Verdana"/>
          <w:b/>
          <w:sz w:val="22"/>
          <w:szCs w:val="22"/>
          <w:lang w:val="es-ES"/>
        </w:rPr>
        <w:t>.D.V.A.</w:t>
      </w:r>
      <w:r w:rsidR="001149CD" w:rsidRPr="00C60184">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en su condición de presidente</w:t>
      </w:r>
      <w:r w:rsidR="001149CD" w:rsidRPr="00C60184">
        <w:rPr>
          <w:rFonts w:ascii="Verdana" w:hAnsi="Verdana"/>
          <w:sz w:val="22"/>
          <w:szCs w:val="22"/>
          <w:lang w:val="es-ES"/>
        </w:rPr>
        <w:t>,</w:t>
      </w:r>
      <w:r w:rsidR="001149CD" w:rsidRPr="00C60184">
        <w:rPr>
          <w:rFonts w:ascii="Verdana" w:hAnsi="Verdana"/>
          <w:b/>
          <w:sz w:val="22"/>
          <w:szCs w:val="22"/>
          <w:lang w:val="es-ES"/>
        </w:rPr>
        <w:t xml:space="preserve"> </w:t>
      </w:r>
      <w:r w:rsidR="001149CD">
        <w:rPr>
          <w:rFonts w:ascii="Verdana" w:hAnsi="Verdana"/>
          <w:b/>
          <w:sz w:val="22"/>
          <w:szCs w:val="22"/>
          <w:lang w:val="es-ES"/>
        </w:rPr>
        <w:t>C</w:t>
      </w:r>
      <w:r w:rsidR="005D4B0A">
        <w:rPr>
          <w:rFonts w:ascii="Verdana" w:hAnsi="Verdana"/>
          <w:b/>
          <w:sz w:val="22"/>
          <w:szCs w:val="22"/>
          <w:lang w:val="es-ES"/>
        </w:rPr>
        <w:t>.L.C.</w:t>
      </w:r>
      <w:r w:rsidR="001149CD">
        <w:rPr>
          <w:rFonts w:ascii="Verdana" w:hAnsi="Verdana"/>
          <w:b/>
          <w:sz w:val="22"/>
          <w:szCs w:val="22"/>
          <w:lang w:val="es-ES"/>
        </w:rPr>
        <w:t xml:space="preserve">, cédula de identidad </w:t>
      </w:r>
      <w:r w:rsidR="005D4B0A">
        <w:rPr>
          <w:rFonts w:ascii="Verdana" w:hAnsi="Verdana"/>
          <w:b/>
          <w:sz w:val="22"/>
          <w:szCs w:val="22"/>
          <w:lang w:val="es-ES"/>
        </w:rPr>
        <w:t>…</w:t>
      </w:r>
      <w:r w:rsidR="001149CD">
        <w:rPr>
          <w:rFonts w:ascii="Verdana" w:hAnsi="Verdana"/>
          <w:b/>
          <w:sz w:val="22"/>
          <w:szCs w:val="22"/>
          <w:lang w:val="es-ES"/>
        </w:rPr>
        <w:t>, en su condición de secretario, Z</w:t>
      </w:r>
      <w:r w:rsidR="005D4B0A">
        <w:rPr>
          <w:rFonts w:ascii="Verdana" w:hAnsi="Verdana"/>
          <w:b/>
          <w:sz w:val="22"/>
          <w:szCs w:val="22"/>
          <w:lang w:val="es-ES"/>
        </w:rPr>
        <w:t>.G.S.</w:t>
      </w:r>
      <w:r w:rsidR="001149CD">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xml:space="preserve"> en su condición de Tesorera, J</w:t>
      </w:r>
      <w:r w:rsidR="005D4B0A">
        <w:rPr>
          <w:rFonts w:ascii="Verdana" w:hAnsi="Verdana"/>
          <w:b/>
          <w:sz w:val="22"/>
          <w:szCs w:val="22"/>
          <w:lang w:val="es-ES"/>
        </w:rPr>
        <w:t>.E.V.H.</w:t>
      </w:r>
      <w:r w:rsidR="001149CD">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C</w:t>
      </w:r>
      <w:r w:rsidR="005D4B0A">
        <w:rPr>
          <w:rFonts w:ascii="Verdana" w:hAnsi="Verdana"/>
          <w:b/>
          <w:sz w:val="22"/>
          <w:szCs w:val="22"/>
          <w:lang w:val="es-ES"/>
        </w:rPr>
        <w:t>.L.S.</w:t>
      </w:r>
      <w:r w:rsidR="001149CD">
        <w:rPr>
          <w:rFonts w:ascii="Verdana" w:hAnsi="Verdana"/>
          <w:b/>
          <w:sz w:val="22"/>
          <w:szCs w:val="22"/>
          <w:lang w:val="es-ES"/>
        </w:rPr>
        <w:t xml:space="preserve">, cédula de Identidad número </w:t>
      </w:r>
      <w:r w:rsidR="005D4B0A">
        <w:rPr>
          <w:rFonts w:ascii="Verdana" w:hAnsi="Verdana"/>
          <w:b/>
          <w:sz w:val="22"/>
          <w:szCs w:val="22"/>
          <w:lang w:val="es-ES"/>
        </w:rPr>
        <w:t>…</w:t>
      </w:r>
      <w:r w:rsidR="001149CD">
        <w:rPr>
          <w:rFonts w:ascii="Verdana" w:hAnsi="Verdana"/>
          <w:b/>
          <w:sz w:val="22"/>
          <w:szCs w:val="22"/>
          <w:lang w:val="es-ES"/>
        </w:rPr>
        <w:t xml:space="preserve"> en su condición del sucesorio de H</w:t>
      </w:r>
      <w:r w:rsidR="005D4B0A">
        <w:rPr>
          <w:rFonts w:ascii="Verdana" w:hAnsi="Verdana"/>
          <w:b/>
          <w:sz w:val="22"/>
          <w:szCs w:val="22"/>
          <w:lang w:val="es-ES"/>
        </w:rPr>
        <w:t>.G.V.</w:t>
      </w:r>
      <w:r w:rsidR="001149CD">
        <w:rPr>
          <w:rFonts w:ascii="Verdana" w:hAnsi="Verdana"/>
          <w:b/>
          <w:sz w:val="22"/>
          <w:szCs w:val="22"/>
          <w:lang w:val="es-ES"/>
        </w:rPr>
        <w:t>, estos últimos junto con la señora Z</w:t>
      </w:r>
      <w:r w:rsidR="005D4B0A">
        <w:rPr>
          <w:rFonts w:ascii="Verdana" w:hAnsi="Verdana"/>
          <w:b/>
          <w:sz w:val="22"/>
          <w:szCs w:val="22"/>
          <w:lang w:val="es-ES"/>
        </w:rPr>
        <w:t>.G.S.</w:t>
      </w:r>
      <w:r w:rsidR="001149CD">
        <w:rPr>
          <w:rFonts w:ascii="Verdana" w:hAnsi="Verdana"/>
          <w:sz w:val="22"/>
          <w:szCs w:val="22"/>
          <w:lang w:val="es-ES"/>
        </w:rPr>
        <w:t xml:space="preserve">, en condición de Socios accionistas de </w:t>
      </w:r>
      <w:r w:rsidR="001149CD" w:rsidRPr="005163E3">
        <w:rPr>
          <w:rFonts w:ascii="Verdana" w:hAnsi="Verdana"/>
          <w:b/>
          <w:bCs/>
          <w:sz w:val="22"/>
          <w:szCs w:val="22"/>
          <w:lang w:val="es-ES"/>
        </w:rPr>
        <w:t>B</w:t>
      </w:r>
      <w:r w:rsidR="005D4B0A">
        <w:rPr>
          <w:rFonts w:ascii="Verdana" w:hAnsi="Verdana"/>
          <w:b/>
          <w:bCs/>
          <w:sz w:val="22"/>
          <w:szCs w:val="22"/>
          <w:lang w:val="es-ES"/>
        </w:rPr>
        <w:t>.H.</w:t>
      </w:r>
      <w:r w:rsidR="001149CD" w:rsidRPr="005163E3">
        <w:rPr>
          <w:rFonts w:ascii="Verdana" w:hAnsi="Verdana"/>
          <w:b/>
          <w:bCs/>
          <w:sz w:val="22"/>
          <w:szCs w:val="22"/>
          <w:lang w:val="es-ES"/>
        </w:rPr>
        <w:t>S.A.</w:t>
      </w:r>
      <w:r w:rsidR="001149CD" w:rsidRPr="00C60184">
        <w:rPr>
          <w:rFonts w:ascii="Verdana" w:hAnsi="Verdana"/>
          <w:sz w:val="22"/>
          <w:szCs w:val="22"/>
        </w:rPr>
        <w:t xml:space="preserve">, en contra del </w:t>
      </w:r>
      <w:r w:rsidR="001149CD" w:rsidRPr="00C60184">
        <w:rPr>
          <w:rFonts w:ascii="Verdana" w:hAnsi="Verdana"/>
          <w:b/>
          <w:sz w:val="22"/>
          <w:szCs w:val="22"/>
        </w:rPr>
        <w:t>artículo 7.</w:t>
      </w:r>
      <w:r w:rsidR="001149CD">
        <w:rPr>
          <w:rFonts w:ascii="Verdana" w:hAnsi="Verdana"/>
          <w:b/>
          <w:sz w:val="22"/>
          <w:szCs w:val="22"/>
        </w:rPr>
        <w:t>1</w:t>
      </w:r>
      <w:r w:rsidR="001149CD" w:rsidRPr="00C60184">
        <w:rPr>
          <w:rFonts w:ascii="Verdana" w:hAnsi="Verdana"/>
          <w:b/>
          <w:sz w:val="22"/>
          <w:szCs w:val="22"/>
        </w:rPr>
        <w:t xml:space="preserve"> de la Sesión Ordinaria </w:t>
      </w:r>
      <w:r w:rsidR="001149CD">
        <w:rPr>
          <w:rFonts w:ascii="Verdana" w:hAnsi="Verdana"/>
          <w:b/>
          <w:sz w:val="22"/>
          <w:szCs w:val="22"/>
        </w:rPr>
        <w:t>21</w:t>
      </w:r>
      <w:r w:rsidR="001149CD" w:rsidRPr="00C60184">
        <w:rPr>
          <w:rFonts w:ascii="Verdana" w:hAnsi="Verdana"/>
          <w:b/>
          <w:sz w:val="22"/>
          <w:szCs w:val="22"/>
        </w:rPr>
        <w:t xml:space="preserve">-2020 del </w:t>
      </w:r>
      <w:r w:rsidR="001149CD">
        <w:rPr>
          <w:rFonts w:ascii="Verdana" w:hAnsi="Verdana"/>
          <w:b/>
          <w:sz w:val="22"/>
          <w:szCs w:val="22"/>
        </w:rPr>
        <w:t>17  de marzo</w:t>
      </w:r>
      <w:r w:rsidR="001149CD" w:rsidRPr="00C60184">
        <w:rPr>
          <w:rFonts w:ascii="Verdana" w:hAnsi="Verdana"/>
          <w:b/>
          <w:sz w:val="22"/>
          <w:szCs w:val="22"/>
        </w:rPr>
        <w:t xml:space="preserve"> de 2020</w:t>
      </w:r>
      <w:r w:rsidR="00956030" w:rsidRPr="00C60184">
        <w:rPr>
          <w:rFonts w:ascii="Verdana" w:hAnsi="Verdana"/>
          <w:sz w:val="22"/>
          <w:szCs w:val="22"/>
        </w:rPr>
        <w:t>, de la Junta Directiva del Consejo de Transporte Público</w:t>
      </w:r>
      <w:r w:rsidR="00956030">
        <w:rPr>
          <w:rFonts w:ascii="Verdana" w:hAnsi="Verdana"/>
          <w:b/>
          <w:sz w:val="22"/>
          <w:szCs w:val="22"/>
        </w:rPr>
        <w:t>.</w:t>
      </w:r>
    </w:p>
    <w:p w14:paraId="3B0068E8" w14:textId="77777777" w:rsidR="001149CD" w:rsidRDefault="001149CD" w:rsidP="00B524FC">
      <w:pPr>
        <w:spacing w:line="276" w:lineRule="auto"/>
        <w:jc w:val="both"/>
        <w:rPr>
          <w:rFonts w:ascii="Verdana" w:hAnsi="Verdana"/>
          <w:sz w:val="22"/>
          <w:szCs w:val="22"/>
        </w:rPr>
      </w:pPr>
    </w:p>
    <w:p w14:paraId="2DB6FECE" w14:textId="77777777" w:rsidR="00EE5A08" w:rsidRPr="00C60184" w:rsidRDefault="00EE5A08" w:rsidP="00EE5A08">
      <w:pPr>
        <w:spacing w:line="276" w:lineRule="auto"/>
        <w:jc w:val="both"/>
        <w:rPr>
          <w:rFonts w:ascii="Verdana" w:hAnsi="Verdana"/>
          <w:b/>
          <w:sz w:val="22"/>
          <w:szCs w:val="22"/>
        </w:rPr>
      </w:pPr>
      <w:r w:rsidRPr="00C60184">
        <w:rPr>
          <w:rFonts w:ascii="Verdana" w:hAnsi="Verdana"/>
          <w:b/>
          <w:sz w:val="22"/>
          <w:szCs w:val="22"/>
        </w:rPr>
        <w:t>II.</w:t>
      </w:r>
      <w:proofErr w:type="gramStart"/>
      <w:r w:rsidRPr="00C60184">
        <w:rPr>
          <w:rFonts w:ascii="Verdana" w:hAnsi="Verdana"/>
          <w:b/>
          <w:sz w:val="22"/>
          <w:szCs w:val="22"/>
        </w:rPr>
        <w:t xml:space="preserve">-  </w:t>
      </w:r>
      <w:r w:rsidRPr="00C60184">
        <w:rPr>
          <w:rFonts w:ascii="Verdana" w:hAnsi="Verdana"/>
          <w:sz w:val="22"/>
          <w:szCs w:val="22"/>
        </w:rPr>
        <w:t>De</w:t>
      </w:r>
      <w:proofErr w:type="gramEnd"/>
      <w:r w:rsidRPr="00C60184">
        <w:rPr>
          <w:rFonts w:ascii="Verdana" w:hAnsi="Verdana"/>
          <w:sz w:val="22"/>
          <w:szCs w:val="22"/>
        </w:rPr>
        <w:t xml:space="preserve"> conformidad con el artículo 22, inciso c), de la citada Ley 7969, la presente resolución no tiene ulterior recurso por lo que</w:t>
      </w:r>
      <w:r w:rsidRPr="00C60184">
        <w:rPr>
          <w:rFonts w:ascii="Verdana" w:hAnsi="Verdana"/>
          <w:b/>
          <w:sz w:val="22"/>
          <w:szCs w:val="22"/>
        </w:rPr>
        <w:t xml:space="preserve">,  </w:t>
      </w:r>
      <w:r w:rsidRPr="00C60184">
        <w:rPr>
          <w:rFonts w:ascii="Verdana" w:hAnsi="Verdana"/>
          <w:sz w:val="22"/>
          <w:szCs w:val="22"/>
        </w:rPr>
        <w:t>s</w:t>
      </w:r>
      <w:r w:rsidRPr="00C60184">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C60184">
        <w:rPr>
          <w:rFonts w:ascii="Verdana" w:hAnsi="Verdana"/>
          <w:sz w:val="22"/>
          <w:szCs w:val="22"/>
        </w:rPr>
        <w:t xml:space="preserve">. </w:t>
      </w:r>
      <w:r w:rsidRPr="00C60184">
        <w:rPr>
          <w:rFonts w:ascii="Verdana" w:hAnsi="Verdana"/>
          <w:b/>
          <w:sz w:val="22"/>
          <w:szCs w:val="22"/>
        </w:rPr>
        <w:t xml:space="preserve">NOTIFIQUESE. </w:t>
      </w:r>
    </w:p>
    <w:p w14:paraId="6059F9A7" w14:textId="77777777" w:rsidR="00EE5A08" w:rsidRPr="00C60184" w:rsidRDefault="00EE5A08" w:rsidP="00EE5A08">
      <w:pPr>
        <w:spacing w:line="276" w:lineRule="auto"/>
        <w:jc w:val="both"/>
        <w:rPr>
          <w:rFonts w:ascii="Verdana" w:hAnsi="Verdana"/>
          <w:b/>
          <w:sz w:val="22"/>
          <w:szCs w:val="22"/>
        </w:rPr>
      </w:pPr>
    </w:p>
    <w:p w14:paraId="76CB6D2E" w14:textId="77777777" w:rsidR="00EE5A08" w:rsidRPr="00C60184" w:rsidRDefault="00EE5A08" w:rsidP="00EE5A08">
      <w:pPr>
        <w:spacing w:line="276" w:lineRule="auto"/>
        <w:jc w:val="both"/>
        <w:rPr>
          <w:rFonts w:ascii="Verdana" w:hAnsi="Verdana"/>
          <w:b/>
          <w:sz w:val="22"/>
          <w:szCs w:val="22"/>
        </w:rPr>
      </w:pPr>
    </w:p>
    <w:p w14:paraId="75288507" w14:textId="77777777" w:rsidR="00EE5A08" w:rsidRPr="00DF446D" w:rsidRDefault="00EE5A08" w:rsidP="00EE5A08">
      <w:pPr>
        <w:spacing w:line="276" w:lineRule="auto"/>
        <w:jc w:val="center"/>
        <w:rPr>
          <w:rFonts w:ascii="Verdana" w:hAnsi="Verdana"/>
          <w:b/>
          <w:sz w:val="22"/>
          <w:szCs w:val="22"/>
        </w:rPr>
      </w:pPr>
      <w:r w:rsidRPr="00DF446D">
        <w:rPr>
          <w:rFonts w:ascii="Verdana" w:hAnsi="Verdana"/>
          <w:b/>
          <w:sz w:val="22"/>
          <w:szCs w:val="22"/>
        </w:rPr>
        <w:t>Lic. Ronald Muñoz Corea</w:t>
      </w:r>
    </w:p>
    <w:p w14:paraId="2E845F8C" w14:textId="77777777" w:rsidR="00EE5A08" w:rsidRPr="00DF446D" w:rsidRDefault="00EE5A08" w:rsidP="00EE5A08">
      <w:pPr>
        <w:spacing w:line="276" w:lineRule="auto"/>
        <w:jc w:val="center"/>
        <w:rPr>
          <w:rFonts w:ascii="Verdana" w:hAnsi="Verdana"/>
          <w:b/>
          <w:bCs/>
          <w:sz w:val="22"/>
          <w:szCs w:val="22"/>
        </w:rPr>
      </w:pPr>
      <w:r w:rsidRPr="00DF446D">
        <w:rPr>
          <w:rFonts w:ascii="Verdana" w:hAnsi="Verdana"/>
          <w:b/>
          <w:bCs/>
          <w:sz w:val="22"/>
          <w:szCs w:val="22"/>
        </w:rPr>
        <w:t>Presidente</w:t>
      </w:r>
    </w:p>
    <w:p w14:paraId="1DDB3717" w14:textId="77777777" w:rsidR="00EE5A08" w:rsidRPr="00DF446D" w:rsidRDefault="00EE5A08" w:rsidP="00EE5A08">
      <w:pPr>
        <w:spacing w:line="276" w:lineRule="auto"/>
        <w:jc w:val="both"/>
        <w:rPr>
          <w:rFonts w:ascii="Verdana" w:hAnsi="Verdana"/>
          <w:b/>
          <w:sz w:val="22"/>
          <w:szCs w:val="22"/>
        </w:rPr>
      </w:pPr>
      <w:r w:rsidRPr="00DF446D">
        <w:rPr>
          <w:rFonts w:ascii="Verdana" w:hAnsi="Verdana"/>
          <w:b/>
          <w:sz w:val="22"/>
          <w:szCs w:val="22"/>
        </w:rPr>
        <w:t xml:space="preserve"> </w:t>
      </w:r>
    </w:p>
    <w:p w14:paraId="7DDD31B0" w14:textId="77777777" w:rsidR="00EE5A08" w:rsidRPr="00C60184" w:rsidRDefault="00EE5A08" w:rsidP="00EE5A08">
      <w:pPr>
        <w:pStyle w:val="Ttulo1"/>
        <w:spacing w:line="276" w:lineRule="auto"/>
        <w:rPr>
          <w:rFonts w:ascii="Verdana" w:hAnsi="Verdana"/>
          <w:i/>
          <w:sz w:val="22"/>
          <w:szCs w:val="22"/>
        </w:rPr>
      </w:pPr>
      <w:r w:rsidRPr="00AE28B3">
        <w:rPr>
          <w:rFonts w:ascii="Verdana" w:hAnsi="Verdana"/>
          <w:color w:val="auto"/>
          <w:sz w:val="22"/>
          <w:szCs w:val="22"/>
        </w:rPr>
        <w:t xml:space="preserve">Licda. Maricela Villegas Herrera      Lic. Mario Quesada Aguirre            </w:t>
      </w:r>
    </w:p>
    <w:p w14:paraId="57F93176" w14:textId="14377B9E" w:rsidR="00B0507B" w:rsidRDefault="00EE5A08" w:rsidP="00C653AA">
      <w:pPr>
        <w:spacing w:line="276" w:lineRule="auto"/>
        <w:ind w:left="708" w:firstLine="708"/>
      </w:pPr>
      <w:r w:rsidRPr="00C60184">
        <w:rPr>
          <w:rFonts w:ascii="Verdana" w:hAnsi="Verdana"/>
          <w:b/>
          <w:sz w:val="22"/>
          <w:szCs w:val="22"/>
        </w:rPr>
        <w:t>Juez</w:t>
      </w:r>
      <w:r w:rsidR="00C653AA">
        <w:rPr>
          <w:rFonts w:ascii="Verdana" w:hAnsi="Verdana"/>
          <w:b/>
          <w:sz w:val="22"/>
          <w:szCs w:val="22"/>
        </w:rPr>
        <w:t xml:space="preserve">a </w:t>
      </w:r>
      <w:proofErr w:type="spellStart"/>
      <w:r w:rsidR="00C653AA">
        <w:rPr>
          <w:rFonts w:ascii="Verdana" w:hAnsi="Verdana"/>
          <w:b/>
          <w:sz w:val="22"/>
          <w:szCs w:val="22"/>
        </w:rPr>
        <w:t>a.i.</w:t>
      </w:r>
      <w:proofErr w:type="spellEnd"/>
      <w:r w:rsidRPr="00C60184">
        <w:rPr>
          <w:rFonts w:ascii="Verdana" w:hAnsi="Verdana"/>
          <w:b/>
          <w:sz w:val="22"/>
          <w:szCs w:val="22"/>
        </w:rPr>
        <w:t xml:space="preserve"> </w:t>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r w:rsidR="00AE28B3">
        <w:rPr>
          <w:rFonts w:ascii="Verdana" w:hAnsi="Verdana"/>
          <w:b/>
          <w:sz w:val="22"/>
          <w:szCs w:val="22"/>
        </w:rPr>
        <w:t xml:space="preserve">           </w:t>
      </w:r>
      <w:r w:rsidRPr="00C60184">
        <w:rPr>
          <w:rFonts w:ascii="Verdana" w:hAnsi="Verdana"/>
          <w:b/>
          <w:sz w:val="22"/>
          <w:szCs w:val="22"/>
        </w:rPr>
        <w:tab/>
        <w:t>Juez</w:t>
      </w:r>
    </w:p>
    <w:sectPr w:rsidR="00B0507B" w:rsidSect="000939ED">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97A82" w14:textId="77777777" w:rsidR="002825E7" w:rsidRDefault="002825E7">
      <w:r>
        <w:separator/>
      </w:r>
    </w:p>
  </w:endnote>
  <w:endnote w:type="continuationSeparator" w:id="0">
    <w:p w14:paraId="60FBC78D" w14:textId="77777777" w:rsidR="002825E7" w:rsidRDefault="0028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A50B" w14:textId="77777777" w:rsidR="002825E7" w:rsidRDefault="002825E7">
      <w:r>
        <w:separator/>
      </w:r>
    </w:p>
  </w:footnote>
  <w:footnote w:type="continuationSeparator" w:id="0">
    <w:p w14:paraId="65A3D6C6" w14:textId="77777777" w:rsidR="002825E7" w:rsidRDefault="0028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A4479"/>
    <w:multiLevelType w:val="hybridMultilevel"/>
    <w:tmpl w:val="3AC2940C"/>
    <w:lvl w:ilvl="0" w:tplc="FF2A9A8C">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AC7F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022F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9A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2B1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67F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24B4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1AE2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5221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08"/>
    <w:rsid w:val="001149CD"/>
    <w:rsid w:val="00115551"/>
    <w:rsid w:val="0018277B"/>
    <w:rsid w:val="00216590"/>
    <w:rsid w:val="002825E7"/>
    <w:rsid w:val="004D158E"/>
    <w:rsid w:val="005D4B0A"/>
    <w:rsid w:val="006969FC"/>
    <w:rsid w:val="007179C4"/>
    <w:rsid w:val="00762CB7"/>
    <w:rsid w:val="007A134D"/>
    <w:rsid w:val="009157CE"/>
    <w:rsid w:val="00956030"/>
    <w:rsid w:val="00971B9B"/>
    <w:rsid w:val="00A62970"/>
    <w:rsid w:val="00A63C03"/>
    <w:rsid w:val="00AE28B3"/>
    <w:rsid w:val="00B0507B"/>
    <w:rsid w:val="00B524FC"/>
    <w:rsid w:val="00BF06A4"/>
    <w:rsid w:val="00C653AA"/>
    <w:rsid w:val="00D405B0"/>
    <w:rsid w:val="00D77D96"/>
    <w:rsid w:val="00EE5A08"/>
    <w:rsid w:val="00F4436F"/>
    <w:rsid w:val="00F635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3A0F"/>
  <w15:chartTrackingRefBased/>
  <w15:docId w15:val="{3E8B792B-4D8F-4E4A-82DF-D3D7F50A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E5A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EE5A08"/>
    <w:pPr>
      <w:keepNext/>
      <w:jc w:val="center"/>
      <w:outlineLvl w:val="1"/>
    </w:pPr>
    <w:rPr>
      <w:b/>
      <w:szCs w:val="20"/>
      <w:lang w:val="es-MX"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5A08"/>
    <w:rPr>
      <w:rFonts w:asciiTheme="majorHAnsi" w:eastAsiaTheme="majorEastAsia" w:hAnsiTheme="majorHAnsi" w:cstheme="majorBidi"/>
      <w:b/>
      <w:bCs/>
      <w:color w:val="2F5496" w:themeColor="accent1" w:themeShade="BF"/>
      <w:sz w:val="28"/>
      <w:szCs w:val="28"/>
      <w:lang w:eastAsia="es-ES"/>
    </w:rPr>
  </w:style>
  <w:style w:type="character" w:customStyle="1" w:styleId="Ttulo2Car">
    <w:name w:val="Título 2 Car"/>
    <w:basedOn w:val="Fuentedeprrafopredeter"/>
    <w:link w:val="Ttulo2"/>
    <w:rsid w:val="00EE5A08"/>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EE5A08"/>
    <w:pPr>
      <w:tabs>
        <w:tab w:val="center" w:pos="4252"/>
        <w:tab w:val="right" w:pos="8504"/>
      </w:tabs>
    </w:pPr>
  </w:style>
  <w:style w:type="character" w:customStyle="1" w:styleId="PiedepginaCar">
    <w:name w:val="Pie de página Car"/>
    <w:basedOn w:val="Fuentedeprrafopredeter"/>
    <w:link w:val="Piedepgina"/>
    <w:rsid w:val="00EE5A08"/>
    <w:rPr>
      <w:rFonts w:ascii="Times New Roman" w:eastAsia="Times New Roman" w:hAnsi="Times New Roman" w:cs="Times New Roman"/>
      <w:sz w:val="24"/>
      <w:szCs w:val="24"/>
      <w:lang w:eastAsia="es-ES"/>
    </w:rPr>
  </w:style>
  <w:style w:type="character" w:styleId="Nmerodepgina">
    <w:name w:val="page number"/>
    <w:basedOn w:val="Fuentedeprrafopredeter"/>
    <w:rsid w:val="00EE5A08"/>
  </w:style>
  <w:style w:type="paragraph" w:styleId="Sinespaciado">
    <w:name w:val="No Spacing"/>
    <w:link w:val="SinespaciadoCar"/>
    <w:uiPriority w:val="1"/>
    <w:qFormat/>
    <w:rsid w:val="00EE5A08"/>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EE5A08"/>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rsid w:val="00B524FC"/>
    <w:pPr>
      <w:spacing w:after="120"/>
    </w:pPr>
    <w:rPr>
      <w:rFonts w:eastAsia="SimSun"/>
      <w:lang w:val="es-ES"/>
    </w:rPr>
  </w:style>
  <w:style w:type="character" w:customStyle="1" w:styleId="TextoindependienteCar">
    <w:name w:val="Texto independiente Car"/>
    <w:basedOn w:val="Fuentedeprrafopredeter"/>
    <w:link w:val="Textoindependiente"/>
    <w:rsid w:val="00B524FC"/>
    <w:rPr>
      <w:rFonts w:ascii="Times New Roman" w:eastAsia="SimSun" w:hAnsi="Times New Roman" w:cs="Times New Roman"/>
      <w:sz w:val="24"/>
      <w:szCs w:val="24"/>
      <w:lang w:val="es-ES" w:eastAsia="es-ES"/>
    </w:rPr>
  </w:style>
  <w:style w:type="paragraph" w:styleId="NormalWeb">
    <w:name w:val="Normal (Web)"/>
    <w:basedOn w:val="Normal"/>
    <w:uiPriority w:val="99"/>
    <w:rsid w:val="00B524FC"/>
    <w:pPr>
      <w:spacing w:before="100" w:beforeAutospacing="1" w:after="100" w:afterAutospacing="1"/>
    </w:pPr>
    <w:rPr>
      <w:lang w:val="es-ES"/>
    </w:rPr>
  </w:style>
  <w:style w:type="paragraph" w:styleId="Encabezado">
    <w:name w:val="header"/>
    <w:basedOn w:val="Normal"/>
    <w:link w:val="EncabezadoCar"/>
    <w:uiPriority w:val="99"/>
    <w:unhideWhenUsed/>
    <w:rsid w:val="0018277B"/>
    <w:pPr>
      <w:tabs>
        <w:tab w:val="center" w:pos="4419"/>
        <w:tab w:val="right" w:pos="8838"/>
      </w:tabs>
    </w:pPr>
  </w:style>
  <w:style w:type="character" w:customStyle="1" w:styleId="EncabezadoCar">
    <w:name w:val="Encabezado Car"/>
    <w:basedOn w:val="Fuentedeprrafopredeter"/>
    <w:link w:val="Encabezado"/>
    <w:uiPriority w:val="99"/>
    <w:rsid w:val="0018277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E28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8B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2020-10-23T18:20:00Z</cp:lastPrinted>
  <dcterms:created xsi:type="dcterms:W3CDTF">2021-02-09T16:04:00Z</dcterms:created>
  <dcterms:modified xsi:type="dcterms:W3CDTF">2021-02-09T16:04:00Z</dcterms:modified>
</cp:coreProperties>
</file>