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BF14" w14:textId="77777777" w:rsidR="00446016" w:rsidRPr="00436D53" w:rsidRDefault="00446016" w:rsidP="00446016">
      <w:pPr>
        <w:jc w:val="both"/>
        <w:rPr>
          <w:rFonts w:ascii="Verdana" w:hAnsi="Verdana"/>
          <w:sz w:val="22"/>
          <w:szCs w:val="22"/>
          <w:lang w:val="es-MX"/>
        </w:rPr>
      </w:pPr>
      <w:bookmarkStart w:id="0" w:name="_Hlk511125337"/>
    </w:p>
    <w:p w14:paraId="49C21DFC" w14:textId="08A940BE" w:rsidR="00446016" w:rsidRPr="00436D53" w:rsidRDefault="00446016" w:rsidP="00446016">
      <w:pPr>
        <w:jc w:val="center"/>
        <w:rPr>
          <w:rFonts w:ascii="Verdana" w:hAnsi="Verdana"/>
          <w:b/>
          <w:sz w:val="22"/>
          <w:szCs w:val="22"/>
          <w:lang w:val="es-MX"/>
        </w:rPr>
      </w:pPr>
      <w:r w:rsidRPr="00436D53">
        <w:rPr>
          <w:rFonts w:ascii="Verdana" w:hAnsi="Verdana"/>
          <w:b/>
          <w:sz w:val="22"/>
          <w:szCs w:val="22"/>
          <w:lang w:val="es-MX"/>
        </w:rPr>
        <w:t>RESOLUCION No. TAT-</w:t>
      </w:r>
      <w:r w:rsidR="00436D53" w:rsidRPr="00436D53">
        <w:rPr>
          <w:rFonts w:ascii="Verdana" w:hAnsi="Verdana"/>
          <w:b/>
          <w:sz w:val="22"/>
          <w:szCs w:val="22"/>
          <w:lang w:val="es-MX"/>
        </w:rPr>
        <w:t>3761</w:t>
      </w:r>
      <w:r w:rsidRPr="00436D53">
        <w:rPr>
          <w:rFonts w:ascii="Verdana" w:hAnsi="Verdana"/>
          <w:b/>
          <w:sz w:val="22"/>
          <w:szCs w:val="22"/>
          <w:lang w:val="es-MX"/>
        </w:rPr>
        <w:t>-2021</w:t>
      </w:r>
    </w:p>
    <w:p w14:paraId="37051D78" w14:textId="77777777" w:rsidR="00446016" w:rsidRPr="00436D53" w:rsidRDefault="00446016" w:rsidP="00446016">
      <w:pPr>
        <w:jc w:val="center"/>
        <w:rPr>
          <w:rFonts w:ascii="Verdana" w:hAnsi="Verdana"/>
          <w:sz w:val="22"/>
          <w:szCs w:val="22"/>
          <w:lang w:val="es-MX"/>
        </w:rPr>
      </w:pPr>
    </w:p>
    <w:p w14:paraId="5A486506" w14:textId="77777777" w:rsidR="00446016" w:rsidRPr="00436D53" w:rsidRDefault="00446016" w:rsidP="00446016">
      <w:pPr>
        <w:jc w:val="both"/>
        <w:rPr>
          <w:rFonts w:ascii="Verdana" w:hAnsi="Verdana"/>
          <w:sz w:val="22"/>
          <w:szCs w:val="22"/>
        </w:rPr>
      </w:pPr>
    </w:p>
    <w:p w14:paraId="26588E9E" w14:textId="78DF2503" w:rsidR="00446016" w:rsidRPr="00436D53" w:rsidRDefault="00446016" w:rsidP="00446016">
      <w:pPr>
        <w:jc w:val="both"/>
        <w:rPr>
          <w:rFonts w:ascii="Verdana" w:hAnsi="Verdana"/>
          <w:sz w:val="22"/>
          <w:szCs w:val="22"/>
        </w:rPr>
      </w:pPr>
      <w:r w:rsidRPr="00436D53">
        <w:rPr>
          <w:rFonts w:ascii="Verdana" w:hAnsi="Verdana"/>
          <w:b/>
          <w:sz w:val="22"/>
          <w:szCs w:val="22"/>
        </w:rPr>
        <w:t xml:space="preserve">TRIBUNAL ADMINISTRATIVO DE TRANSPORTE.  </w:t>
      </w:r>
      <w:r w:rsidRPr="00436D53">
        <w:rPr>
          <w:rFonts w:ascii="Verdana" w:hAnsi="Verdana"/>
          <w:sz w:val="22"/>
          <w:szCs w:val="22"/>
        </w:rPr>
        <w:t xml:space="preserve">San José, a las </w:t>
      </w:r>
      <w:r w:rsidR="00436D53" w:rsidRPr="00436D53">
        <w:rPr>
          <w:rFonts w:ascii="Verdana" w:hAnsi="Verdana"/>
          <w:sz w:val="22"/>
          <w:szCs w:val="22"/>
        </w:rPr>
        <w:t>diez horas treinta minutos del diecinueve de marzo de</w:t>
      </w:r>
      <w:r w:rsidRPr="00436D53">
        <w:rPr>
          <w:rFonts w:ascii="Verdana" w:hAnsi="Verdana"/>
          <w:sz w:val="22"/>
          <w:szCs w:val="22"/>
        </w:rPr>
        <w:t xml:space="preserve"> dos mil </w:t>
      </w:r>
      <w:r w:rsidR="00436D53" w:rsidRPr="00436D53">
        <w:rPr>
          <w:rFonts w:ascii="Verdana" w:hAnsi="Verdana"/>
          <w:sz w:val="22"/>
          <w:szCs w:val="22"/>
        </w:rPr>
        <w:t>V</w:t>
      </w:r>
      <w:r w:rsidRPr="00436D53">
        <w:rPr>
          <w:rFonts w:ascii="Verdana" w:hAnsi="Verdana"/>
          <w:sz w:val="22"/>
          <w:szCs w:val="22"/>
        </w:rPr>
        <w:t xml:space="preserve">eintiuno. -   </w:t>
      </w:r>
    </w:p>
    <w:p w14:paraId="2E640B68" w14:textId="77777777" w:rsidR="00446016" w:rsidRPr="00436D53" w:rsidRDefault="00446016" w:rsidP="00446016">
      <w:pPr>
        <w:jc w:val="both"/>
        <w:rPr>
          <w:rFonts w:ascii="Verdana" w:hAnsi="Verdana"/>
          <w:b/>
          <w:sz w:val="22"/>
          <w:szCs w:val="22"/>
        </w:rPr>
      </w:pPr>
    </w:p>
    <w:p w14:paraId="4F165D9C" w14:textId="282410BD" w:rsidR="00446016" w:rsidRPr="00436D53" w:rsidRDefault="00446016" w:rsidP="00446016">
      <w:pPr>
        <w:jc w:val="both"/>
        <w:rPr>
          <w:rFonts w:ascii="Verdana" w:hAnsi="Verdana"/>
          <w:sz w:val="22"/>
          <w:szCs w:val="22"/>
          <w:lang w:val="es-MX"/>
        </w:rPr>
      </w:pPr>
      <w:bookmarkStart w:id="1" w:name="_Hlk511118613"/>
      <w:r w:rsidRPr="00436D53">
        <w:rPr>
          <w:rFonts w:ascii="Verdana" w:hAnsi="Verdana"/>
          <w:b/>
          <w:sz w:val="22"/>
          <w:szCs w:val="22"/>
        </w:rPr>
        <w:t>Recurso de Revocatoria con Apelación en subsidio</w:t>
      </w:r>
      <w:r w:rsidRPr="00436D53">
        <w:rPr>
          <w:rFonts w:ascii="Verdana" w:hAnsi="Verdana"/>
          <w:sz w:val="22"/>
          <w:szCs w:val="22"/>
        </w:rPr>
        <w:t xml:space="preserve">, interpuesto por </w:t>
      </w:r>
      <w:r w:rsidRPr="00436D53">
        <w:rPr>
          <w:rFonts w:ascii="Verdana" w:hAnsi="Verdana"/>
          <w:b/>
          <w:smallCaps/>
          <w:sz w:val="22"/>
          <w:szCs w:val="22"/>
        </w:rPr>
        <w:t>S</w:t>
      </w:r>
      <w:r w:rsidR="00EA7936">
        <w:rPr>
          <w:rFonts w:ascii="Verdana" w:hAnsi="Verdana"/>
          <w:b/>
          <w:smallCaps/>
          <w:sz w:val="22"/>
          <w:szCs w:val="22"/>
        </w:rPr>
        <w:t>.H.V.R.</w:t>
      </w:r>
      <w:r w:rsidRPr="00436D53">
        <w:rPr>
          <w:rFonts w:ascii="Verdana" w:hAnsi="Verdana"/>
          <w:b/>
          <w:smallCaps/>
          <w:sz w:val="22"/>
          <w:szCs w:val="22"/>
        </w:rPr>
        <w:t>,</w:t>
      </w:r>
      <w:r w:rsidRPr="00436D53">
        <w:rPr>
          <w:rFonts w:ascii="Verdana" w:hAnsi="Verdana"/>
          <w:b/>
          <w:sz w:val="22"/>
          <w:szCs w:val="22"/>
        </w:rPr>
        <w:t xml:space="preserve"> cédula de identidad número </w:t>
      </w:r>
      <w:r w:rsidR="00EA7936">
        <w:rPr>
          <w:rFonts w:ascii="Verdana" w:hAnsi="Verdana"/>
          <w:b/>
          <w:sz w:val="22"/>
          <w:szCs w:val="22"/>
        </w:rPr>
        <w:t>…</w:t>
      </w:r>
      <w:r w:rsidRPr="00436D53">
        <w:rPr>
          <w:rFonts w:ascii="Verdana" w:hAnsi="Verdana"/>
          <w:sz w:val="22"/>
          <w:szCs w:val="22"/>
        </w:rPr>
        <w:t>, contra</w:t>
      </w:r>
      <w:r w:rsidRPr="00436D53">
        <w:rPr>
          <w:rFonts w:ascii="Verdana" w:hAnsi="Verdana"/>
          <w:b/>
          <w:sz w:val="22"/>
          <w:szCs w:val="22"/>
        </w:rPr>
        <w:t xml:space="preserve"> </w:t>
      </w:r>
      <w:r w:rsidRPr="00436D53">
        <w:rPr>
          <w:rFonts w:ascii="Verdana" w:hAnsi="Verdana"/>
          <w:sz w:val="22"/>
          <w:szCs w:val="22"/>
        </w:rPr>
        <w:t xml:space="preserve">el </w:t>
      </w:r>
      <w:r w:rsidRPr="00436D53">
        <w:rPr>
          <w:rFonts w:ascii="Verdana" w:hAnsi="Verdana"/>
          <w:b/>
          <w:sz w:val="22"/>
          <w:szCs w:val="22"/>
        </w:rPr>
        <w:t xml:space="preserve">artículo 3.1 de la Sesión Ordinaria 22-2018 de 9 de </w:t>
      </w:r>
      <w:r w:rsidR="00B047F1" w:rsidRPr="00436D53">
        <w:rPr>
          <w:rFonts w:ascii="Verdana" w:hAnsi="Verdana"/>
          <w:b/>
          <w:sz w:val="22"/>
          <w:szCs w:val="22"/>
        </w:rPr>
        <w:t>agosto de</w:t>
      </w:r>
      <w:r w:rsidRPr="00436D53">
        <w:rPr>
          <w:rFonts w:ascii="Verdana" w:hAnsi="Verdana"/>
          <w:b/>
          <w:sz w:val="22"/>
          <w:szCs w:val="22"/>
        </w:rPr>
        <w:t xml:space="preserve"> 2018</w:t>
      </w:r>
      <w:r w:rsidRPr="00436D53">
        <w:rPr>
          <w:rFonts w:ascii="Verdana" w:hAnsi="Verdana"/>
          <w:sz w:val="22"/>
          <w:szCs w:val="22"/>
        </w:rPr>
        <w:t xml:space="preserve">, dictado por la Junta Directiva del Consejo de Transporte Público.  El caso es tramitado en este despacho bajo </w:t>
      </w:r>
      <w:r w:rsidRPr="00436D53">
        <w:rPr>
          <w:rFonts w:ascii="Verdana" w:hAnsi="Verdana"/>
          <w:b/>
          <w:sz w:val="22"/>
          <w:szCs w:val="22"/>
        </w:rPr>
        <w:t>Expediente Administrativo No. TAT-00</w:t>
      </w:r>
      <w:r w:rsidR="000E692C" w:rsidRPr="00436D53">
        <w:rPr>
          <w:rFonts w:ascii="Verdana" w:hAnsi="Verdana"/>
          <w:b/>
          <w:sz w:val="22"/>
          <w:szCs w:val="22"/>
        </w:rPr>
        <w:t>6</w:t>
      </w:r>
      <w:r w:rsidRPr="00436D53">
        <w:rPr>
          <w:rFonts w:ascii="Verdana" w:hAnsi="Verdana"/>
          <w:b/>
          <w:sz w:val="22"/>
          <w:szCs w:val="22"/>
        </w:rPr>
        <w:t>-21.</w:t>
      </w:r>
      <w:r w:rsidRPr="00436D53">
        <w:rPr>
          <w:rFonts w:ascii="Verdana" w:hAnsi="Verdana"/>
          <w:sz w:val="22"/>
          <w:szCs w:val="22"/>
        </w:rPr>
        <w:t xml:space="preserve"> </w:t>
      </w:r>
    </w:p>
    <w:p w14:paraId="258D5C6A" w14:textId="77777777" w:rsidR="00EA7936" w:rsidRDefault="00EA7936" w:rsidP="00446016">
      <w:pPr>
        <w:jc w:val="center"/>
        <w:rPr>
          <w:rFonts w:ascii="Verdana" w:hAnsi="Verdana"/>
          <w:b/>
          <w:sz w:val="22"/>
          <w:szCs w:val="22"/>
          <w:lang w:val="es-MX"/>
        </w:rPr>
      </w:pPr>
    </w:p>
    <w:p w14:paraId="281218CB" w14:textId="0AA2E08E" w:rsidR="00446016" w:rsidRPr="00436D53" w:rsidRDefault="00446016" w:rsidP="00446016">
      <w:pPr>
        <w:jc w:val="center"/>
        <w:rPr>
          <w:rFonts w:ascii="Verdana" w:hAnsi="Verdana"/>
          <w:b/>
          <w:sz w:val="22"/>
          <w:szCs w:val="22"/>
          <w:lang w:val="es-MX"/>
        </w:rPr>
      </w:pPr>
      <w:r w:rsidRPr="00436D53">
        <w:rPr>
          <w:rFonts w:ascii="Verdana" w:hAnsi="Verdana"/>
          <w:b/>
          <w:sz w:val="22"/>
          <w:szCs w:val="22"/>
          <w:lang w:val="es-MX"/>
        </w:rPr>
        <w:t>RESULTANDO</w:t>
      </w:r>
    </w:p>
    <w:p w14:paraId="594DE588" w14:textId="77777777" w:rsidR="00446016" w:rsidRPr="00436D53" w:rsidRDefault="00446016" w:rsidP="00446016">
      <w:pPr>
        <w:jc w:val="both"/>
        <w:rPr>
          <w:rFonts w:ascii="Verdana" w:hAnsi="Verdana"/>
          <w:sz w:val="22"/>
          <w:szCs w:val="22"/>
          <w:lang w:val="es-MX"/>
        </w:rPr>
      </w:pPr>
    </w:p>
    <w:p w14:paraId="1C6B7EAE" w14:textId="45BB9708" w:rsidR="00446016" w:rsidRPr="00436D53" w:rsidRDefault="00446016" w:rsidP="00446016">
      <w:pPr>
        <w:jc w:val="both"/>
        <w:rPr>
          <w:rFonts w:ascii="Verdana" w:hAnsi="Verdana"/>
          <w:sz w:val="22"/>
          <w:szCs w:val="22"/>
          <w:lang w:val="es-MX"/>
        </w:rPr>
      </w:pPr>
      <w:r w:rsidRPr="00436D53">
        <w:rPr>
          <w:rFonts w:ascii="Verdana" w:hAnsi="Verdana"/>
          <w:b/>
          <w:sz w:val="22"/>
          <w:szCs w:val="22"/>
          <w:lang w:val="es-MX"/>
        </w:rPr>
        <w:t>PRIMERO:</w:t>
      </w:r>
      <w:r w:rsidRPr="00436D53">
        <w:rPr>
          <w:rFonts w:ascii="Verdana" w:hAnsi="Verdana"/>
          <w:sz w:val="22"/>
          <w:szCs w:val="22"/>
          <w:lang w:val="es-MX"/>
        </w:rPr>
        <w:t xml:space="preserve"> </w:t>
      </w:r>
      <w:r w:rsidRPr="00436D53">
        <w:rPr>
          <w:rFonts w:ascii="Verdana" w:hAnsi="Verdana"/>
          <w:sz w:val="22"/>
          <w:szCs w:val="22"/>
        </w:rPr>
        <w:t xml:space="preserve">La </w:t>
      </w:r>
      <w:r w:rsidRPr="00436D53">
        <w:rPr>
          <w:rFonts w:ascii="Verdana" w:hAnsi="Verdana"/>
          <w:smallCaps/>
          <w:sz w:val="22"/>
          <w:szCs w:val="22"/>
        </w:rPr>
        <w:t xml:space="preserve">Junta Directiva del Consejo de Transporte Público, </w:t>
      </w:r>
      <w:r w:rsidRPr="00436D53">
        <w:rPr>
          <w:rFonts w:ascii="Verdana" w:hAnsi="Verdana"/>
          <w:sz w:val="22"/>
          <w:szCs w:val="22"/>
          <w:lang w:val="es-MX"/>
        </w:rPr>
        <w:t xml:space="preserve">mediante </w:t>
      </w:r>
      <w:r w:rsidR="000E692C" w:rsidRPr="00436D53">
        <w:rPr>
          <w:rFonts w:ascii="Verdana" w:hAnsi="Verdana"/>
          <w:b/>
          <w:sz w:val="22"/>
          <w:szCs w:val="22"/>
        </w:rPr>
        <w:t xml:space="preserve">artículo 3.1 de la Sesión Ordinaria 22-2018 de 9 de </w:t>
      </w:r>
      <w:r w:rsidR="00B047F1" w:rsidRPr="00436D53">
        <w:rPr>
          <w:rFonts w:ascii="Verdana" w:hAnsi="Verdana"/>
          <w:b/>
          <w:sz w:val="22"/>
          <w:szCs w:val="22"/>
        </w:rPr>
        <w:t>agosto de</w:t>
      </w:r>
      <w:r w:rsidR="000E692C" w:rsidRPr="00436D53">
        <w:rPr>
          <w:rFonts w:ascii="Verdana" w:hAnsi="Verdana"/>
          <w:b/>
          <w:sz w:val="22"/>
          <w:szCs w:val="22"/>
        </w:rPr>
        <w:t xml:space="preserve"> 2018</w:t>
      </w:r>
      <w:r w:rsidRPr="00436D53">
        <w:rPr>
          <w:rFonts w:ascii="Verdana" w:hAnsi="Verdana"/>
          <w:sz w:val="22"/>
          <w:szCs w:val="22"/>
        </w:rPr>
        <w:t xml:space="preserve">, acuerda </w:t>
      </w:r>
      <w:r w:rsidRPr="00436D53">
        <w:rPr>
          <w:rFonts w:ascii="Verdana" w:hAnsi="Verdana"/>
          <w:i/>
          <w:sz w:val="22"/>
          <w:szCs w:val="22"/>
        </w:rPr>
        <w:t>“</w:t>
      </w:r>
      <w:r w:rsidR="000E692C" w:rsidRPr="00436D53">
        <w:rPr>
          <w:rFonts w:ascii="Verdana" w:hAnsi="Verdana"/>
          <w:i/>
          <w:sz w:val="22"/>
          <w:szCs w:val="22"/>
        </w:rPr>
        <w:t>(…)</w:t>
      </w:r>
      <w:r w:rsidR="000E692C" w:rsidRPr="00436D53">
        <w:rPr>
          <w:rFonts w:ascii="Verdana" w:hAnsi="Verdana" w:cs="Arial"/>
          <w:i/>
          <w:iCs/>
          <w:sz w:val="22"/>
          <w:szCs w:val="22"/>
        </w:rPr>
        <w:t xml:space="preserve">2. Desestimar parcialmente la denuncia debido a que según el estudio de campo realizado no se logró determinar lo indicado en la denuncia respecto al maltrato a los usuarios, recargo de unidades, conductores conversando por celular mientras conducían, ni el incumplimiento de recorrido. 3. Ordenar a la empresa </w:t>
      </w:r>
      <w:r w:rsidR="000E692C" w:rsidRPr="00436D53">
        <w:rPr>
          <w:rFonts w:ascii="Verdana" w:hAnsi="Verdana" w:cs="Arial"/>
          <w:b/>
          <w:bCs/>
          <w:i/>
          <w:iCs/>
          <w:sz w:val="22"/>
          <w:szCs w:val="22"/>
        </w:rPr>
        <w:t>T</w:t>
      </w:r>
      <w:r w:rsidR="00EA7936">
        <w:rPr>
          <w:rFonts w:ascii="Verdana" w:hAnsi="Verdana" w:cs="Arial"/>
          <w:b/>
          <w:bCs/>
          <w:i/>
          <w:iCs/>
          <w:sz w:val="22"/>
          <w:szCs w:val="22"/>
        </w:rPr>
        <w:t>.F.Z.E.H.S.A.</w:t>
      </w:r>
      <w:r w:rsidR="000E692C" w:rsidRPr="00436D53">
        <w:rPr>
          <w:rFonts w:ascii="Verdana" w:hAnsi="Verdana" w:cs="Arial"/>
          <w:i/>
          <w:iCs/>
          <w:sz w:val="22"/>
          <w:szCs w:val="22"/>
        </w:rPr>
        <w:t xml:space="preserve">, operadora de la Ruta No.217, que si bien es cierto por necesidad brinda más servicios de los autorizados, debe brindar los servicios autorizados de conformidad con las frecuencias que tiene establecidas por este Consejo según el artículo </w:t>
      </w:r>
      <w:proofErr w:type="spellStart"/>
      <w:r w:rsidR="000E692C" w:rsidRPr="00436D53">
        <w:rPr>
          <w:rFonts w:ascii="Verdana" w:hAnsi="Verdana" w:cs="Arial"/>
          <w:i/>
          <w:iCs/>
          <w:sz w:val="22"/>
          <w:szCs w:val="22"/>
        </w:rPr>
        <w:t>Nº</w:t>
      </w:r>
      <w:proofErr w:type="spellEnd"/>
      <w:r w:rsidR="000E692C" w:rsidRPr="00436D53">
        <w:rPr>
          <w:rFonts w:ascii="Verdana" w:hAnsi="Verdana" w:cs="Arial"/>
          <w:i/>
          <w:iCs/>
          <w:sz w:val="22"/>
          <w:szCs w:val="22"/>
        </w:rPr>
        <w:t xml:space="preserve"> 19, de la sesión ordinaria 38-2001, de la Junta Directiva del Consejo de Transporte Público del 16 de octubre de 2001. </w:t>
      </w:r>
      <w:r w:rsidR="000E692C" w:rsidRPr="00436D53">
        <w:rPr>
          <w:rFonts w:ascii="Verdana" w:hAnsi="Verdana" w:cs="Arial"/>
          <w:b/>
          <w:bCs/>
          <w:i/>
          <w:iCs/>
          <w:sz w:val="22"/>
          <w:szCs w:val="22"/>
        </w:rPr>
        <w:t xml:space="preserve">De acatamiento inmediato. </w:t>
      </w:r>
      <w:r w:rsidR="000E692C" w:rsidRPr="00436D53">
        <w:rPr>
          <w:rFonts w:ascii="Verdana" w:hAnsi="Verdana" w:cs="Arial"/>
          <w:i/>
          <w:iCs/>
          <w:sz w:val="22"/>
          <w:szCs w:val="22"/>
        </w:rPr>
        <w:t xml:space="preserve">4. Reiterar a la empresa </w:t>
      </w:r>
      <w:r w:rsidR="000E692C" w:rsidRPr="00436D53">
        <w:rPr>
          <w:rFonts w:ascii="Verdana" w:hAnsi="Verdana" w:cs="Arial"/>
          <w:b/>
          <w:bCs/>
          <w:i/>
          <w:iCs/>
          <w:sz w:val="22"/>
          <w:szCs w:val="22"/>
        </w:rPr>
        <w:t>T</w:t>
      </w:r>
      <w:r w:rsidR="00EA7936">
        <w:rPr>
          <w:rFonts w:ascii="Verdana" w:hAnsi="Verdana" w:cs="Arial"/>
          <w:b/>
          <w:bCs/>
          <w:i/>
          <w:iCs/>
          <w:sz w:val="22"/>
          <w:szCs w:val="22"/>
        </w:rPr>
        <w:t>.F.Z.E.H.S.A.</w:t>
      </w:r>
      <w:r w:rsidR="000E692C" w:rsidRPr="00436D53">
        <w:rPr>
          <w:rFonts w:ascii="Verdana" w:hAnsi="Verdana" w:cs="Arial"/>
          <w:i/>
          <w:iCs/>
          <w:sz w:val="22"/>
          <w:szCs w:val="22"/>
        </w:rPr>
        <w:t xml:space="preserve">, sobre la importancia de que los conductores de unidades de transporte público brinden un servicio de calidad a los usuarios y de conformidad con la normativa vigente. </w:t>
      </w:r>
      <w:r w:rsidR="000E692C" w:rsidRPr="00436D53">
        <w:rPr>
          <w:rFonts w:ascii="Verdana" w:hAnsi="Verdana" w:cs="Arial"/>
          <w:b/>
          <w:bCs/>
          <w:i/>
          <w:iCs/>
          <w:sz w:val="22"/>
          <w:szCs w:val="22"/>
        </w:rPr>
        <w:t xml:space="preserve">De acatamiento inmediato. </w:t>
      </w:r>
      <w:r w:rsidR="000E692C" w:rsidRPr="00436D53">
        <w:rPr>
          <w:rFonts w:ascii="Verdana" w:hAnsi="Verdana" w:cs="Arial"/>
          <w:i/>
          <w:iCs/>
          <w:sz w:val="22"/>
          <w:szCs w:val="22"/>
        </w:rPr>
        <w:t xml:space="preserve">5. Ordenar a la empresa </w:t>
      </w:r>
      <w:r w:rsidR="000E692C" w:rsidRPr="00436D53">
        <w:rPr>
          <w:rFonts w:ascii="Verdana" w:hAnsi="Verdana" w:cs="Arial"/>
          <w:b/>
          <w:bCs/>
          <w:i/>
          <w:iCs/>
          <w:sz w:val="22"/>
          <w:szCs w:val="22"/>
        </w:rPr>
        <w:t>T</w:t>
      </w:r>
      <w:r w:rsidR="00EA7936">
        <w:rPr>
          <w:rFonts w:ascii="Verdana" w:hAnsi="Verdana" w:cs="Arial"/>
          <w:b/>
          <w:bCs/>
          <w:i/>
          <w:iCs/>
          <w:sz w:val="22"/>
          <w:szCs w:val="22"/>
        </w:rPr>
        <w:t>.F.Z.E.H.S.A.</w:t>
      </w:r>
      <w:r w:rsidR="000E692C" w:rsidRPr="00436D53">
        <w:rPr>
          <w:rFonts w:ascii="Verdana" w:hAnsi="Verdana" w:cs="Arial"/>
          <w:i/>
          <w:iCs/>
          <w:sz w:val="22"/>
          <w:szCs w:val="22"/>
        </w:rPr>
        <w:t xml:space="preserve">, que brinda el servicio en la Ruta No.217, rotular todas las unidades con la información de origen destino de la ruta a la que pertenecen. </w:t>
      </w:r>
      <w:r w:rsidR="000E692C" w:rsidRPr="00436D53">
        <w:rPr>
          <w:rFonts w:ascii="Verdana" w:hAnsi="Verdana" w:cs="Arial"/>
          <w:b/>
          <w:bCs/>
          <w:i/>
          <w:iCs/>
          <w:sz w:val="22"/>
          <w:szCs w:val="22"/>
        </w:rPr>
        <w:t xml:space="preserve">De acatamiento inmediato. </w:t>
      </w:r>
      <w:r w:rsidR="000E692C" w:rsidRPr="00436D53">
        <w:rPr>
          <w:rFonts w:ascii="Verdana" w:hAnsi="Verdana" w:cs="Arial"/>
          <w:i/>
          <w:iCs/>
          <w:sz w:val="22"/>
          <w:szCs w:val="22"/>
        </w:rPr>
        <w:t>6. Solicitar al Departamento de Ingeniería del Consejo de Transporte Público a efecto de atender lo referente a la flota, análisis de los horarios y fraccionamiento de tarifa de la ruta 217(…)</w:t>
      </w:r>
      <w:r w:rsidRPr="00436D53">
        <w:rPr>
          <w:rFonts w:ascii="Verdana" w:hAnsi="Verdana"/>
          <w:i/>
          <w:sz w:val="22"/>
          <w:szCs w:val="22"/>
        </w:rPr>
        <w:t xml:space="preserve">.” </w:t>
      </w:r>
      <w:r w:rsidRPr="00436D53">
        <w:rPr>
          <w:rFonts w:ascii="Verdana" w:hAnsi="Verdana"/>
          <w:sz w:val="22"/>
          <w:szCs w:val="22"/>
          <w:lang w:val="es-MX"/>
        </w:rPr>
        <w:t xml:space="preserve">(Léase folio </w:t>
      </w:r>
      <w:r w:rsidR="000E692C" w:rsidRPr="00436D53">
        <w:rPr>
          <w:rFonts w:ascii="Verdana" w:hAnsi="Verdana"/>
          <w:sz w:val="22"/>
          <w:szCs w:val="22"/>
          <w:lang w:val="es-MX"/>
        </w:rPr>
        <w:t xml:space="preserve">16 </w:t>
      </w:r>
      <w:r w:rsidRPr="00436D53">
        <w:rPr>
          <w:rFonts w:ascii="Verdana" w:hAnsi="Verdana"/>
          <w:sz w:val="22"/>
          <w:szCs w:val="22"/>
          <w:lang w:val="es-MX"/>
        </w:rPr>
        <w:t>del expediente administrativo)</w:t>
      </w:r>
    </w:p>
    <w:p w14:paraId="62E79EBE" w14:textId="77777777" w:rsidR="00446016" w:rsidRPr="00436D53" w:rsidRDefault="00446016" w:rsidP="00446016">
      <w:pPr>
        <w:jc w:val="both"/>
        <w:rPr>
          <w:rFonts w:ascii="Verdana" w:hAnsi="Verdana"/>
          <w:b/>
          <w:sz w:val="22"/>
          <w:szCs w:val="22"/>
          <w:lang w:val="es-MX"/>
        </w:rPr>
      </w:pPr>
    </w:p>
    <w:p w14:paraId="6AC1CE71" w14:textId="3746D38F" w:rsidR="00446016" w:rsidRPr="00436D53" w:rsidRDefault="00446016" w:rsidP="00446016">
      <w:pPr>
        <w:jc w:val="both"/>
        <w:rPr>
          <w:rFonts w:ascii="Verdana" w:hAnsi="Verdana"/>
          <w:sz w:val="22"/>
          <w:szCs w:val="22"/>
          <w:lang w:val="es-MX"/>
        </w:rPr>
      </w:pPr>
      <w:r w:rsidRPr="00436D53">
        <w:rPr>
          <w:rFonts w:ascii="Verdana" w:hAnsi="Verdana"/>
          <w:b/>
          <w:sz w:val="22"/>
          <w:szCs w:val="22"/>
          <w:lang w:val="es-MX"/>
        </w:rPr>
        <w:t xml:space="preserve">SEGUNDO: </w:t>
      </w:r>
      <w:r w:rsidRPr="00436D53">
        <w:rPr>
          <w:rFonts w:ascii="Verdana" w:hAnsi="Verdana"/>
          <w:sz w:val="22"/>
          <w:szCs w:val="22"/>
          <w:lang w:val="es-MX"/>
        </w:rPr>
        <w:t>El recurrente indica en su libelo lo siguiente: (Léanse folios 1</w:t>
      </w:r>
      <w:r w:rsidR="000E692C" w:rsidRPr="00436D53">
        <w:rPr>
          <w:rFonts w:ascii="Verdana" w:hAnsi="Verdana"/>
          <w:sz w:val="22"/>
          <w:szCs w:val="22"/>
          <w:lang w:val="es-MX"/>
        </w:rPr>
        <w:t>3</w:t>
      </w:r>
      <w:r w:rsidRPr="00436D53">
        <w:rPr>
          <w:rFonts w:ascii="Verdana" w:hAnsi="Verdana"/>
          <w:sz w:val="22"/>
          <w:szCs w:val="22"/>
          <w:lang w:val="es-MX"/>
        </w:rPr>
        <w:t xml:space="preserve"> vuelto </w:t>
      </w:r>
      <w:r w:rsidR="000E692C" w:rsidRPr="00436D53">
        <w:rPr>
          <w:rFonts w:ascii="Verdana" w:hAnsi="Verdana"/>
          <w:sz w:val="22"/>
          <w:szCs w:val="22"/>
          <w:lang w:val="es-MX"/>
        </w:rPr>
        <w:t>al 15</w:t>
      </w:r>
      <w:r w:rsidRPr="00436D53">
        <w:rPr>
          <w:rFonts w:ascii="Verdana" w:hAnsi="Verdana"/>
          <w:sz w:val="22"/>
          <w:szCs w:val="22"/>
          <w:lang w:val="es-MX"/>
        </w:rPr>
        <w:t xml:space="preserve"> del expediente administrativo)</w:t>
      </w:r>
    </w:p>
    <w:p w14:paraId="2819A2B7" w14:textId="77777777" w:rsidR="00446016" w:rsidRPr="00436D53" w:rsidRDefault="00446016" w:rsidP="00446016">
      <w:pPr>
        <w:jc w:val="both"/>
        <w:rPr>
          <w:rFonts w:ascii="Verdana" w:hAnsi="Verdana"/>
          <w:sz w:val="22"/>
          <w:szCs w:val="22"/>
          <w:lang w:val="es-MX"/>
        </w:rPr>
      </w:pPr>
    </w:p>
    <w:p w14:paraId="7A83FBE7" w14:textId="388CDE30" w:rsidR="00446016" w:rsidRPr="00436D53" w:rsidRDefault="00446016" w:rsidP="00446016">
      <w:pPr>
        <w:jc w:val="both"/>
        <w:rPr>
          <w:rFonts w:ascii="Verdana" w:hAnsi="Verdana"/>
          <w:sz w:val="22"/>
          <w:szCs w:val="22"/>
          <w:lang w:val="es-MX"/>
        </w:rPr>
      </w:pPr>
      <w:r w:rsidRPr="00436D53">
        <w:rPr>
          <w:rFonts w:ascii="Verdana" w:hAnsi="Verdana"/>
          <w:sz w:val="22"/>
          <w:szCs w:val="22"/>
          <w:lang w:val="es-MX"/>
        </w:rPr>
        <w:t>a</w:t>
      </w:r>
      <w:r w:rsidR="00B047F1" w:rsidRPr="00436D53">
        <w:rPr>
          <w:rFonts w:ascii="Verdana" w:hAnsi="Verdana"/>
          <w:sz w:val="22"/>
          <w:szCs w:val="22"/>
          <w:lang w:val="es-MX"/>
        </w:rPr>
        <w:t>). -</w:t>
      </w:r>
      <w:r w:rsidRPr="00436D53">
        <w:rPr>
          <w:rFonts w:ascii="Verdana" w:hAnsi="Verdana"/>
          <w:sz w:val="22"/>
          <w:szCs w:val="22"/>
          <w:lang w:val="es-MX"/>
        </w:rPr>
        <w:t xml:space="preserve"> </w:t>
      </w:r>
      <w:r w:rsidR="000E692C" w:rsidRPr="00436D53">
        <w:rPr>
          <w:rFonts w:ascii="Verdana" w:hAnsi="Verdana"/>
          <w:sz w:val="22"/>
          <w:szCs w:val="22"/>
          <w:lang w:val="es-MX"/>
        </w:rPr>
        <w:t xml:space="preserve">Que se encuentra conforme con los puntos </w:t>
      </w:r>
      <w:r w:rsidR="00B047F1" w:rsidRPr="00436D53">
        <w:rPr>
          <w:rFonts w:ascii="Verdana" w:hAnsi="Verdana"/>
          <w:sz w:val="22"/>
          <w:szCs w:val="22"/>
          <w:lang w:val="es-MX"/>
        </w:rPr>
        <w:t>t</w:t>
      </w:r>
      <w:r w:rsidR="000E692C" w:rsidRPr="00436D53">
        <w:rPr>
          <w:rFonts w:ascii="Verdana" w:hAnsi="Verdana"/>
          <w:sz w:val="22"/>
          <w:szCs w:val="22"/>
          <w:lang w:val="es-MX"/>
        </w:rPr>
        <w:t xml:space="preserve">res, cuatro, cinco y seis del </w:t>
      </w:r>
      <w:r w:rsidR="002D256F" w:rsidRPr="00436D53">
        <w:rPr>
          <w:rFonts w:ascii="Verdana" w:hAnsi="Verdana"/>
          <w:b/>
          <w:bCs/>
          <w:sz w:val="22"/>
          <w:szCs w:val="22"/>
          <w:lang w:val="es-MX"/>
        </w:rPr>
        <w:t>“</w:t>
      </w:r>
      <w:r w:rsidR="000E692C" w:rsidRPr="00436D53">
        <w:rPr>
          <w:rFonts w:ascii="Verdana" w:hAnsi="Verdana"/>
          <w:b/>
          <w:bCs/>
          <w:sz w:val="22"/>
          <w:szCs w:val="22"/>
          <w:lang w:val="es-MX"/>
        </w:rPr>
        <w:t xml:space="preserve">Por </w:t>
      </w:r>
      <w:r w:rsidR="00B047F1" w:rsidRPr="00436D53">
        <w:rPr>
          <w:rFonts w:ascii="Verdana" w:hAnsi="Verdana"/>
          <w:b/>
          <w:bCs/>
          <w:sz w:val="22"/>
          <w:szCs w:val="22"/>
          <w:lang w:val="es-MX"/>
        </w:rPr>
        <w:t>Tanto”</w:t>
      </w:r>
      <w:r w:rsidR="00B047F1" w:rsidRPr="00436D53">
        <w:rPr>
          <w:rFonts w:ascii="Verdana" w:hAnsi="Verdana"/>
          <w:sz w:val="22"/>
          <w:szCs w:val="22"/>
          <w:lang w:val="es-MX"/>
        </w:rPr>
        <w:t xml:space="preserve"> del</w:t>
      </w:r>
      <w:r w:rsidR="002D256F" w:rsidRPr="00436D53">
        <w:rPr>
          <w:rFonts w:ascii="Verdana" w:hAnsi="Verdana"/>
          <w:sz w:val="22"/>
          <w:szCs w:val="22"/>
          <w:lang w:val="es-MX"/>
        </w:rPr>
        <w:t xml:space="preserve"> </w:t>
      </w:r>
      <w:r w:rsidR="002D256F" w:rsidRPr="00436D53">
        <w:rPr>
          <w:rFonts w:ascii="Verdana" w:hAnsi="Verdana"/>
          <w:b/>
          <w:sz w:val="22"/>
          <w:szCs w:val="22"/>
        </w:rPr>
        <w:t xml:space="preserve">artículo 3.1 de la Sesión Ordinaria 22-2018 de 9 de </w:t>
      </w:r>
      <w:r w:rsidR="00B047F1" w:rsidRPr="00436D53">
        <w:rPr>
          <w:rFonts w:ascii="Verdana" w:hAnsi="Verdana"/>
          <w:b/>
          <w:sz w:val="22"/>
          <w:szCs w:val="22"/>
        </w:rPr>
        <w:t>agosto de</w:t>
      </w:r>
      <w:r w:rsidR="002D256F" w:rsidRPr="00436D53">
        <w:rPr>
          <w:rFonts w:ascii="Verdana" w:hAnsi="Verdana"/>
          <w:b/>
          <w:sz w:val="22"/>
          <w:szCs w:val="22"/>
        </w:rPr>
        <w:t xml:space="preserve"> 2018</w:t>
      </w:r>
      <w:r w:rsidRPr="00436D53">
        <w:rPr>
          <w:rFonts w:ascii="Verdana" w:hAnsi="Verdana"/>
          <w:sz w:val="22"/>
          <w:szCs w:val="22"/>
          <w:lang w:val="es-MX"/>
        </w:rPr>
        <w:t>.</w:t>
      </w:r>
    </w:p>
    <w:p w14:paraId="3463BA50" w14:textId="343A02EB" w:rsidR="00446016" w:rsidRPr="00436D53" w:rsidRDefault="00446016" w:rsidP="00446016">
      <w:pPr>
        <w:jc w:val="both"/>
        <w:rPr>
          <w:rFonts w:ascii="Verdana" w:hAnsi="Verdana"/>
          <w:sz w:val="22"/>
          <w:szCs w:val="22"/>
          <w:lang w:val="es-MX"/>
        </w:rPr>
      </w:pPr>
      <w:r w:rsidRPr="00436D53">
        <w:rPr>
          <w:rFonts w:ascii="Verdana" w:hAnsi="Verdana"/>
          <w:sz w:val="22"/>
          <w:szCs w:val="22"/>
          <w:lang w:val="es-MX"/>
        </w:rPr>
        <w:t>b</w:t>
      </w:r>
      <w:r w:rsidR="00B047F1" w:rsidRPr="00436D53">
        <w:rPr>
          <w:rFonts w:ascii="Verdana" w:hAnsi="Verdana"/>
          <w:sz w:val="22"/>
          <w:szCs w:val="22"/>
          <w:lang w:val="es-MX"/>
        </w:rPr>
        <w:t>). -</w:t>
      </w:r>
      <w:r w:rsidRPr="00436D53">
        <w:rPr>
          <w:rFonts w:ascii="Verdana" w:hAnsi="Verdana"/>
          <w:sz w:val="22"/>
          <w:szCs w:val="22"/>
          <w:lang w:val="es-MX"/>
        </w:rPr>
        <w:t xml:space="preserve"> </w:t>
      </w:r>
      <w:r w:rsidR="002D256F" w:rsidRPr="00436D53">
        <w:rPr>
          <w:rFonts w:ascii="Verdana" w:hAnsi="Verdana"/>
          <w:sz w:val="22"/>
          <w:szCs w:val="22"/>
          <w:lang w:val="es-MX"/>
        </w:rPr>
        <w:t xml:space="preserve">No está de acuerdo y por ende recurre los dispuesto en el punto segundo de la parte dispositiva del acuerdo recurrido, dado que no se evacuó la prueba </w:t>
      </w:r>
      <w:r w:rsidR="00B047F1" w:rsidRPr="00436D53">
        <w:rPr>
          <w:rFonts w:ascii="Verdana" w:hAnsi="Verdana"/>
          <w:sz w:val="22"/>
          <w:szCs w:val="22"/>
          <w:lang w:val="es-MX"/>
        </w:rPr>
        <w:t>a</w:t>
      </w:r>
      <w:r w:rsidR="002D256F" w:rsidRPr="00436D53">
        <w:rPr>
          <w:rFonts w:ascii="Verdana" w:hAnsi="Verdana"/>
          <w:sz w:val="22"/>
          <w:szCs w:val="22"/>
          <w:lang w:val="es-MX"/>
        </w:rPr>
        <w:t xml:space="preserve">portada consistente en un video en el que se podía verificar contundentemente los hechos denunciados, lo que acarrea una clara violación del numeral 298 de la Ley General de la Administración </w:t>
      </w:r>
      <w:r w:rsidR="00B047F1" w:rsidRPr="00436D53">
        <w:rPr>
          <w:rFonts w:ascii="Verdana" w:hAnsi="Verdana"/>
          <w:sz w:val="22"/>
          <w:szCs w:val="22"/>
          <w:lang w:val="es-MX"/>
        </w:rPr>
        <w:t>Pública.</w:t>
      </w:r>
      <w:r w:rsidRPr="00436D53">
        <w:rPr>
          <w:rFonts w:ascii="Verdana" w:hAnsi="Verdana"/>
          <w:sz w:val="22"/>
          <w:szCs w:val="22"/>
          <w:lang w:val="es-MX"/>
        </w:rPr>
        <w:t xml:space="preserve"> </w:t>
      </w:r>
    </w:p>
    <w:p w14:paraId="70EF7064" w14:textId="61D152BD" w:rsidR="00446016" w:rsidRPr="00436D53" w:rsidRDefault="00446016" w:rsidP="00446016">
      <w:pPr>
        <w:jc w:val="both"/>
        <w:rPr>
          <w:rFonts w:ascii="Verdana" w:hAnsi="Verdana"/>
          <w:sz w:val="22"/>
          <w:szCs w:val="22"/>
          <w:lang w:val="es-MX"/>
        </w:rPr>
      </w:pPr>
      <w:r w:rsidRPr="00436D53">
        <w:rPr>
          <w:rFonts w:ascii="Verdana" w:hAnsi="Verdana"/>
          <w:sz w:val="22"/>
          <w:szCs w:val="22"/>
          <w:lang w:val="es-MX"/>
        </w:rPr>
        <w:lastRenderedPageBreak/>
        <w:t xml:space="preserve">c).- </w:t>
      </w:r>
      <w:r w:rsidR="002D256F" w:rsidRPr="00436D53">
        <w:rPr>
          <w:rFonts w:ascii="Verdana" w:hAnsi="Verdana"/>
          <w:sz w:val="22"/>
          <w:szCs w:val="22"/>
          <w:lang w:val="es-MX"/>
        </w:rPr>
        <w:t xml:space="preserve">En cuanto a la metodología utilizada por funcionarios del Consejo de Transporte Público en el Trabajo de campo realizado los días 17 y 18 de mayo de 2018, indica que no solo no fue la adecuada </w:t>
      </w:r>
      <w:r w:rsidR="00344851" w:rsidRPr="00436D53">
        <w:rPr>
          <w:rFonts w:ascii="Verdana" w:hAnsi="Verdana"/>
          <w:sz w:val="22"/>
          <w:szCs w:val="22"/>
          <w:lang w:val="es-MX"/>
        </w:rPr>
        <w:t>sino</w:t>
      </w:r>
      <w:r w:rsidR="002D256F" w:rsidRPr="00436D53">
        <w:rPr>
          <w:rFonts w:ascii="Verdana" w:hAnsi="Verdana"/>
          <w:sz w:val="22"/>
          <w:szCs w:val="22"/>
          <w:lang w:val="es-MX"/>
        </w:rPr>
        <w:t xml:space="preserve"> que se da la Falta de interés actual, ya que la denuncia y las correspondientes pruebas materiales se dieron en el mes de marzo de 2016 y el Trabajo de campo se da dos años más tarde, además de que no es posible que en solo dos días de inspección se puedan determinar los recargos de las unidades. </w:t>
      </w:r>
    </w:p>
    <w:p w14:paraId="2CB7AAA9" w14:textId="7B8A6D76" w:rsidR="00446016" w:rsidRPr="00436D53" w:rsidRDefault="00B047F1" w:rsidP="00446016">
      <w:pPr>
        <w:jc w:val="both"/>
        <w:rPr>
          <w:rFonts w:ascii="Verdana" w:hAnsi="Verdana"/>
          <w:sz w:val="22"/>
          <w:szCs w:val="22"/>
          <w:lang w:val="es-MX"/>
        </w:rPr>
      </w:pPr>
      <w:r w:rsidRPr="00436D53">
        <w:rPr>
          <w:rFonts w:ascii="Verdana" w:hAnsi="Verdana"/>
          <w:sz w:val="22"/>
          <w:szCs w:val="22"/>
          <w:lang w:val="es-MX"/>
        </w:rPr>
        <w:t>d). -</w:t>
      </w:r>
      <w:r w:rsidR="00446016" w:rsidRPr="00436D53">
        <w:rPr>
          <w:rFonts w:ascii="Verdana" w:hAnsi="Verdana"/>
          <w:sz w:val="22"/>
          <w:szCs w:val="22"/>
          <w:lang w:val="es-MX"/>
        </w:rPr>
        <w:t xml:space="preserve"> </w:t>
      </w:r>
      <w:r w:rsidR="00344851" w:rsidRPr="00436D53">
        <w:rPr>
          <w:rFonts w:ascii="Verdana" w:hAnsi="Verdana"/>
          <w:sz w:val="22"/>
          <w:szCs w:val="22"/>
          <w:lang w:val="es-MX"/>
        </w:rPr>
        <w:t xml:space="preserve">Que es necesario que se evacue la </w:t>
      </w:r>
      <w:r w:rsidRPr="00436D53">
        <w:rPr>
          <w:rFonts w:ascii="Verdana" w:hAnsi="Verdana"/>
          <w:sz w:val="22"/>
          <w:szCs w:val="22"/>
          <w:lang w:val="es-MX"/>
        </w:rPr>
        <w:t>prueba pues</w:t>
      </w:r>
      <w:r w:rsidR="00344851" w:rsidRPr="00436D53">
        <w:rPr>
          <w:rFonts w:ascii="Verdana" w:hAnsi="Verdana"/>
          <w:sz w:val="22"/>
          <w:szCs w:val="22"/>
          <w:lang w:val="es-MX"/>
        </w:rPr>
        <w:t xml:space="preserve"> los hechos denunciados son acciones que se dan en periodos relativamente cortos, que con el pasar del tiempo no pueden ser verificados, como los hechos que se denunciaron ya que hoy en día se ha notado mejoría en la circulación de más </w:t>
      </w:r>
      <w:r w:rsidRPr="00436D53">
        <w:rPr>
          <w:rFonts w:ascii="Verdana" w:hAnsi="Verdana"/>
          <w:sz w:val="22"/>
          <w:szCs w:val="22"/>
          <w:lang w:val="es-MX"/>
        </w:rPr>
        <w:t>unidades de</w:t>
      </w:r>
      <w:r w:rsidR="00344851" w:rsidRPr="00436D53">
        <w:rPr>
          <w:rFonts w:ascii="Verdana" w:hAnsi="Verdana"/>
          <w:sz w:val="22"/>
          <w:szCs w:val="22"/>
          <w:lang w:val="es-MX"/>
        </w:rPr>
        <w:t xml:space="preserve"> buses, disminuyendo las filas de espera.</w:t>
      </w:r>
      <w:r w:rsidR="00446016" w:rsidRPr="00436D53">
        <w:rPr>
          <w:rFonts w:ascii="Verdana" w:hAnsi="Verdana"/>
          <w:sz w:val="22"/>
          <w:szCs w:val="22"/>
          <w:lang w:val="es-MX"/>
        </w:rPr>
        <w:t xml:space="preserve"> </w:t>
      </w:r>
    </w:p>
    <w:p w14:paraId="1D1AD277" w14:textId="211F1823" w:rsidR="00446016" w:rsidRPr="00436D53" w:rsidRDefault="00446016" w:rsidP="00446016">
      <w:pPr>
        <w:jc w:val="both"/>
        <w:rPr>
          <w:rFonts w:ascii="Verdana" w:hAnsi="Verdana"/>
          <w:b/>
          <w:sz w:val="22"/>
          <w:szCs w:val="22"/>
          <w:lang w:val="es-MX"/>
        </w:rPr>
      </w:pPr>
      <w:r w:rsidRPr="00436D53">
        <w:rPr>
          <w:rFonts w:ascii="Verdana" w:hAnsi="Verdana"/>
          <w:sz w:val="22"/>
          <w:szCs w:val="22"/>
          <w:lang w:val="es-MX"/>
        </w:rPr>
        <w:t>e</w:t>
      </w:r>
      <w:r w:rsidR="00B047F1" w:rsidRPr="00436D53">
        <w:rPr>
          <w:rFonts w:ascii="Verdana" w:hAnsi="Verdana"/>
          <w:sz w:val="22"/>
          <w:szCs w:val="22"/>
          <w:lang w:val="es-MX"/>
        </w:rPr>
        <w:t>). -</w:t>
      </w:r>
      <w:r w:rsidRPr="00436D53">
        <w:rPr>
          <w:rFonts w:ascii="Verdana" w:hAnsi="Verdana"/>
          <w:sz w:val="22"/>
          <w:szCs w:val="22"/>
          <w:lang w:val="es-MX"/>
        </w:rPr>
        <w:t xml:space="preserve"> </w:t>
      </w:r>
      <w:r w:rsidR="00344851" w:rsidRPr="00436D53">
        <w:rPr>
          <w:rFonts w:ascii="Verdana" w:hAnsi="Verdana"/>
          <w:sz w:val="22"/>
          <w:szCs w:val="22"/>
          <w:lang w:val="es-MX"/>
        </w:rPr>
        <w:t>Solicita se evacue la prueba aportada videos tomados con celular, en virtud de la nulidad parcial al no darse en la resolución administrativa, el Debido Proceso; además se confirme la falta de interés actual, en lo que concierne a la inspección de campo realizada los días 17 y 18 de mayo de 2018, por parte de funcionarios del CTP.</w:t>
      </w:r>
    </w:p>
    <w:p w14:paraId="2908D422" w14:textId="073DBE0B" w:rsidR="00446016" w:rsidRPr="00436D53" w:rsidRDefault="00446016" w:rsidP="00446016">
      <w:pPr>
        <w:jc w:val="both"/>
        <w:rPr>
          <w:rFonts w:ascii="Verdana" w:hAnsi="Verdana"/>
          <w:sz w:val="22"/>
          <w:szCs w:val="22"/>
          <w:lang w:val="es-MX"/>
        </w:rPr>
      </w:pPr>
    </w:p>
    <w:p w14:paraId="52BED8F8" w14:textId="77777777" w:rsidR="00446016" w:rsidRPr="00436D53" w:rsidRDefault="00446016" w:rsidP="00446016">
      <w:pPr>
        <w:jc w:val="both"/>
        <w:rPr>
          <w:rFonts w:ascii="Verdana" w:hAnsi="Verdana"/>
          <w:sz w:val="22"/>
          <w:szCs w:val="22"/>
          <w:lang w:val="es-MX"/>
        </w:rPr>
      </w:pPr>
    </w:p>
    <w:p w14:paraId="7E9679E8" w14:textId="7CE57A96" w:rsidR="00446016" w:rsidRPr="00436D53" w:rsidRDefault="00446016" w:rsidP="00446016">
      <w:pPr>
        <w:jc w:val="both"/>
        <w:rPr>
          <w:rFonts w:ascii="Verdana" w:hAnsi="Verdana"/>
          <w:sz w:val="22"/>
          <w:szCs w:val="22"/>
          <w:lang w:val="es-MX"/>
        </w:rPr>
      </w:pPr>
      <w:r w:rsidRPr="00436D53">
        <w:rPr>
          <w:rFonts w:ascii="Verdana" w:hAnsi="Verdana"/>
          <w:b/>
          <w:sz w:val="22"/>
          <w:szCs w:val="22"/>
          <w:lang w:val="es-MX"/>
        </w:rPr>
        <w:t xml:space="preserve">TERCERO: </w:t>
      </w:r>
      <w:r w:rsidRPr="00436D53">
        <w:rPr>
          <w:rFonts w:ascii="Verdana" w:hAnsi="Verdana"/>
          <w:sz w:val="22"/>
          <w:szCs w:val="22"/>
          <w:lang w:val="es-MX"/>
        </w:rPr>
        <w:t xml:space="preserve">La Junta Directiva del Consejo de Transporte Público, mediante </w:t>
      </w:r>
      <w:r w:rsidRPr="00436D53">
        <w:rPr>
          <w:rFonts w:ascii="Verdana" w:hAnsi="Verdana"/>
          <w:b/>
          <w:sz w:val="22"/>
          <w:szCs w:val="22"/>
          <w:lang w:val="es-MX"/>
        </w:rPr>
        <w:t>acuerdo 7.</w:t>
      </w:r>
      <w:r w:rsidR="00BC5F54" w:rsidRPr="00436D53">
        <w:rPr>
          <w:rFonts w:ascii="Verdana" w:hAnsi="Verdana"/>
          <w:b/>
          <w:sz w:val="22"/>
          <w:szCs w:val="22"/>
          <w:lang w:val="es-MX"/>
        </w:rPr>
        <w:t>2</w:t>
      </w:r>
      <w:r w:rsidRPr="00436D53">
        <w:rPr>
          <w:rFonts w:ascii="Verdana" w:hAnsi="Verdana"/>
          <w:b/>
          <w:sz w:val="22"/>
          <w:szCs w:val="22"/>
          <w:lang w:val="es-MX"/>
        </w:rPr>
        <w:t xml:space="preserve"> de la Sesión Ordinaria 1</w:t>
      </w:r>
      <w:r w:rsidR="00BC5F54" w:rsidRPr="00436D53">
        <w:rPr>
          <w:rFonts w:ascii="Verdana" w:hAnsi="Verdana"/>
          <w:b/>
          <w:sz w:val="22"/>
          <w:szCs w:val="22"/>
          <w:lang w:val="es-MX"/>
        </w:rPr>
        <w:t>7</w:t>
      </w:r>
      <w:r w:rsidRPr="00436D53">
        <w:rPr>
          <w:rFonts w:ascii="Verdana" w:hAnsi="Verdana"/>
          <w:b/>
          <w:sz w:val="22"/>
          <w:szCs w:val="22"/>
          <w:lang w:val="es-MX"/>
        </w:rPr>
        <w:t xml:space="preserve">-2021 de </w:t>
      </w:r>
      <w:r w:rsidR="00BC5F54" w:rsidRPr="00436D53">
        <w:rPr>
          <w:rFonts w:ascii="Verdana" w:hAnsi="Verdana"/>
          <w:b/>
          <w:sz w:val="22"/>
          <w:szCs w:val="22"/>
          <w:lang w:val="es-MX"/>
        </w:rPr>
        <w:t>2 de marzo</w:t>
      </w:r>
      <w:r w:rsidRPr="00436D53">
        <w:rPr>
          <w:rFonts w:ascii="Verdana" w:hAnsi="Verdana"/>
          <w:b/>
          <w:sz w:val="22"/>
          <w:szCs w:val="22"/>
          <w:lang w:val="es-MX"/>
        </w:rPr>
        <w:t xml:space="preserve"> de 2021, </w:t>
      </w:r>
      <w:r w:rsidRPr="00436D53">
        <w:rPr>
          <w:rFonts w:ascii="Verdana" w:hAnsi="Verdana"/>
          <w:sz w:val="22"/>
          <w:szCs w:val="22"/>
          <w:lang w:val="es-MX"/>
        </w:rPr>
        <w:t xml:space="preserve">conoce y avala el informe de la Dirección Asuntos Jurídicos el </w:t>
      </w:r>
      <w:r w:rsidRPr="00436D53">
        <w:rPr>
          <w:rFonts w:ascii="Verdana" w:hAnsi="Verdana"/>
          <w:b/>
          <w:sz w:val="22"/>
          <w:szCs w:val="22"/>
          <w:lang w:val="es-MX"/>
        </w:rPr>
        <w:t>CTP-AJ-OF-2021-</w:t>
      </w:r>
      <w:r w:rsidR="00BC5F54" w:rsidRPr="00436D53">
        <w:rPr>
          <w:rFonts w:ascii="Verdana" w:hAnsi="Verdana"/>
          <w:b/>
          <w:sz w:val="22"/>
          <w:szCs w:val="22"/>
          <w:lang w:val="es-MX"/>
        </w:rPr>
        <w:t>0067</w:t>
      </w:r>
      <w:r w:rsidRPr="00436D53">
        <w:rPr>
          <w:rFonts w:ascii="Verdana" w:hAnsi="Verdana"/>
          <w:b/>
          <w:sz w:val="22"/>
          <w:szCs w:val="22"/>
          <w:lang w:val="es-MX"/>
        </w:rPr>
        <w:t xml:space="preserve"> del </w:t>
      </w:r>
      <w:r w:rsidR="00BC5F54" w:rsidRPr="00436D53">
        <w:rPr>
          <w:rFonts w:ascii="Verdana" w:hAnsi="Verdana"/>
          <w:b/>
          <w:sz w:val="22"/>
          <w:szCs w:val="22"/>
          <w:lang w:val="es-MX"/>
        </w:rPr>
        <w:t>1</w:t>
      </w:r>
      <w:r w:rsidRPr="00436D53">
        <w:rPr>
          <w:rFonts w:ascii="Verdana" w:hAnsi="Verdana"/>
          <w:b/>
          <w:sz w:val="22"/>
          <w:szCs w:val="22"/>
          <w:lang w:val="es-MX"/>
        </w:rPr>
        <w:t xml:space="preserve">3 de </w:t>
      </w:r>
      <w:r w:rsidR="00BC5F54" w:rsidRPr="00436D53">
        <w:rPr>
          <w:rFonts w:ascii="Verdana" w:hAnsi="Verdana"/>
          <w:b/>
          <w:sz w:val="22"/>
          <w:szCs w:val="22"/>
          <w:lang w:val="es-MX"/>
        </w:rPr>
        <w:t>en</w:t>
      </w:r>
      <w:r w:rsidRPr="00436D53">
        <w:rPr>
          <w:rFonts w:ascii="Verdana" w:hAnsi="Verdana"/>
          <w:b/>
          <w:sz w:val="22"/>
          <w:szCs w:val="22"/>
          <w:lang w:val="es-MX"/>
        </w:rPr>
        <w:t xml:space="preserve">ero de 2021 </w:t>
      </w:r>
      <w:r w:rsidRPr="00436D53">
        <w:rPr>
          <w:rFonts w:ascii="Verdana" w:hAnsi="Verdana"/>
          <w:sz w:val="22"/>
          <w:szCs w:val="22"/>
          <w:lang w:val="es-MX"/>
        </w:rPr>
        <w:t xml:space="preserve">y dispone el rechazo del recurso por improcedente, </w:t>
      </w:r>
      <w:r w:rsidR="00BC5F54" w:rsidRPr="00436D53">
        <w:rPr>
          <w:rFonts w:ascii="Verdana" w:hAnsi="Verdana"/>
          <w:sz w:val="22"/>
          <w:szCs w:val="22"/>
          <w:lang w:val="es-MX"/>
        </w:rPr>
        <w:t>falta de Legitimación del recurrente</w:t>
      </w:r>
      <w:r w:rsidRPr="00436D53">
        <w:rPr>
          <w:rFonts w:ascii="Verdana" w:hAnsi="Verdana"/>
          <w:sz w:val="22"/>
          <w:szCs w:val="22"/>
          <w:lang w:val="es-MX"/>
        </w:rPr>
        <w:t>. (</w:t>
      </w:r>
      <w:r w:rsidR="00B047F1" w:rsidRPr="00436D53">
        <w:rPr>
          <w:rFonts w:ascii="Verdana" w:hAnsi="Verdana"/>
          <w:sz w:val="22"/>
          <w:szCs w:val="22"/>
          <w:lang w:val="es-MX"/>
        </w:rPr>
        <w:t>L</w:t>
      </w:r>
      <w:r w:rsidRPr="00436D53">
        <w:rPr>
          <w:rFonts w:ascii="Verdana" w:hAnsi="Verdana"/>
          <w:sz w:val="22"/>
          <w:szCs w:val="22"/>
          <w:lang w:val="es-MX"/>
        </w:rPr>
        <w:t>éanse folios del 2 al 1</w:t>
      </w:r>
      <w:r w:rsidR="00BC5F54" w:rsidRPr="00436D53">
        <w:rPr>
          <w:rFonts w:ascii="Verdana" w:hAnsi="Verdana"/>
          <w:sz w:val="22"/>
          <w:szCs w:val="22"/>
          <w:lang w:val="es-MX"/>
        </w:rPr>
        <w:t>2</w:t>
      </w:r>
      <w:r w:rsidRPr="00436D53">
        <w:rPr>
          <w:rFonts w:ascii="Verdana" w:hAnsi="Verdana"/>
          <w:sz w:val="22"/>
          <w:szCs w:val="22"/>
          <w:lang w:val="es-MX"/>
        </w:rPr>
        <w:t xml:space="preserve"> del expediente administrativo)</w:t>
      </w:r>
    </w:p>
    <w:p w14:paraId="6DCFB4FC" w14:textId="77777777" w:rsidR="00446016" w:rsidRPr="00436D53" w:rsidRDefault="00446016" w:rsidP="00446016">
      <w:pPr>
        <w:jc w:val="both"/>
        <w:rPr>
          <w:rFonts w:ascii="Verdana" w:hAnsi="Verdana"/>
          <w:sz w:val="22"/>
          <w:szCs w:val="22"/>
          <w:lang w:val="es-MX"/>
        </w:rPr>
      </w:pPr>
    </w:p>
    <w:p w14:paraId="48EE6157" w14:textId="6C01936F" w:rsidR="00446016" w:rsidRPr="00436D53" w:rsidRDefault="00446016" w:rsidP="00446016">
      <w:pPr>
        <w:jc w:val="both"/>
        <w:rPr>
          <w:rFonts w:ascii="Verdana" w:hAnsi="Verdana"/>
          <w:sz w:val="22"/>
          <w:szCs w:val="22"/>
        </w:rPr>
      </w:pPr>
      <w:r w:rsidRPr="00436D53">
        <w:rPr>
          <w:rFonts w:ascii="Verdana" w:hAnsi="Verdana"/>
          <w:b/>
          <w:sz w:val="22"/>
          <w:szCs w:val="22"/>
          <w:lang w:val="es-MX"/>
        </w:rPr>
        <w:t xml:space="preserve">CUARTO:  </w:t>
      </w:r>
      <w:r w:rsidRPr="00436D53">
        <w:rPr>
          <w:rFonts w:ascii="Verdana" w:hAnsi="Verdana"/>
          <w:sz w:val="22"/>
          <w:szCs w:val="22"/>
        </w:rPr>
        <w:t>En los procedimientos seguidos se han observado las prescripciones legales.</w:t>
      </w:r>
    </w:p>
    <w:bookmarkEnd w:id="0"/>
    <w:bookmarkEnd w:id="1"/>
    <w:p w14:paraId="7C191FEB" w14:textId="77777777" w:rsidR="00446016" w:rsidRPr="00436D53" w:rsidRDefault="00446016" w:rsidP="00446016">
      <w:pPr>
        <w:jc w:val="both"/>
        <w:rPr>
          <w:rFonts w:ascii="Verdana" w:hAnsi="Verdana"/>
          <w:sz w:val="22"/>
          <w:szCs w:val="22"/>
        </w:rPr>
      </w:pPr>
    </w:p>
    <w:p w14:paraId="6AEA67FD" w14:textId="77777777" w:rsidR="00446016" w:rsidRPr="00436D53" w:rsidRDefault="00446016" w:rsidP="00446016">
      <w:pPr>
        <w:jc w:val="both"/>
        <w:rPr>
          <w:rFonts w:ascii="Verdana" w:hAnsi="Verdana"/>
          <w:sz w:val="22"/>
          <w:szCs w:val="22"/>
        </w:rPr>
      </w:pPr>
      <w:r w:rsidRPr="00436D53">
        <w:rPr>
          <w:rFonts w:ascii="Verdana" w:hAnsi="Verdana"/>
          <w:b/>
          <w:bCs/>
          <w:sz w:val="22"/>
          <w:szCs w:val="22"/>
        </w:rPr>
        <w:t>Redacta el Juez Muñoz Corea</w:t>
      </w:r>
      <w:r w:rsidRPr="00436D53">
        <w:rPr>
          <w:rFonts w:ascii="Verdana" w:hAnsi="Verdana"/>
          <w:sz w:val="22"/>
          <w:szCs w:val="22"/>
        </w:rPr>
        <w:t xml:space="preserve">; y, </w:t>
      </w:r>
    </w:p>
    <w:p w14:paraId="3DA44B39" w14:textId="77777777" w:rsidR="00446016" w:rsidRPr="00436D53" w:rsidRDefault="00446016" w:rsidP="00446016">
      <w:pPr>
        <w:jc w:val="both"/>
        <w:rPr>
          <w:rFonts w:ascii="Verdana" w:hAnsi="Verdana"/>
          <w:b/>
          <w:sz w:val="22"/>
          <w:szCs w:val="22"/>
        </w:rPr>
      </w:pPr>
    </w:p>
    <w:p w14:paraId="62E69C5A" w14:textId="77777777" w:rsidR="00446016" w:rsidRPr="00436D53" w:rsidRDefault="00446016" w:rsidP="00446016">
      <w:pPr>
        <w:jc w:val="both"/>
        <w:rPr>
          <w:rFonts w:ascii="Verdana" w:hAnsi="Verdana"/>
          <w:b/>
          <w:sz w:val="22"/>
          <w:szCs w:val="22"/>
        </w:rPr>
      </w:pPr>
    </w:p>
    <w:p w14:paraId="1D638311" w14:textId="77777777" w:rsidR="0074452B" w:rsidRPr="00436D53" w:rsidRDefault="0074452B" w:rsidP="0074452B">
      <w:pPr>
        <w:pStyle w:val="Sinespaciado"/>
        <w:jc w:val="both"/>
        <w:rPr>
          <w:rFonts w:ascii="Verdana" w:hAnsi="Verdana"/>
          <w:b/>
          <w:sz w:val="22"/>
          <w:szCs w:val="22"/>
          <w:lang w:val="es-MX"/>
        </w:rPr>
      </w:pPr>
    </w:p>
    <w:p w14:paraId="0DA7D6BB" w14:textId="54B5819F" w:rsidR="0074452B" w:rsidRPr="00436D53" w:rsidRDefault="0074452B" w:rsidP="0074452B">
      <w:pPr>
        <w:pStyle w:val="Sinespaciado"/>
        <w:jc w:val="center"/>
        <w:rPr>
          <w:rFonts w:ascii="Verdana" w:hAnsi="Verdana"/>
          <w:b/>
          <w:sz w:val="22"/>
          <w:szCs w:val="22"/>
          <w:lang w:val="es-MX"/>
        </w:rPr>
      </w:pPr>
      <w:r w:rsidRPr="00436D53">
        <w:rPr>
          <w:rFonts w:ascii="Verdana" w:hAnsi="Verdana"/>
          <w:b/>
          <w:sz w:val="22"/>
          <w:szCs w:val="22"/>
          <w:lang w:val="es-MX"/>
        </w:rPr>
        <w:t xml:space="preserve">CONSIDERANDO </w:t>
      </w:r>
    </w:p>
    <w:p w14:paraId="7AE57635" w14:textId="77777777" w:rsidR="0074452B" w:rsidRPr="00436D53" w:rsidRDefault="0074452B" w:rsidP="0074452B">
      <w:pPr>
        <w:pStyle w:val="Sinespaciado"/>
        <w:jc w:val="both"/>
        <w:rPr>
          <w:rFonts w:ascii="Verdana" w:hAnsi="Verdana"/>
          <w:b/>
          <w:sz w:val="22"/>
          <w:szCs w:val="22"/>
          <w:lang w:val="es-MX"/>
        </w:rPr>
      </w:pPr>
    </w:p>
    <w:p w14:paraId="4FF4CAE3" w14:textId="77777777" w:rsidR="0074452B" w:rsidRPr="00436D53" w:rsidRDefault="0074452B" w:rsidP="0074452B">
      <w:pPr>
        <w:pStyle w:val="Sinespaciado"/>
        <w:jc w:val="both"/>
        <w:rPr>
          <w:rFonts w:ascii="Verdana" w:hAnsi="Verdana"/>
          <w:sz w:val="22"/>
          <w:szCs w:val="22"/>
        </w:rPr>
      </w:pPr>
      <w:r w:rsidRPr="00436D53">
        <w:rPr>
          <w:rFonts w:ascii="Verdana" w:hAnsi="Verdana"/>
          <w:b/>
          <w:sz w:val="22"/>
          <w:szCs w:val="22"/>
        </w:rPr>
        <w:t xml:space="preserve">SOBRE LA COMPETENCIA:   </w:t>
      </w:r>
      <w:r w:rsidRPr="00436D53">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 </w:t>
      </w:r>
    </w:p>
    <w:p w14:paraId="7D183536" w14:textId="77777777" w:rsidR="0074452B" w:rsidRPr="00436D53" w:rsidRDefault="0074452B" w:rsidP="0074452B">
      <w:pPr>
        <w:pStyle w:val="Sinespaciado"/>
        <w:rPr>
          <w:rFonts w:ascii="Verdana" w:hAnsi="Verdana"/>
          <w:b/>
          <w:sz w:val="22"/>
          <w:szCs w:val="22"/>
        </w:rPr>
      </w:pPr>
    </w:p>
    <w:p w14:paraId="24BE5526" w14:textId="77777777" w:rsidR="0074452B" w:rsidRPr="00436D53" w:rsidRDefault="0074452B" w:rsidP="0074452B">
      <w:pPr>
        <w:pStyle w:val="Sinespaciado"/>
        <w:rPr>
          <w:rFonts w:ascii="Verdana" w:hAnsi="Verdana"/>
          <w:b/>
          <w:sz w:val="22"/>
          <w:szCs w:val="22"/>
        </w:rPr>
      </w:pPr>
      <w:r w:rsidRPr="00436D53">
        <w:rPr>
          <w:rFonts w:ascii="Verdana" w:hAnsi="Verdana"/>
          <w:b/>
          <w:sz w:val="22"/>
          <w:szCs w:val="22"/>
        </w:rPr>
        <w:t>SOBRE LA ADMISIBILIDAD DEL RECURSO</w:t>
      </w:r>
    </w:p>
    <w:p w14:paraId="2B3F0946" w14:textId="77777777" w:rsidR="00436D53" w:rsidRDefault="00436D53" w:rsidP="0074452B">
      <w:pPr>
        <w:jc w:val="both"/>
        <w:rPr>
          <w:rFonts w:ascii="Verdana" w:hAnsi="Verdana"/>
          <w:sz w:val="22"/>
          <w:szCs w:val="22"/>
        </w:rPr>
      </w:pPr>
    </w:p>
    <w:p w14:paraId="39AD5EC6" w14:textId="239BCE1E" w:rsidR="0074452B" w:rsidRPr="00436D53" w:rsidRDefault="0074452B" w:rsidP="0074452B">
      <w:pPr>
        <w:jc w:val="both"/>
        <w:rPr>
          <w:rFonts w:ascii="Verdana" w:hAnsi="Verdana"/>
          <w:sz w:val="22"/>
          <w:szCs w:val="22"/>
        </w:rPr>
      </w:pPr>
      <w:r w:rsidRPr="00436D53">
        <w:rPr>
          <w:rFonts w:ascii="Verdana" w:hAnsi="Verdana"/>
          <w:sz w:val="22"/>
          <w:szCs w:val="22"/>
        </w:rPr>
        <w:t>Es requisito indispensable, para poder accionar en cualquier procedimiento jurídico y a esto no escapa la interposición de las acciones recursivas, contar con la debida Legitimación para ello.</w:t>
      </w:r>
    </w:p>
    <w:p w14:paraId="4B19AE2B" w14:textId="77777777" w:rsidR="0074452B" w:rsidRPr="00436D53" w:rsidRDefault="0074452B" w:rsidP="0074452B">
      <w:pPr>
        <w:jc w:val="both"/>
        <w:rPr>
          <w:rFonts w:ascii="Verdana" w:hAnsi="Verdana"/>
          <w:sz w:val="22"/>
          <w:szCs w:val="22"/>
        </w:rPr>
      </w:pPr>
    </w:p>
    <w:p w14:paraId="333B721A" w14:textId="522A5372" w:rsidR="0074452B" w:rsidRPr="00436D53" w:rsidRDefault="0074452B" w:rsidP="0074452B">
      <w:pPr>
        <w:jc w:val="both"/>
        <w:rPr>
          <w:rFonts w:ascii="Verdana" w:hAnsi="Verdana"/>
          <w:sz w:val="22"/>
          <w:szCs w:val="22"/>
        </w:rPr>
      </w:pPr>
      <w:r w:rsidRPr="00436D53">
        <w:rPr>
          <w:rFonts w:ascii="Verdana" w:hAnsi="Verdana"/>
          <w:sz w:val="22"/>
          <w:szCs w:val="22"/>
        </w:rPr>
        <w:lastRenderedPageBreak/>
        <w:t>La legitimación para accionar jurídicamente, alude a la aptitud de un sujeto para ser considerado parte en un proce</w:t>
      </w:r>
      <w:r w:rsidR="00B047F1" w:rsidRPr="00436D53">
        <w:rPr>
          <w:rFonts w:ascii="Verdana" w:hAnsi="Verdana"/>
          <w:sz w:val="22"/>
          <w:szCs w:val="22"/>
        </w:rPr>
        <w:t>dimiento</w:t>
      </w:r>
      <w:r w:rsidRPr="00436D53">
        <w:rPr>
          <w:rFonts w:ascii="Verdana" w:hAnsi="Verdana"/>
          <w:sz w:val="22"/>
          <w:szCs w:val="22"/>
        </w:rPr>
        <w:t xml:space="preserve"> concreto. </w:t>
      </w:r>
    </w:p>
    <w:p w14:paraId="0A95180E" w14:textId="77777777" w:rsidR="0074452B" w:rsidRPr="00436D53" w:rsidRDefault="0074452B" w:rsidP="0074452B">
      <w:pPr>
        <w:jc w:val="both"/>
        <w:rPr>
          <w:rFonts w:ascii="Verdana" w:hAnsi="Verdana"/>
          <w:sz w:val="22"/>
          <w:szCs w:val="22"/>
        </w:rPr>
      </w:pPr>
    </w:p>
    <w:p w14:paraId="14C884F0" w14:textId="77777777" w:rsidR="0074452B" w:rsidRPr="00436D53" w:rsidRDefault="0074452B" w:rsidP="0074452B">
      <w:pPr>
        <w:jc w:val="both"/>
        <w:rPr>
          <w:rFonts w:ascii="Verdana" w:hAnsi="Verdana"/>
          <w:sz w:val="22"/>
          <w:szCs w:val="22"/>
        </w:rPr>
      </w:pPr>
      <w:r w:rsidRPr="00436D53">
        <w:rPr>
          <w:rFonts w:ascii="Verdana" w:hAnsi="Verdana"/>
          <w:sz w:val="22"/>
          <w:szCs w:val="22"/>
        </w:rPr>
        <w:t>El artículo 275 de la Ley General de la Administración Pública, en cuanto a la Legitimación indica:</w:t>
      </w:r>
    </w:p>
    <w:p w14:paraId="6BA0B956" w14:textId="77777777" w:rsidR="0074452B" w:rsidRPr="00436D53" w:rsidRDefault="0074452B" w:rsidP="0074452B">
      <w:pPr>
        <w:jc w:val="both"/>
        <w:rPr>
          <w:rFonts w:ascii="Verdana" w:hAnsi="Verdana"/>
          <w:sz w:val="22"/>
          <w:szCs w:val="22"/>
        </w:rPr>
      </w:pPr>
    </w:p>
    <w:p w14:paraId="0FF30365" w14:textId="77777777" w:rsidR="0074452B" w:rsidRPr="00436D53" w:rsidRDefault="0074452B" w:rsidP="0074452B">
      <w:pPr>
        <w:ind w:left="340" w:right="340"/>
        <w:jc w:val="both"/>
        <w:rPr>
          <w:rFonts w:ascii="Verdana" w:eastAsia="MS Mincho" w:hAnsi="Verdana" w:cs="Arial"/>
          <w:i/>
          <w:sz w:val="22"/>
          <w:szCs w:val="22"/>
        </w:rPr>
      </w:pPr>
      <w:r w:rsidRPr="00436D53">
        <w:rPr>
          <w:rFonts w:ascii="Verdana" w:hAnsi="Verdana"/>
          <w:b/>
          <w:i/>
          <w:sz w:val="22"/>
          <w:szCs w:val="22"/>
        </w:rPr>
        <w:t>“</w:t>
      </w:r>
      <w:r w:rsidRPr="00436D53">
        <w:rPr>
          <w:rFonts w:ascii="Verdana" w:eastAsia="MS Mincho" w:hAnsi="Verdana" w:cs="Arial"/>
          <w:i/>
          <w:sz w:val="22"/>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436D53">
        <w:rPr>
          <w:rFonts w:ascii="Verdana" w:eastAsia="MS Mincho" w:hAnsi="Verdana" w:cs="Arial"/>
          <w:sz w:val="22"/>
          <w:szCs w:val="22"/>
        </w:rPr>
        <w:t>g</w:t>
      </w:r>
      <w:r w:rsidRPr="00436D53">
        <w:rPr>
          <w:rFonts w:ascii="Verdana" w:eastAsia="MS Mincho" w:hAnsi="Verdana" w:cs="Arial"/>
          <w:i/>
          <w:sz w:val="22"/>
          <w:szCs w:val="22"/>
        </w:rPr>
        <w:t>ítimo y podrá ser moral, científico, religioso, económico o de cualquier otra naturaleza.”</w:t>
      </w:r>
    </w:p>
    <w:p w14:paraId="78D5E393" w14:textId="77777777" w:rsidR="0074452B" w:rsidRPr="00436D53" w:rsidRDefault="0074452B" w:rsidP="0074452B">
      <w:pPr>
        <w:jc w:val="both"/>
        <w:rPr>
          <w:rFonts w:ascii="Verdana" w:hAnsi="Verdana"/>
          <w:sz w:val="22"/>
          <w:szCs w:val="22"/>
        </w:rPr>
      </w:pPr>
    </w:p>
    <w:p w14:paraId="40886CD9" w14:textId="77777777" w:rsidR="0074452B" w:rsidRPr="00436D53" w:rsidRDefault="0074452B" w:rsidP="0074452B">
      <w:pPr>
        <w:jc w:val="both"/>
        <w:rPr>
          <w:rFonts w:ascii="Verdana" w:hAnsi="Verdana"/>
          <w:sz w:val="22"/>
          <w:szCs w:val="22"/>
        </w:rPr>
      </w:pPr>
    </w:p>
    <w:p w14:paraId="31D62FC9" w14:textId="52D08174" w:rsidR="004573A0" w:rsidRPr="00436D53" w:rsidRDefault="0074452B" w:rsidP="0074452B">
      <w:pPr>
        <w:jc w:val="both"/>
        <w:rPr>
          <w:rFonts w:ascii="Verdana" w:hAnsi="Verdana"/>
          <w:sz w:val="22"/>
          <w:szCs w:val="22"/>
          <w:lang w:val="es-CR"/>
        </w:rPr>
      </w:pPr>
      <w:r w:rsidRPr="00436D53">
        <w:rPr>
          <w:rFonts w:ascii="Verdana" w:hAnsi="Verdana"/>
          <w:sz w:val="22"/>
          <w:szCs w:val="22"/>
          <w:lang w:val="es-CR"/>
        </w:rPr>
        <w:t xml:space="preserve">Con lo dicho, debe entenderse que el interés legítimo lo tiene quien, al lograr la anulación del acto impugnado mediante el recurso de apelación, pueda ser beneficiado con el dictado de un nuevo acto que le otorgue un derecho subjetivo o le satisfaga un interés </w:t>
      </w:r>
      <w:r w:rsidR="00B047F1" w:rsidRPr="00436D53">
        <w:rPr>
          <w:rFonts w:ascii="Verdana" w:hAnsi="Verdana"/>
          <w:sz w:val="22"/>
          <w:szCs w:val="22"/>
          <w:lang w:val="es-CR"/>
        </w:rPr>
        <w:t>l</w:t>
      </w:r>
      <w:r w:rsidRPr="00436D53">
        <w:rPr>
          <w:rFonts w:ascii="Verdana" w:hAnsi="Verdana"/>
          <w:sz w:val="22"/>
          <w:szCs w:val="22"/>
          <w:lang w:val="es-CR"/>
        </w:rPr>
        <w:t xml:space="preserve">egítimo y no solo que con sus acciones logre anular el acto, pero sin las posibilidades de que a la postre se le pueda otorgar lo que pretende.  Es improcedente el libelo interpuesto por el señor </w:t>
      </w:r>
      <w:r w:rsidRPr="00436D53">
        <w:rPr>
          <w:rFonts w:ascii="Verdana" w:hAnsi="Verdana"/>
          <w:b/>
          <w:bCs/>
          <w:sz w:val="22"/>
          <w:szCs w:val="22"/>
          <w:lang w:val="es-CR"/>
        </w:rPr>
        <w:t>S</w:t>
      </w:r>
      <w:r w:rsidR="00EA7936">
        <w:rPr>
          <w:rFonts w:ascii="Verdana" w:hAnsi="Verdana"/>
          <w:b/>
          <w:bCs/>
          <w:sz w:val="22"/>
          <w:szCs w:val="22"/>
          <w:lang w:val="es-CR"/>
        </w:rPr>
        <w:t>.V.R.</w:t>
      </w:r>
      <w:r w:rsidRPr="00436D53">
        <w:rPr>
          <w:rFonts w:ascii="Verdana" w:hAnsi="Verdana"/>
          <w:sz w:val="22"/>
          <w:szCs w:val="22"/>
          <w:lang w:val="es-CR"/>
        </w:rPr>
        <w:t>, ya que su posición es la de denunciante y la de parte, pero tampoco acreditó nunca de manera cierta en el procedimiento administrativ</w:t>
      </w:r>
      <w:r w:rsidR="00BF290E" w:rsidRPr="00436D53">
        <w:rPr>
          <w:rFonts w:ascii="Verdana" w:hAnsi="Verdana"/>
          <w:sz w:val="22"/>
          <w:szCs w:val="22"/>
          <w:lang w:val="es-CR"/>
        </w:rPr>
        <w:t>o</w:t>
      </w:r>
      <w:r w:rsidRPr="00436D53">
        <w:rPr>
          <w:rFonts w:ascii="Verdana" w:hAnsi="Verdana"/>
          <w:sz w:val="22"/>
          <w:szCs w:val="22"/>
          <w:lang w:val="es-CR"/>
        </w:rPr>
        <w:t xml:space="preserve">, que le asistiera algún derecho subjetivo o interés </w:t>
      </w:r>
      <w:r w:rsidR="00BF290E" w:rsidRPr="00436D53">
        <w:rPr>
          <w:rFonts w:ascii="Verdana" w:hAnsi="Verdana"/>
          <w:sz w:val="22"/>
          <w:szCs w:val="22"/>
          <w:lang w:val="es-CR"/>
        </w:rPr>
        <w:t>legítimo</w:t>
      </w:r>
      <w:r w:rsidRPr="00436D53">
        <w:rPr>
          <w:rFonts w:ascii="Verdana" w:hAnsi="Verdana"/>
          <w:sz w:val="22"/>
          <w:szCs w:val="22"/>
          <w:lang w:val="es-CR"/>
        </w:rPr>
        <w:t>, que le permitiera cobijarse con la investidura de parte y no de un testigo de la Administración</w:t>
      </w:r>
      <w:r w:rsidR="00BF290E" w:rsidRPr="00436D53">
        <w:rPr>
          <w:rFonts w:ascii="Verdana" w:hAnsi="Verdana"/>
          <w:sz w:val="22"/>
          <w:szCs w:val="22"/>
          <w:lang w:val="es-CR"/>
        </w:rPr>
        <w:t xml:space="preserve">, </w:t>
      </w:r>
      <w:r w:rsidRPr="00436D53">
        <w:rPr>
          <w:rFonts w:ascii="Verdana" w:hAnsi="Verdana"/>
          <w:sz w:val="22"/>
          <w:szCs w:val="22"/>
          <w:lang w:val="es-CR"/>
        </w:rPr>
        <w:t xml:space="preserve"> </w:t>
      </w:r>
      <w:r w:rsidR="00BF290E" w:rsidRPr="00436D53">
        <w:rPr>
          <w:rFonts w:ascii="Verdana" w:hAnsi="Verdana"/>
          <w:sz w:val="22"/>
          <w:szCs w:val="22"/>
          <w:lang w:val="es-CR"/>
        </w:rPr>
        <w:t xml:space="preserve">ya </w:t>
      </w:r>
      <w:r w:rsidRPr="00436D53">
        <w:rPr>
          <w:rFonts w:ascii="Verdana" w:hAnsi="Verdana"/>
          <w:sz w:val="22"/>
          <w:szCs w:val="22"/>
          <w:lang w:val="es-CR"/>
        </w:rPr>
        <w:t>que con su actuación lo</w:t>
      </w:r>
      <w:r w:rsidR="004573A0" w:rsidRPr="00436D53">
        <w:rPr>
          <w:rFonts w:ascii="Verdana" w:hAnsi="Verdana"/>
          <w:sz w:val="22"/>
          <w:szCs w:val="22"/>
          <w:lang w:val="es-CR"/>
        </w:rPr>
        <w:t xml:space="preserve"> </w:t>
      </w:r>
      <w:r w:rsidRPr="00436D53">
        <w:rPr>
          <w:rFonts w:ascii="Verdana" w:hAnsi="Verdana"/>
          <w:sz w:val="22"/>
          <w:szCs w:val="22"/>
          <w:lang w:val="es-CR"/>
        </w:rPr>
        <w:t xml:space="preserve">que hizo fue poner en conocimiento del Consejo de Transporte Público de un supuesto incumplimiento de un prestador del servicio de Transporte </w:t>
      </w:r>
      <w:r w:rsidR="00BF290E" w:rsidRPr="00436D53">
        <w:rPr>
          <w:rFonts w:ascii="Verdana" w:hAnsi="Verdana"/>
          <w:sz w:val="22"/>
          <w:szCs w:val="22"/>
          <w:lang w:val="es-CR"/>
        </w:rPr>
        <w:t xml:space="preserve">Público </w:t>
      </w:r>
      <w:r w:rsidR="004573A0" w:rsidRPr="00436D53">
        <w:rPr>
          <w:rFonts w:ascii="Verdana" w:hAnsi="Verdana"/>
          <w:sz w:val="22"/>
          <w:szCs w:val="22"/>
          <w:lang w:val="es-CR"/>
        </w:rPr>
        <w:t>Remunerado de</w:t>
      </w:r>
      <w:r w:rsidRPr="00436D53">
        <w:rPr>
          <w:rFonts w:ascii="Verdana" w:hAnsi="Verdana"/>
          <w:sz w:val="22"/>
          <w:szCs w:val="22"/>
          <w:lang w:val="es-CR"/>
        </w:rPr>
        <w:t xml:space="preserve"> Personas</w:t>
      </w:r>
      <w:r w:rsidR="004573A0" w:rsidRPr="00436D53">
        <w:rPr>
          <w:rFonts w:ascii="Verdana" w:hAnsi="Verdana"/>
          <w:sz w:val="22"/>
          <w:szCs w:val="22"/>
          <w:lang w:val="es-CR"/>
        </w:rPr>
        <w:t>.</w:t>
      </w:r>
    </w:p>
    <w:p w14:paraId="4CC490C8" w14:textId="0D7476B2" w:rsidR="0074452B" w:rsidRPr="00436D53" w:rsidRDefault="0074452B" w:rsidP="0074452B">
      <w:pPr>
        <w:jc w:val="both"/>
        <w:rPr>
          <w:rFonts w:ascii="Verdana" w:hAnsi="Verdana"/>
          <w:sz w:val="22"/>
          <w:szCs w:val="22"/>
          <w:lang w:val="es-CR"/>
        </w:rPr>
      </w:pPr>
      <w:r w:rsidRPr="00436D53">
        <w:rPr>
          <w:rFonts w:ascii="Verdana" w:hAnsi="Verdana"/>
          <w:sz w:val="22"/>
          <w:szCs w:val="22"/>
          <w:lang w:val="es-CR"/>
        </w:rPr>
        <w:t xml:space="preserve"> </w:t>
      </w:r>
    </w:p>
    <w:p w14:paraId="2BF31B3B" w14:textId="11CE191F" w:rsidR="0074452B" w:rsidRPr="00436D53" w:rsidRDefault="0074452B" w:rsidP="004573A0">
      <w:pPr>
        <w:pStyle w:val="NormalWeb"/>
        <w:spacing w:line="276" w:lineRule="auto"/>
        <w:jc w:val="both"/>
        <w:rPr>
          <w:rFonts w:ascii="Verdana" w:hAnsi="Verdana"/>
          <w:i/>
          <w:iCs/>
          <w:color w:val="000000"/>
          <w:sz w:val="22"/>
          <w:szCs w:val="22"/>
          <w:shd w:val="clear" w:color="auto" w:fill="FFFFFF"/>
        </w:rPr>
      </w:pPr>
      <w:r w:rsidRPr="00436D53">
        <w:rPr>
          <w:rFonts w:ascii="Verdana" w:hAnsi="Verdana"/>
          <w:sz w:val="22"/>
          <w:szCs w:val="22"/>
        </w:rPr>
        <w:t xml:space="preserve">La Sala </w:t>
      </w:r>
      <w:r w:rsidR="004573A0" w:rsidRPr="00436D53">
        <w:rPr>
          <w:rFonts w:ascii="Verdana" w:hAnsi="Verdana"/>
          <w:sz w:val="22"/>
          <w:szCs w:val="22"/>
        </w:rPr>
        <w:t>Constitucional</w:t>
      </w:r>
      <w:r w:rsidRPr="00436D53">
        <w:rPr>
          <w:rFonts w:ascii="Verdana" w:hAnsi="Verdana"/>
          <w:sz w:val="22"/>
          <w:szCs w:val="22"/>
        </w:rPr>
        <w:t xml:space="preserve"> de la Corte Suprema de Justicia en su sentencia </w:t>
      </w:r>
      <w:proofErr w:type="gramStart"/>
      <w:r w:rsidRPr="00436D53">
        <w:rPr>
          <w:rFonts w:ascii="Verdana" w:hAnsi="Verdana"/>
          <w:sz w:val="22"/>
          <w:szCs w:val="22"/>
        </w:rPr>
        <w:t xml:space="preserve">número </w:t>
      </w:r>
      <w:r w:rsidR="004573A0" w:rsidRPr="00436D53">
        <w:rPr>
          <w:rFonts w:ascii="Verdana" w:hAnsi="Verdana"/>
          <w:sz w:val="22"/>
          <w:szCs w:val="22"/>
        </w:rPr>
        <w:t xml:space="preserve"> 2010005101</w:t>
      </w:r>
      <w:proofErr w:type="gramEnd"/>
      <w:r w:rsidR="004573A0" w:rsidRPr="00436D53">
        <w:rPr>
          <w:rFonts w:ascii="Verdana" w:hAnsi="Verdana"/>
          <w:sz w:val="22"/>
          <w:szCs w:val="22"/>
        </w:rPr>
        <w:t xml:space="preserve"> de  las catorce horas y treinta minutos del dieciséis de marzo del dos mil diez  respecto a la condición del denunciante y su </w:t>
      </w:r>
      <w:r w:rsidR="00BF290E" w:rsidRPr="00436D53">
        <w:rPr>
          <w:rFonts w:ascii="Verdana" w:hAnsi="Verdana"/>
          <w:sz w:val="22"/>
          <w:szCs w:val="22"/>
        </w:rPr>
        <w:t>l</w:t>
      </w:r>
      <w:r w:rsidR="004573A0" w:rsidRPr="00436D53">
        <w:rPr>
          <w:rFonts w:ascii="Verdana" w:hAnsi="Verdana"/>
          <w:sz w:val="22"/>
          <w:szCs w:val="22"/>
        </w:rPr>
        <w:t>egitimación indicó</w:t>
      </w:r>
      <w:r w:rsidRPr="00436D53">
        <w:rPr>
          <w:rFonts w:ascii="Verdana" w:hAnsi="Verdana"/>
          <w:sz w:val="22"/>
          <w:szCs w:val="22"/>
        </w:rPr>
        <w:t xml:space="preserve">: </w:t>
      </w:r>
    </w:p>
    <w:p w14:paraId="54A1C063" w14:textId="77777777" w:rsidR="005C468C" w:rsidRPr="00436D53" w:rsidRDefault="0074452B" w:rsidP="005C468C">
      <w:pPr>
        <w:pStyle w:val="NormalWeb"/>
        <w:ind w:left="397" w:right="397"/>
        <w:jc w:val="both"/>
        <w:rPr>
          <w:rFonts w:ascii="Verdana" w:hAnsi="Verdana"/>
          <w:i/>
          <w:iCs/>
          <w:sz w:val="22"/>
          <w:szCs w:val="22"/>
        </w:rPr>
      </w:pPr>
      <w:proofErr w:type="gramStart"/>
      <w:r w:rsidRPr="00436D53">
        <w:rPr>
          <w:rFonts w:ascii="Verdana" w:hAnsi="Verdana"/>
          <w:i/>
          <w:iCs/>
          <w:sz w:val="22"/>
          <w:szCs w:val="22"/>
        </w:rPr>
        <w:t>“</w:t>
      </w:r>
      <w:r w:rsidR="005C468C" w:rsidRPr="00436D53">
        <w:rPr>
          <w:rFonts w:ascii="Verdana" w:hAnsi="Verdana"/>
          <w:i/>
          <w:iCs/>
          <w:sz w:val="22"/>
          <w:szCs w:val="22"/>
        </w:rPr>
        <w:t xml:space="preserve">  </w:t>
      </w:r>
      <w:proofErr w:type="gramEnd"/>
      <w:r w:rsidR="005C468C" w:rsidRPr="00436D53">
        <w:rPr>
          <w:rFonts w:ascii="Verdana" w:hAnsi="Verdana"/>
          <w:i/>
          <w:iCs/>
          <w:sz w:val="22"/>
          <w:szCs w:val="22"/>
        </w:rPr>
        <w:t xml:space="preserve">          V.- Sobre el acceso a los expedientes administrativos de investigación. Al respecto, en la sentencia número 2003-02462 de las diez horas con dieciséis minutos del veintiuno de marzo de 2003, este Tribunal señaló:</w:t>
      </w:r>
    </w:p>
    <w:p w14:paraId="2868605B" w14:textId="3049E89C" w:rsidR="0074452B" w:rsidRPr="00436D53" w:rsidRDefault="005C468C" w:rsidP="005C468C">
      <w:pPr>
        <w:pStyle w:val="NormalWeb"/>
        <w:spacing w:before="0" w:beforeAutospacing="0" w:after="0" w:afterAutospacing="0"/>
        <w:ind w:left="397" w:right="397"/>
        <w:jc w:val="both"/>
        <w:rPr>
          <w:rFonts w:ascii="Verdana" w:hAnsi="Verdana"/>
          <w:b/>
          <w:i/>
          <w:sz w:val="22"/>
          <w:szCs w:val="22"/>
        </w:rPr>
      </w:pPr>
      <w:r w:rsidRPr="00436D53">
        <w:rPr>
          <w:rFonts w:ascii="Verdana" w:hAnsi="Verdana"/>
          <w:i/>
          <w:iCs/>
          <w:sz w:val="22"/>
          <w:szCs w:val="22"/>
        </w:rPr>
        <w:t xml:space="preserve">    “II.-... el ordenamiento jurídico ha previsto, con el propósito de proteger los derechos del servidor cuestionado y la objetividad en el desarrollo de las averiguaciones pertinentes, que en el procedimiento investigatorio existan diversos momentos procesales con diferentes niveles de acceso a los expedientes. En este sentido, los párrafos segundo y tercero del artículo 6 de la Ley General de Control Interno número 8292 del veintisiete de agosto del año anterior, establecen que “la información, documentación y otras evidencias de las investigaciones que efectúan las auditorías internas, la administración y la Contraloría General, cuyos resultados puedan originar la apertura de un procedimiento </w:t>
      </w:r>
      <w:r w:rsidRPr="00436D53">
        <w:rPr>
          <w:rFonts w:ascii="Verdana" w:hAnsi="Verdana"/>
          <w:i/>
          <w:iCs/>
          <w:sz w:val="22"/>
          <w:szCs w:val="22"/>
        </w:rPr>
        <w:lastRenderedPageBreak/>
        <w:t xml:space="preserve">administrativo, serán confidenciales durante la formulación del informe respectivo. Una vez notificado el informe correspondiente y hasta la resolución final del procedimiento administrativo, la información contenida en el expediente será calificada como información confidencial, excepto para las partes involucradas, las cuales tendrán libre acceso a todos los documentos y las pruebas que obren en el expediente administrativo. Para todos los casos, la Asamblea Legislativa, en el ejercicio de las facultades contenidas en el inciso 23) del artículo 121 de la Constitución Política, podrá acceder a los informes, la documentación y las pruebas que obren en poder de las auditorías internas, la administración o la Contraloría General de la República”. Con base en esta norma, la Sala interpreta que existen, al menos, tres etapas en una investigación administrativa, cada una de las cuales se caracteriza por un grado distinto de acceso a la información. La primera se refiere al inicio de la denominada investigación preliminar, que puede comenzar con una denuncia, como en este caso, o con una actuación de oficio del Estado. Esta fase se relaciona con las primeras averiguaciones y pesquisas que realiza la Administración con el fin de determinar si en efecto hay mérito para iniciar un procedimiento administrativo formal. En este momento, la documentación recopilada y los dictámenes al efecto resultan confidenciales para cualquier persona en la medida que, por un lado, se deben garantizar los resultados de la investigación y, por otro lado, no existe certeza aún sobre la procedencia o no de lo denunciado. La segunda fase comprende el momento desde que empieza un procedimiento administrativo, normalmente a partir de una investigación preliminar, hasta que se comunica la resolución final del mismo. En esta etapa, resulta obvio que las pruebas e informes relativos a lo indagado tienen que estar a disposición de las partes involucradas, a fin de que las autoridades públicas investiguen lo concerniente y los cuestionados ejerzan efectivamente su derecho de defensa. El denunciante no se puede tener técnicamente como parte en un procedimiento administrativo de este tipo por el mero hecho de la denuncia interpuesta, sino que éste debe hacerse presente en dicho procedimiento y demostrar poseer algún derecho subjetivo o interés legítimo que fuera actual, propio y legítimo, y pudiera resultar directamente afectado, lesionado o satisfecho, en virtud del acto final del procedimiento de investigación, según lo contemplado en el artículo 275 de la Ley General de Administración Pública. Con excepción de las partes, durante tal segunda etapa ninguna otra persona puede tener acceso al expediente administrativo correspondiente, puesto que aún la Administración no ha concluido si el acto investigado efectivamente sucedió y de qué forma, o si existe mérito o no para una sanción. En la última etapa, que concluye con la notificación de la resolución final de la investigación a las partes, cesa la confidencialidad de la información contenida en el expediente administrativo correspondiente, que por versar sobre cuestiones relacionadas con el desempeño de los servidores estatales resulta de evidente interés público y debe estar a disposición de todo ciudadano. Las diversas fases expuestas no implican, sin embargo, que el </w:t>
      </w:r>
      <w:r w:rsidRPr="00436D53">
        <w:rPr>
          <w:rFonts w:ascii="Verdana" w:hAnsi="Verdana"/>
          <w:i/>
          <w:iCs/>
          <w:sz w:val="22"/>
          <w:szCs w:val="22"/>
        </w:rPr>
        <w:lastRenderedPageBreak/>
        <w:t>denunciante carezca de todo derecho a información en lo relativo a su denuncia. En efecto, el Estado siempre estará en la obligación de suministrarle a él datos generales sobre la tramitación brindada a su denuncia, tales como los órganos responsables de su diligenciamiento, la fase procesal en la que se encuentra o el plazo prudencial para su conclusión. En este sentido, la Sala observa un notorio interés público en la denuncia no solo como instrumento de control político, sino también como mecanismo útil para la evaluación de resultados y rendición de cuentas de la Administración, fines todos de relevancia constitucional según lo estatuido en el artículo 11 de la Constitución Política.”</w:t>
      </w:r>
    </w:p>
    <w:p w14:paraId="47454632" w14:textId="77777777" w:rsidR="0074452B" w:rsidRPr="00436D53" w:rsidRDefault="0074452B" w:rsidP="0074452B">
      <w:pPr>
        <w:pStyle w:val="NormalWeb"/>
        <w:spacing w:before="0" w:beforeAutospacing="0" w:after="0" w:afterAutospacing="0" w:line="276" w:lineRule="auto"/>
        <w:jc w:val="both"/>
        <w:rPr>
          <w:rFonts w:ascii="Verdana" w:hAnsi="Verdana"/>
          <w:sz w:val="22"/>
          <w:szCs w:val="22"/>
        </w:rPr>
      </w:pPr>
    </w:p>
    <w:p w14:paraId="2AB59C4B" w14:textId="2C539AFF" w:rsidR="00446016" w:rsidRPr="00436D53" w:rsidRDefault="005C468C" w:rsidP="005C468C">
      <w:pPr>
        <w:jc w:val="both"/>
        <w:rPr>
          <w:rFonts w:ascii="Verdana" w:hAnsi="Verdana"/>
          <w:bCs/>
          <w:sz w:val="22"/>
          <w:szCs w:val="22"/>
        </w:rPr>
      </w:pPr>
      <w:r w:rsidRPr="00436D53">
        <w:rPr>
          <w:rFonts w:ascii="Verdana" w:hAnsi="Verdana"/>
          <w:bCs/>
          <w:sz w:val="22"/>
          <w:szCs w:val="22"/>
        </w:rPr>
        <w:t xml:space="preserve">Sobre el mismo tema y a mayor abundancia es necesario transcribir otro fallo de la misma Sala Constitucional la cual en su </w:t>
      </w:r>
      <w:r w:rsidR="00BF290E" w:rsidRPr="00436D53">
        <w:rPr>
          <w:rFonts w:ascii="Verdana" w:hAnsi="Verdana"/>
          <w:bCs/>
          <w:sz w:val="22"/>
          <w:szCs w:val="22"/>
        </w:rPr>
        <w:t xml:space="preserve">resolución No. </w:t>
      </w:r>
      <w:r w:rsidRPr="00436D53">
        <w:rPr>
          <w:rFonts w:ascii="Verdana" w:hAnsi="Verdana"/>
          <w:bCs/>
          <w:sz w:val="22"/>
          <w:szCs w:val="22"/>
        </w:rPr>
        <w:t xml:space="preserve">2008017883, </w:t>
      </w:r>
      <w:r w:rsidR="00BF290E" w:rsidRPr="00436D53">
        <w:rPr>
          <w:rFonts w:ascii="Verdana" w:hAnsi="Verdana"/>
          <w:bCs/>
          <w:sz w:val="22"/>
          <w:szCs w:val="22"/>
        </w:rPr>
        <w:t>de las</w:t>
      </w:r>
      <w:r w:rsidRPr="00436D53">
        <w:rPr>
          <w:rFonts w:ascii="Verdana" w:hAnsi="Verdana"/>
          <w:bCs/>
          <w:sz w:val="22"/>
          <w:szCs w:val="22"/>
        </w:rPr>
        <w:t xml:space="preserve"> diez horas y veintiuno minutos del nueve de diciembre del dos mil ocho, se refiere a la naturaleza de la persona denunciante: </w:t>
      </w:r>
    </w:p>
    <w:p w14:paraId="19483FB5" w14:textId="03C0CE49" w:rsidR="005C468C" w:rsidRPr="00436D53" w:rsidRDefault="005C468C" w:rsidP="005C468C">
      <w:pPr>
        <w:jc w:val="both"/>
        <w:rPr>
          <w:rFonts w:ascii="Verdana" w:hAnsi="Verdana"/>
          <w:bCs/>
          <w:sz w:val="22"/>
          <w:szCs w:val="22"/>
        </w:rPr>
      </w:pPr>
    </w:p>
    <w:p w14:paraId="71FCF719" w14:textId="2E31DD98"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“Considerando:</w:t>
      </w:r>
    </w:p>
    <w:p w14:paraId="10A073D8" w14:textId="77777777" w:rsidR="005C468C" w:rsidRPr="00436D53" w:rsidRDefault="005C468C" w:rsidP="005C468C">
      <w:pPr>
        <w:ind w:left="284" w:right="284"/>
        <w:jc w:val="both"/>
        <w:rPr>
          <w:rFonts w:ascii="Verdana" w:hAnsi="Verdana"/>
          <w:bCs/>
          <w:i/>
          <w:iCs/>
          <w:sz w:val="22"/>
          <w:szCs w:val="22"/>
        </w:rPr>
      </w:pPr>
    </w:p>
    <w:p w14:paraId="7688DF63" w14:textId="7777777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I.-</w:t>
      </w:r>
    </w:p>
    <w:p w14:paraId="7BEEC276" w14:textId="436534DB"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 xml:space="preserve">En primer </w:t>
      </w:r>
      <w:r w:rsidR="00BF290E" w:rsidRPr="00436D53">
        <w:rPr>
          <w:rFonts w:ascii="Verdana" w:hAnsi="Verdana"/>
          <w:bCs/>
          <w:i/>
          <w:iCs/>
          <w:sz w:val="22"/>
          <w:szCs w:val="22"/>
        </w:rPr>
        <w:t>lugar,</w:t>
      </w:r>
      <w:r w:rsidRPr="00436D53">
        <w:rPr>
          <w:rFonts w:ascii="Verdana" w:hAnsi="Verdana"/>
          <w:bCs/>
          <w:i/>
          <w:iCs/>
          <w:sz w:val="22"/>
          <w:szCs w:val="22"/>
        </w:rPr>
        <w:t xml:space="preserve"> resulta de importancia señalar a la amparada </w:t>
      </w:r>
      <w:r w:rsidR="00BF290E" w:rsidRPr="00436D53">
        <w:rPr>
          <w:rFonts w:ascii="Verdana" w:hAnsi="Verdana"/>
          <w:bCs/>
          <w:i/>
          <w:iCs/>
          <w:sz w:val="22"/>
          <w:szCs w:val="22"/>
        </w:rPr>
        <w:t>que,</w:t>
      </w:r>
      <w:r w:rsidRPr="00436D53">
        <w:rPr>
          <w:rFonts w:ascii="Verdana" w:hAnsi="Verdana"/>
          <w:bCs/>
          <w:i/>
          <w:iCs/>
          <w:sz w:val="22"/>
          <w:szCs w:val="22"/>
        </w:rPr>
        <w:t xml:space="preserve"> en relación con las denuncias, mediante resolución número 2006-02377 de las 10:48 horas del 24 de febrero del 2006, este Tribunal dispuso:</w:t>
      </w:r>
    </w:p>
    <w:p w14:paraId="11A71F7B" w14:textId="77777777" w:rsidR="005C468C" w:rsidRPr="00436D53" w:rsidRDefault="005C468C" w:rsidP="005C468C">
      <w:pPr>
        <w:ind w:left="284" w:right="284"/>
        <w:jc w:val="both"/>
        <w:rPr>
          <w:rFonts w:ascii="Verdana" w:hAnsi="Verdana"/>
          <w:bCs/>
          <w:i/>
          <w:iCs/>
          <w:sz w:val="22"/>
          <w:szCs w:val="22"/>
        </w:rPr>
      </w:pPr>
    </w:p>
    <w:p w14:paraId="536F79D7" w14:textId="7777777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“III.-</w:t>
      </w:r>
    </w:p>
    <w:p w14:paraId="76A203DF" w14:textId="77777777" w:rsidR="005C468C" w:rsidRPr="00436D53" w:rsidRDefault="005C468C" w:rsidP="005C468C">
      <w:pPr>
        <w:ind w:left="284" w:right="284"/>
        <w:jc w:val="both"/>
        <w:rPr>
          <w:rFonts w:ascii="Verdana" w:hAnsi="Verdana"/>
          <w:bCs/>
          <w:i/>
          <w:iCs/>
          <w:sz w:val="22"/>
          <w:szCs w:val="22"/>
        </w:rPr>
      </w:pPr>
    </w:p>
    <w:p w14:paraId="407B68E3" w14:textId="7777777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 xml:space="preserve">Las denuncias son medios utilizados por los administrados para poner en conocimiento de la Administración, hechos que el denunciante estima irregulares o ilegales, con el objeto de instar el ejercicio de competencias normalmente disciplinarias o sancionatorias, depositadas en los órganos públicos. En ocasiones, la denuncia configura incluso un deber para quien dada su función o su actividad tiene conocimiento de esos hechos, pero en otros casos es más bien un modo de participación en asuntos que conciernen al interés público, perfectamente compatible, y, de hecho, fundamentado en el principio democrático. En todo caso, no se puede negar que las denuncias, al igual que las peticiones de información, los reclamos administrativos y las solicitudes de otorgamiento de ciertos derechos, se encuentran incluidas dentro del concepto genérico de petición establecido en el artículo 27 constitucional, con su correlativo derecho de obtener respuesta como complemento del ejercicio del derecho de pedir. Ahora bien, tanto el plazo para tramitar y resolver una denuncia, como lo qué se debe informar y el acceso al expediente, están supeditados al particular régimen jurídico que caracteriza a ese instituto. En lo que concierne al primer aspecto, la razonabilidad del tiempo demorado en oficiar y decidir, depende del grado de complejidad del asunto por investigar, circunstancia que sólo puede ser valorada casuísticamente (ver sentencia número 2002-06858 de las 9:08 horas del 12 de julio de 2002). En lo relativo al segundo aspecto, la Administración está en la obligación de comunicarle al denunciante el estado de la tramitación en que se encuentra su queja, así </w:t>
      </w:r>
      <w:r w:rsidRPr="00436D53">
        <w:rPr>
          <w:rFonts w:ascii="Verdana" w:hAnsi="Verdana"/>
          <w:bCs/>
          <w:i/>
          <w:iCs/>
          <w:sz w:val="22"/>
          <w:szCs w:val="22"/>
        </w:rPr>
        <w:lastRenderedPageBreak/>
        <w:t xml:space="preserve">como el resultado de la misma, lo que sí resulta de interés público, habida cuenta de la necesaria fiscalización y evaluación a las que tienen que estar sometidos los servidores públicos por parte de la ciudadanía en el desempeño de sus funciones. (…) la Sala interpreta que existen, al menos, tres etapas en una investigación administrativa, cada una de las cuales se caracteriza por un grado distinto de acceso a la información. La primera se refiere al inicio de la denominada investigación preliminar, que puede comenzar con una denuncia, como en este caso, o con una actuación de oficio del Estado. Esta fase se relaciona con las primeras averiguaciones y pesquisas que realiza la Administración con el fin de determinar si en efecto hay mérito para iniciar un procedimiento administrativo formal. En este momento, la documentación recopilada y los dictámenes al efecto resultan confidenciales para cualquier persona, incluso para el denunciante y el denunciado, en la medida que, por un lado, se deben garantizar los resultados de la investigación y proteger tanto la honra del denunciado como la confidencialidad del denunciante de buena fe y, por otro lado, no existe certeza aún sobre la procedencia de lo denunciado. La segunda fase comprende el momento desde que empieza un procedimiento administrativo, por lo general a partir de una investigación preliminar, hasta que se comunica la resolución final del mismo. En esta etapa, resulta obvio que las pruebas e informes relativos a lo indagado tienen que estar a disposición de las partes involucradas, a fin de que las autoridades públicas investiguen lo concerniente y los cuestionados ejerzan efectivamente su derecho de defensa. El denunciante no se puede tener técnicamente como parte en un procedimiento administrativo de este tipo por el mero hecho de la denuncia interpuesta, sino que éste debe apersonarse y demostrar que ostenta algún derecho subjetivo o interés legítimo que pudiera resultar directamente afectado, lesionado o satisfecho por un acto administrativo final, según lo contemplado en el artículo 275 de la Ley General de Administración Pública. Con excepción de las partes, durante esa segunda etapa ninguna otra persona puede tener acceso al expediente administrativo correspondiente, puesto que aún la Administración no ha concluido si el acto investigado efectivamente sucedió y de qué forma, o si existe mérito para una sanción. En la última etapa, que no termina sino con la notificación de la resolución final de la investigación a las partes, cesa la confidencialidad de la información contenida en el expediente administrativo correspondiente, que por versar sobre cuestiones relacionadas con el desempeño de los servidores estatales resulta de evidente interés público y debe estar a disposición de todo ciudadano. No obstante, en cualquier fase, las autoridades judiciales pueden requerir la información pertinente, ante la posible existencia de un delito contra el honor de la persona denunciada. Las diversas facetas expuestas no implican, sin embargo, que el denunciante carezca de todo derecho a información en lo relativo a su gestión. En efecto, el Estado siempre estará en la obligación de suministrarle a él datos generales sobre la tramitación brindada a su denuncia, tales como los órganos responsables de su diligenciamiento, la fase procesal en la que se encuentra o el plazo prudencial para su conclusión. En este sentido, la Sala observa un notorio </w:t>
      </w:r>
      <w:r w:rsidRPr="00436D53">
        <w:rPr>
          <w:rFonts w:ascii="Verdana" w:hAnsi="Verdana"/>
          <w:bCs/>
          <w:i/>
          <w:iCs/>
          <w:sz w:val="22"/>
          <w:szCs w:val="22"/>
        </w:rPr>
        <w:lastRenderedPageBreak/>
        <w:t>interés público en la denuncia no solo como instrumento de control político, sino también como mecanismo útil para la evaluación de resultados y rendición de cuentas de la Administración, fines todos de relevancia constitucional según lo estatuido en el artículo 11 de la Constitución Política.”</w:t>
      </w:r>
    </w:p>
    <w:p w14:paraId="5973B570" w14:textId="77777777" w:rsidR="005C468C" w:rsidRPr="00436D53" w:rsidRDefault="005C468C" w:rsidP="005C468C">
      <w:pPr>
        <w:ind w:left="284" w:right="284"/>
        <w:jc w:val="both"/>
        <w:rPr>
          <w:rFonts w:ascii="Verdana" w:hAnsi="Verdana"/>
          <w:bCs/>
          <w:i/>
          <w:iCs/>
          <w:sz w:val="22"/>
          <w:szCs w:val="22"/>
        </w:rPr>
      </w:pPr>
    </w:p>
    <w:p w14:paraId="470475E2" w14:textId="7777777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II.-</w:t>
      </w:r>
    </w:p>
    <w:p w14:paraId="112B4408" w14:textId="77777777" w:rsidR="005C468C" w:rsidRPr="00436D53" w:rsidRDefault="005C468C" w:rsidP="005C468C">
      <w:pPr>
        <w:ind w:left="284" w:right="284"/>
        <w:jc w:val="both"/>
        <w:rPr>
          <w:rFonts w:ascii="Verdana" w:hAnsi="Verdana"/>
          <w:bCs/>
          <w:i/>
          <w:iCs/>
          <w:sz w:val="22"/>
          <w:szCs w:val="22"/>
        </w:rPr>
      </w:pPr>
    </w:p>
    <w:p w14:paraId="43DDB415" w14:textId="3C28E75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 xml:space="preserve">Del caso particular. La recurrente acude en amparo por cuanto por resolución de las 10:00 horas del 8 de agosto del 2008, la Fiscalía General de la República y la Unidad de la Inspección Judicial de San José, declaró sin lugar el recurso de apelación incoado por la recurrente dentro del procedimiento administrativo disciplinario seguido en contra de la funcionaria L.M.T., argumentando que no se encuentra legitimada para recurrir lo resuelto por la Unidad de la Inspección Judicial, al no ser parte dentro del procedimiento lo que considera improcedente y arbitrario dado que la deja en estado de indefensión. De lo manifestado por la </w:t>
      </w:r>
      <w:proofErr w:type="spellStart"/>
      <w:r w:rsidRPr="00436D53">
        <w:rPr>
          <w:rFonts w:ascii="Verdana" w:hAnsi="Verdana"/>
          <w:bCs/>
          <w:i/>
          <w:iCs/>
          <w:sz w:val="22"/>
          <w:szCs w:val="22"/>
        </w:rPr>
        <w:t>petente</w:t>
      </w:r>
      <w:proofErr w:type="spellEnd"/>
      <w:r w:rsidRPr="00436D53">
        <w:rPr>
          <w:rFonts w:ascii="Verdana" w:hAnsi="Verdana"/>
          <w:bCs/>
          <w:i/>
          <w:iCs/>
          <w:sz w:val="22"/>
          <w:szCs w:val="22"/>
        </w:rPr>
        <w:t xml:space="preserve"> se acreditó que efectivamente con los datos denunciados por la amparada se inició la correspondiente investigación con el fin de determinar si los hechos atribuidos a la Auxiliar Judicial L.M.T. eran ciertos, lo que culminó con eximir de toda pena y responsabilidad disciplinaria a la señora </w:t>
      </w:r>
      <w:r w:rsidR="003450CA" w:rsidRPr="00436D53">
        <w:rPr>
          <w:rFonts w:ascii="Verdana" w:hAnsi="Verdana"/>
          <w:bCs/>
          <w:i/>
          <w:iCs/>
          <w:sz w:val="22"/>
          <w:szCs w:val="22"/>
        </w:rPr>
        <w:t>M.T.</w:t>
      </w:r>
      <w:r w:rsidRPr="00436D53">
        <w:rPr>
          <w:rFonts w:ascii="Verdana" w:hAnsi="Verdana"/>
          <w:bCs/>
          <w:i/>
          <w:iCs/>
          <w:sz w:val="22"/>
          <w:szCs w:val="22"/>
        </w:rPr>
        <w:t xml:space="preserve"> Por lo anterior, y en atención a lo dispuesto en la resolución anteriormente transcrita, estima esta Sala que no se han violentado los derechos de la amparada, pues lo cierto es que pese a que ella interpuso la denuncia no le asiste derecho ni se encuentra legitimada para recurrir lo resuelto por el Órgano Director del Procedimiento ni el Órgano Decisor del mismo, por encontrarse disconforme con lo resuelto por tales autoridades</w:t>
      </w:r>
      <w:r w:rsidR="003450CA" w:rsidRPr="00436D53">
        <w:rPr>
          <w:rFonts w:ascii="Verdana" w:hAnsi="Verdana"/>
          <w:bCs/>
          <w:i/>
          <w:iCs/>
          <w:sz w:val="22"/>
          <w:szCs w:val="22"/>
        </w:rPr>
        <w:t>…</w:t>
      </w:r>
      <w:r w:rsidRPr="00436D53">
        <w:rPr>
          <w:rFonts w:ascii="Verdana" w:hAnsi="Verdana"/>
          <w:bCs/>
          <w:i/>
          <w:iCs/>
          <w:sz w:val="22"/>
          <w:szCs w:val="22"/>
        </w:rPr>
        <w:t>, el amparo resulta improcedente y así debe declararse.</w:t>
      </w:r>
    </w:p>
    <w:p w14:paraId="2B5266EB" w14:textId="77777777" w:rsidR="005C468C" w:rsidRPr="00436D53" w:rsidRDefault="005C468C" w:rsidP="005C468C">
      <w:pPr>
        <w:ind w:left="284" w:right="284"/>
        <w:jc w:val="both"/>
        <w:rPr>
          <w:rFonts w:ascii="Verdana" w:hAnsi="Verdana"/>
          <w:bCs/>
          <w:i/>
          <w:iCs/>
          <w:sz w:val="22"/>
          <w:szCs w:val="22"/>
        </w:rPr>
      </w:pPr>
    </w:p>
    <w:p w14:paraId="1342FE52" w14:textId="77777777"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Por tanto:</w:t>
      </w:r>
    </w:p>
    <w:p w14:paraId="0C234511" w14:textId="77777777" w:rsidR="005C468C" w:rsidRPr="00436D53" w:rsidRDefault="005C468C" w:rsidP="005C468C">
      <w:pPr>
        <w:ind w:left="284" w:right="284"/>
        <w:jc w:val="both"/>
        <w:rPr>
          <w:rFonts w:ascii="Verdana" w:hAnsi="Verdana"/>
          <w:bCs/>
          <w:i/>
          <w:iCs/>
          <w:sz w:val="22"/>
          <w:szCs w:val="22"/>
        </w:rPr>
      </w:pPr>
    </w:p>
    <w:p w14:paraId="401D5645" w14:textId="6132143C" w:rsidR="005C468C" w:rsidRPr="00436D53" w:rsidRDefault="005C468C" w:rsidP="005C468C">
      <w:pPr>
        <w:ind w:left="284" w:right="284"/>
        <w:jc w:val="both"/>
        <w:rPr>
          <w:rFonts w:ascii="Verdana" w:hAnsi="Verdana"/>
          <w:bCs/>
          <w:i/>
          <w:iCs/>
          <w:sz w:val="22"/>
          <w:szCs w:val="22"/>
        </w:rPr>
      </w:pPr>
      <w:r w:rsidRPr="00436D53">
        <w:rPr>
          <w:rFonts w:ascii="Verdana" w:hAnsi="Verdana"/>
          <w:bCs/>
          <w:i/>
          <w:iCs/>
          <w:sz w:val="22"/>
          <w:szCs w:val="22"/>
        </w:rPr>
        <w:t xml:space="preserve">Se rechaza por el fondo el </w:t>
      </w:r>
      <w:r w:rsidR="003450CA" w:rsidRPr="00436D53">
        <w:rPr>
          <w:rFonts w:ascii="Verdana" w:hAnsi="Verdana"/>
          <w:bCs/>
          <w:i/>
          <w:iCs/>
          <w:sz w:val="22"/>
          <w:szCs w:val="22"/>
        </w:rPr>
        <w:t>recurso. -</w:t>
      </w:r>
      <w:r w:rsidRPr="00436D53">
        <w:rPr>
          <w:rFonts w:ascii="Verdana" w:hAnsi="Verdana"/>
          <w:bCs/>
          <w:i/>
          <w:iCs/>
          <w:sz w:val="22"/>
          <w:szCs w:val="22"/>
        </w:rPr>
        <w:t>“</w:t>
      </w:r>
    </w:p>
    <w:p w14:paraId="16B67D98" w14:textId="77777777" w:rsidR="005C468C" w:rsidRPr="00436D53" w:rsidRDefault="005C468C" w:rsidP="005C468C">
      <w:pPr>
        <w:jc w:val="both"/>
        <w:rPr>
          <w:rFonts w:ascii="Verdana" w:hAnsi="Verdana"/>
          <w:bCs/>
          <w:sz w:val="22"/>
          <w:szCs w:val="22"/>
        </w:rPr>
      </w:pPr>
    </w:p>
    <w:p w14:paraId="0C897D71" w14:textId="62294CF4" w:rsidR="00F55C8B" w:rsidRPr="00436D53" w:rsidRDefault="005C468C" w:rsidP="00436D53">
      <w:pPr>
        <w:jc w:val="both"/>
        <w:rPr>
          <w:rFonts w:ascii="Verdana" w:hAnsi="Verdana"/>
          <w:bCs/>
          <w:sz w:val="22"/>
          <w:szCs w:val="22"/>
        </w:rPr>
      </w:pPr>
      <w:r w:rsidRPr="00436D53">
        <w:rPr>
          <w:rFonts w:ascii="Verdana" w:hAnsi="Verdana"/>
          <w:bCs/>
          <w:sz w:val="22"/>
          <w:szCs w:val="22"/>
        </w:rPr>
        <w:t>Por lo indicado anteriormente no queda más que proceder a</w:t>
      </w:r>
      <w:r w:rsidR="003450CA" w:rsidRPr="00436D53">
        <w:rPr>
          <w:rFonts w:ascii="Verdana" w:hAnsi="Verdana"/>
          <w:bCs/>
          <w:sz w:val="22"/>
          <w:szCs w:val="22"/>
        </w:rPr>
        <w:t xml:space="preserve"> r</w:t>
      </w:r>
      <w:r w:rsidRPr="00436D53">
        <w:rPr>
          <w:rFonts w:ascii="Verdana" w:hAnsi="Verdana"/>
          <w:bCs/>
          <w:sz w:val="22"/>
          <w:szCs w:val="22"/>
        </w:rPr>
        <w:t>echaza</w:t>
      </w:r>
      <w:r w:rsidR="003450CA" w:rsidRPr="00436D53">
        <w:rPr>
          <w:rFonts w:ascii="Verdana" w:hAnsi="Verdana"/>
          <w:bCs/>
          <w:sz w:val="22"/>
          <w:szCs w:val="22"/>
        </w:rPr>
        <w:t xml:space="preserve">r </w:t>
      </w:r>
      <w:r w:rsidRPr="00436D53">
        <w:rPr>
          <w:rFonts w:ascii="Verdana" w:hAnsi="Verdana"/>
          <w:bCs/>
          <w:sz w:val="22"/>
          <w:szCs w:val="22"/>
        </w:rPr>
        <w:t xml:space="preserve">el presente </w:t>
      </w:r>
      <w:r w:rsidR="003450CA" w:rsidRPr="00436D53">
        <w:rPr>
          <w:rFonts w:ascii="Verdana" w:hAnsi="Verdana"/>
          <w:bCs/>
          <w:sz w:val="22"/>
          <w:szCs w:val="22"/>
        </w:rPr>
        <w:t>r</w:t>
      </w:r>
      <w:r w:rsidRPr="00436D53">
        <w:rPr>
          <w:rFonts w:ascii="Verdana" w:hAnsi="Verdana"/>
          <w:bCs/>
          <w:sz w:val="22"/>
          <w:szCs w:val="22"/>
        </w:rPr>
        <w:t>ecurso por falta de Legitimación.</w:t>
      </w:r>
    </w:p>
    <w:p w14:paraId="79970FE8" w14:textId="0719CEB3" w:rsidR="00F55C8B" w:rsidRPr="00436D53" w:rsidRDefault="00F55C8B" w:rsidP="0031194B">
      <w:pPr>
        <w:rPr>
          <w:rFonts w:ascii="Verdana" w:hAnsi="Verdana"/>
          <w:b/>
          <w:sz w:val="22"/>
          <w:szCs w:val="22"/>
        </w:rPr>
      </w:pPr>
    </w:p>
    <w:p w14:paraId="40A148D5" w14:textId="77777777" w:rsidR="00F55C8B" w:rsidRPr="00436D53" w:rsidRDefault="00F55C8B" w:rsidP="00446016">
      <w:pPr>
        <w:jc w:val="center"/>
        <w:rPr>
          <w:rFonts w:ascii="Verdana" w:hAnsi="Verdana"/>
          <w:b/>
          <w:sz w:val="22"/>
          <w:szCs w:val="22"/>
        </w:rPr>
      </w:pPr>
    </w:p>
    <w:p w14:paraId="7BA18405" w14:textId="77777777" w:rsidR="004E51D6" w:rsidRDefault="004E51D6" w:rsidP="00446016">
      <w:pPr>
        <w:jc w:val="center"/>
        <w:rPr>
          <w:rFonts w:ascii="Verdana" w:hAnsi="Verdana"/>
          <w:b/>
          <w:sz w:val="22"/>
          <w:szCs w:val="22"/>
        </w:rPr>
      </w:pPr>
    </w:p>
    <w:p w14:paraId="4552922E" w14:textId="77777777" w:rsidR="004E51D6" w:rsidRDefault="004E51D6" w:rsidP="00446016">
      <w:pPr>
        <w:jc w:val="center"/>
        <w:rPr>
          <w:rFonts w:ascii="Verdana" w:hAnsi="Verdana"/>
          <w:b/>
          <w:sz w:val="22"/>
          <w:szCs w:val="22"/>
        </w:rPr>
      </w:pPr>
    </w:p>
    <w:p w14:paraId="5B3BFB42" w14:textId="7E52B0B9" w:rsidR="00446016" w:rsidRPr="00436D53" w:rsidRDefault="00446016" w:rsidP="00446016">
      <w:pPr>
        <w:jc w:val="center"/>
        <w:rPr>
          <w:rFonts w:ascii="Verdana" w:hAnsi="Verdana"/>
          <w:b/>
          <w:sz w:val="22"/>
          <w:szCs w:val="22"/>
        </w:rPr>
      </w:pPr>
      <w:r w:rsidRPr="00436D53">
        <w:rPr>
          <w:rFonts w:ascii="Verdana" w:hAnsi="Verdana"/>
          <w:b/>
          <w:sz w:val="22"/>
          <w:szCs w:val="22"/>
        </w:rPr>
        <w:t>POR TANTO</w:t>
      </w:r>
    </w:p>
    <w:p w14:paraId="2722FF06" w14:textId="77777777" w:rsidR="00446016" w:rsidRPr="00436D53" w:rsidRDefault="00446016" w:rsidP="00446016">
      <w:pPr>
        <w:jc w:val="center"/>
        <w:rPr>
          <w:rFonts w:ascii="Verdana" w:hAnsi="Verdana"/>
          <w:b/>
          <w:sz w:val="22"/>
          <w:szCs w:val="22"/>
        </w:rPr>
      </w:pPr>
    </w:p>
    <w:p w14:paraId="049E602D" w14:textId="77777777" w:rsidR="00446016" w:rsidRPr="00436D53" w:rsidRDefault="00446016" w:rsidP="00446016">
      <w:pPr>
        <w:jc w:val="both"/>
        <w:rPr>
          <w:rFonts w:ascii="Verdana" w:hAnsi="Verdana"/>
          <w:b/>
          <w:sz w:val="22"/>
          <w:szCs w:val="22"/>
        </w:rPr>
      </w:pPr>
      <w:r w:rsidRPr="00436D53">
        <w:rPr>
          <w:rFonts w:ascii="Verdana" w:hAnsi="Verdana"/>
          <w:b/>
          <w:sz w:val="22"/>
          <w:szCs w:val="22"/>
        </w:rPr>
        <w:t xml:space="preserve">   </w:t>
      </w:r>
    </w:p>
    <w:p w14:paraId="4ADC4D67" w14:textId="37745AFD" w:rsidR="00446016" w:rsidRPr="00436D53" w:rsidRDefault="00446016" w:rsidP="00446016">
      <w:pPr>
        <w:jc w:val="both"/>
        <w:rPr>
          <w:rFonts w:ascii="Verdana" w:hAnsi="Verdana"/>
          <w:sz w:val="22"/>
          <w:szCs w:val="22"/>
        </w:rPr>
      </w:pPr>
      <w:r w:rsidRPr="00436D53">
        <w:rPr>
          <w:rFonts w:ascii="Verdana" w:hAnsi="Verdana"/>
          <w:b/>
          <w:sz w:val="22"/>
          <w:szCs w:val="22"/>
        </w:rPr>
        <w:t xml:space="preserve">I.-  </w:t>
      </w:r>
      <w:r w:rsidRPr="00436D53">
        <w:rPr>
          <w:rFonts w:ascii="Verdana" w:hAnsi="Verdana"/>
          <w:sz w:val="22"/>
          <w:szCs w:val="22"/>
        </w:rPr>
        <w:t xml:space="preserve">Se declara sin lugar </w:t>
      </w:r>
      <w:r w:rsidR="006B72FF" w:rsidRPr="00436D53">
        <w:rPr>
          <w:rFonts w:ascii="Verdana" w:hAnsi="Verdana"/>
          <w:sz w:val="22"/>
          <w:szCs w:val="22"/>
        </w:rPr>
        <w:t xml:space="preserve">por falta de Legitimación </w:t>
      </w:r>
      <w:r w:rsidRPr="00436D53">
        <w:rPr>
          <w:rFonts w:ascii="Verdana" w:hAnsi="Verdana"/>
          <w:sz w:val="22"/>
          <w:szCs w:val="22"/>
        </w:rPr>
        <w:t xml:space="preserve">el </w:t>
      </w:r>
      <w:r w:rsidR="006B72FF" w:rsidRPr="00436D53">
        <w:rPr>
          <w:rFonts w:ascii="Verdana" w:hAnsi="Verdana"/>
          <w:b/>
          <w:sz w:val="22"/>
          <w:szCs w:val="22"/>
        </w:rPr>
        <w:t>Recurso de Revocatoria con Apelación en subsidio</w:t>
      </w:r>
      <w:r w:rsidR="006B72FF" w:rsidRPr="00436D53">
        <w:rPr>
          <w:rFonts w:ascii="Verdana" w:hAnsi="Verdana"/>
          <w:sz w:val="22"/>
          <w:szCs w:val="22"/>
        </w:rPr>
        <w:t xml:space="preserve">, interpuesto por </w:t>
      </w:r>
      <w:r w:rsidR="006B72FF" w:rsidRPr="00436D53">
        <w:rPr>
          <w:rFonts w:ascii="Verdana" w:hAnsi="Verdana"/>
          <w:b/>
          <w:smallCaps/>
          <w:sz w:val="22"/>
          <w:szCs w:val="22"/>
        </w:rPr>
        <w:t>S</w:t>
      </w:r>
      <w:r w:rsidR="00EA7936">
        <w:rPr>
          <w:rFonts w:ascii="Verdana" w:hAnsi="Verdana"/>
          <w:b/>
          <w:smallCaps/>
          <w:sz w:val="22"/>
          <w:szCs w:val="22"/>
        </w:rPr>
        <w:t>.H.V.R.</w:t>
      </w:r>
      <w:r w:rsidR="006B72FF" w:rsidRPr="00436D53">
        <w:rPr>
          <w:rFonts w:ascii="Verdana" w:hAnsi="Verdana"/>
          <w:b/>
          <w:smallCaps/>
          <w:sz w:val="22"/>
          <w:szCs w:val="22"/>
        </w:rPr>
        <w:t>,</w:t>
      </w:r>
      <w:r w:rsidR="006B72FF" w:rsidRPr="00436D53">
        <w:rPr>
          <w:rFonts w:ascii="Verdana" w:hAnsi="Verdana"/>
          <w:b/>
          <w:sz w:val="22"/>
          <w:szCs w:val="22"/>
        </w:rPr>
        <w:t xml:space="preserve"> cédula de identidad número </w:t>
      </w:r>
      <w:r w:rsidR="00EA7936">
        <w:rPr>
          <w:rFonts w:ascii="Verdana" w:hAnsi="Verdana"/>
          <w:b/>
          <w:sz w:val="22"/>
          <w:szCs w:val="22"/>
        </w:rPr>
        <w:t>…</w:t>
      </w:r>
      <w:r w:rsidR="006B72FF" w:rsidRPr="00436D53">
        <w:rPr>
          <w:rFonts w:ascii="Verdana" w:hAnsi="Verdana"/>
          <w:sz w:val="22"/>
          <w:szCs w:val="22"/>
        </w:rPr>
        <w:t>, contra</w:t>
      </w:r>
      <w:r w:rsidR="006B72FF" w:rsidRPr="00436D53">
        <w:rPr>
          <w:rFonts w:ascii="Verdana" w:hAnsi="Verdana"/>
          <w:b/>
          <w:sz w:val="22"/>
          <w:szCs w:val="22"/>
        </w:rPr>
        <w:t xml:space="preserve"> </w:t>
      </w:r>
      <w:r w:rsidR="006B72FF" w:rsidRPr="00436D53">
        <w:rPr>
          <w:rFonts w:ascii="Verdana" w:hAnsi="Verdana"/>
          <w:sz w:val="22"/>
          <w:szCs w:val="22"/>
        </w:rPr>
        <w:t xml:space="preserve">el </w:t>
      </w:r>
      <w:r w:rsidR="006B72FF" w:rsidRPr="00436D53">
        <w:rPr>
          <w:rFonts w:ascii="Verdana" w:hAnsi="Verdana"/>
          <w:b/>
          <w:sz w:val="22"/>
          <w:szCs w:val="22"/>
        </w:rPr>
        <w:t>artículo 3.1 de la Sesión Ordinaria 22-2018 de 9 de agosto  de 2018</w:t>
      </w:r>
      <w:r w:rsidR="006B72FF" w:rsidRPr="00436D53">
        <w:rPr>
          <w:rFonts w:ascii="Verdana" w:hAnsi="Verdana"/>
          <w:sz w:val="22"/>
          <w:szCs w:val="22"/>
        </w:rPr>
        <w:t xml:space="preserve">, dictado por la Junta Directiva del Consejo de Transporte Público.  </w:t>
      </w:r>
      <w:r w:rsidRPr="00436D53">
        <w:rPr>
          <w:rFonts w:ascii="Verdana" w:hAnsi="Verdana"/>
          <w:sz w:val="22"/>
          <w:szCs w:val="22"/>
        </w:rPr>
        <w:t xml:space="preserve">  </w:t>
      </w:r>
    </w:p>
    <w:p w14:paraId="009244F5" w14:textId="78E9F006" w:rsidR="00446016" w:rsidRPr="00436D53" w:rsidRDefault="00446016" w:rsidP="00446016">
      <w:pPr>
        <w:jc w:val="both"/>
        <w:rPr>
          <w:rFonts w:ascii="Verdana" w:hAnsi="Verdana"/>
          <w:b/>
          <w:sz w:val="22"/>
          <w:szCs w:val="22"/>
        </w:rPr>
      </w:pPr>
      <w:r w:rsidRPr="00436D53">
        <w:rPr>
          <w:rFonts w:ascii="Verdana" w:hAnsi="Verdana"/>
          <w:b/>
          <w:sz w:val="22"/>
          <w:szCs w:val="22"/>
        </w:rPr>
        <w:lastRenderedPageBreak/>
        <w:t>II.</w:t>
      </w:r>
      <w:r w:rsidR="003450CA" w:rsidRPr="00436D53">
        <w:rPr>
          <w:rFonts w:ascii="Verdana" w:hAnsi="Verdana"/>
          <w:b/>
          <w:sz w:val="22"/>
          <w:szCs w:val="22"/>
        </w:rPr>
        <w:t xml:space="preserve">- </w:t>
      </w:r>
      <w:r w:rsidR="003450CA" w:rsidRPr="00436D53">
        <w:rPr>
          <w:rFonts w:ascii="Verdana" w:hAnsi="Verdana"/>
          <w:bCs/>
          <w:sz w:val="22"/>
          <w:szCs w:val="22"/>
        </w:rPr>
        <w:t>De</w:t>
      </w:r>
      <w:r w:rsidRPr="00436D53">
        <w:rPr>
          <w:rFonts w:ascii="Verdana" w:hAnsi="Verdana"/>
          <w:sz w:val="22"/>
          <w:szCs w:val="22"/>
        </w:rPr>
        <w:t xml:space="preserve"> conformidad con el artículo 22, inciso c), de la citada Ley 7969, la presente resolución no tiene ulterior recurso por lo que</w:t>
      </w:r>
      <w:r w:rsidRPr="00436D53">
        <w:rPr>
          <w:rFonts w:ascii="Verdana" w:hAnsi="Verdana"/>
          <w:b/>
          <w:sz w:val="22"/>
          <w:szCs w:val="22"/>
        </w:rPr>
        <w:t>, se</w:t>
      </w:r>
      <w:r w:rsidRPr="00436D53">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436D53">
        <w:rPr>
          <w:rFonts w:ascii="Verdana" w:hAnsi="Verdana"/>
          <w:sz w:val="22"/>
          <w:szCs w:val="22"/>
        </w:rPr>
        <w:t xml:space="preserve">. </w:t>
      </w:r>
      <w:r w:rsidRPr="00436D53">
        <w:rPr>
          <w:rFonts w:ascii="Verdana" w:hAnsi="Verdana"/>
          <w:b/>
          <w:sz w:val="22"/>
          <w:szCs w:val="22"/>
        </w:rPr>
        <w:t xml:space="preserve">NOTIFIQUESE. - </w:t>
      </w:r>
    </w:p>
    <w:p w14:paraId="066C2AFF" w14:textId="77777777" w:rsidR="00446016" w:rsidRPr="00436D53" w:rsidRDefault="00446016" w:rsidP="00446016">
      <w:pPr>
        <w:jc w:val="both"/>
        <w:rPr>
          <w:rFonts w:ascii="Verdana" w:hAnsi="Verdana"/>
          <w:b/>
          <w:sz w:val="22"/>
          <w:szCs w:val="22"/>
        </w:rPr>
      </w:pPr>
    </w:p>
    <w:p w14:paraId="7EBA30C1" w14:textId="77777777" w:rsidR="00446016" w:rsidRPr="00436D53" w:rsidRDefault="00446016" w:rsidP="00446016">
      <w:pPr>
        <w:jc w:val="both"/>
        <w:rPr>
          <w:rFonts w:ascii="Verdana" w:hAnsi="Verdana"/>
          <w:b/>
          <w:sz w:val="22"/>
          <w:szCs w:val="22"/>
        </w:rPr>
      </w:pPr>
      <w:r w:rsidRPr="00436D53">
        <w:rPr>
          <w:rFonts w:ascii="Verdana" w:hAnsi="Verdana"/>
          <w:b/>
          <w:sz w:val="22"/>
          <w:szCs w:val="22"/>
        </w:rPr>
        <w:t xml:space="preserve"> </w:t>
      </w:r>
    </w:p>
    <w:p w14:paraId="47ED69AF" w14:textId="77777777" w:rsidR="00446016" w:rsidRPr="00436D53" w:rsidRDefault="00446016" w:rsidP="00446016">
      <w:pPr>
        <w:jc w:val="both"/>
        <w:rPr>
          <w:rFonts w:ascii="Verdana" w:hAnsi="Verdana"/>
          <w:b/>
          <w:sz w:val="22"/>
          <w:szCs w:val="22"/>
        </w:rPr>
      </w:pPr>
    </w:p>
    <w:p w14:paraId="79FC4C0B" w14:textId="77777777" w:rsidR="00446016" w:rsidRPr="00436D53" w:rsidRDefault="00446016" w:rsidP="00446016">
      <w:pPr>
        <w:jc w:val="both"/>
        <w:rPr>
          <w:rFonts w:ascii="Verdana" w:hAnsi="Verdana"/>
          <w:b/>
          <w:sz w:val="22"/>
          <w:szCs w:val="22"/>
        </w:rPr>
      </w:pPr>
    </w:p>
    <w:p w14:paraId="5EFE2A4B" w14:textId="77777777" w:rsidR="00446016" w:rsidRPr="00436D53" w:rsidRDefault="00446016" w:rsidP="00446016">
      <w:pPr>
        <w:pStyle w:val="Ttulo1"/>
        <w:rPr>
          <w:rFonts w:ascii="Verdana" w:hAnsi="Verdana" w:cs="Arial"/>
          <w:sz w:val="22"/>
          <w:szCs w:val="22"/>
        </w:rPr>
      </w:pPr>
      <w:r w:rsidRPr="00436D53">
        <w:rPr>
          <w:rFonts w:ascii="Verdana" w:hAnsi="Verdana" w:cs="Arial"/>
          <w:sz w:val="22"/>
          <w:szCs w:val="22"/>
        </w:rPr>
        <w:t>Lic.  Ronald Muñoz Corea.</w:t>
      </w:r>
    </w:p>
    <w:p w14:paraId="57A97974" w14:textId="77777777" w:rsidR="00446016" w:rsidRPr="00436D53" w:rsidRDefault="00446016" w:rsidP="00446016">
      <w:pPr>
        <w:jc w:val="center"/>
        <w:rPr>
          <w:rFonts w:ascii="Verdana" w:hAnsi="Verdana" w:cs="Arial"/>
          <w:b/>
          <w:bCs/>
          <w:sz w:val="22"/>
          <w:szCs w:val="22"/>
          <w:lang w:val="es-ES_tradnl" w:eastAsia="es-MX"/>
        </w:rPr>
      </w:pPr>
      <w:r w:rsidRPr="00436D53">
        <w:rPr>
          <w:rFonts w:ascii="Verdana" w:hAnsi="Verdana" w:cs="Arial"/>
          <w:b/>
          <w:bCs/>
          <w:sz w:val="22"/>
          <w:szCs w:val="22"/>
          <w:lang w:val="es-ES_tradnl" w:eastAsia="es-MX"/>
        </w:rPr>
        <w:t>PRESIDENTE</w:t>
      </w:r>
    </w:p>
    <w:p w14:paraId="1BA53ACC" w14:textId="77777777" w:rsidR="00446016" w:rsidRPr="00436D53" w:rsidRDefault="00446016" w:rsidP="00446016">
      <w:pPr>
        <w:jc w:val="center"/>
        <w:rPr>
          <w:rFonts w:ascii="Verdana" w:hAnsi="Verdana" w:cs="Arial"/>
          <w:b/>
          <w:bCs/>
          <w:sz w:val="22"/>
          <w:szCs w:val="22"/>
          <w:lang w:val="es-ES_tradnl" w:eastAsia="es-MX"/>
        </w:rPr>
      </w:pPr>
    </w:p>
    <w:p w14:paraId="2CCD6DEA" w14:textId="77777777" w:rsidR="00446016" w:rsidRPr="00436D53" w:rsidRDefault="00446016" w:rsidP="00446016">
      <w:pPr>
        <w:jc w:val="center"/>
        <w:rPr>
          <w:rFonts w:ascii="Verdana" w:hAnsi="Verdana" w:cs="Arial"/>
          <w:b/>
          <w:bCs/>
          <w:sz w:val="22"/>
          <w:szCs w:val="22"/>
          <w:lang w:val="es-ES_tradnl" w:eastAsia="es-MX"/>
        </w:rPr>
      </w:pPr>
    </w:p>
    <w:p w14:paraId="5FFE80A0" w14:textId="77777777" w:rsidR="00446016" w:rsidRPr="00436D53" w:rsidRDefault="00446016" w:rsidP="00446016">
      <w:pPr>
        <w:pStyle w:val="Ttulo1"/>
        <w:jc w:val="both"/>
        <w:rPr>
          <w:rFonts w:ascii="Verdana" w:hAnsi="Verdana" w:cs="Arial"/>
          <w:sz w:val="22"/>
          <w:szCs w:val="22"/>
        </w:rPr>
      </w:pPr>
    </w:p>
    <w:p w14:paraId="41995311" w14:textId="5CB4023F" w:rsidR="00446016" w:rsidRPr="00436D53" w:rsidRDefault="00446016" w:rsidP="00446016">
      <w:pPr>
        <w:pStyle w:val="Ttulo1"/>
        <w:jc w:val="both"/>
        <w:rPr>
          <w:rFonts w:ascii="Verdana" w:hAnsi="Verdana" w:cs="Arial"/>
          <w:sz w:val="22"/>
          <w:szCs w:val="22"/>
        </w:rPr>
      </w:pPr>
      <w:r w:rsidRPr="00436D53">
        <w:rPr>
          <w:rFonts w:ascii="Verdana" w:hAnsi="Verdana" w:cs="Arial"/>
          <w:sz w:val="22"/>
          <w:szCs w:val="22"/>
        </w:rPr>
        <w:t xml:space="preserve">Licda. Maricela Villegas Herrera                                 Lic. Mario Quesada Aguirre              </w:t>
      </w:r>
    </w:p>
    <w:p w14:paraId="32147DF5" w14:textId="77777777" w:rsidR="00446016" w:rsidRPr="00436D53" w:rsidRDefault="00446016" w:rsidP="00446016">
      <w:pPr>
        <w:ind w:left="708" w:firstLine="708"/>
        <w:jc w:val="both"/>
        <w:rPr>
          <w:rFonts w:ascii="Verdana" w:hAnsi="Verdana" w:cs="Arial"/>
          <w:b/>
          <w:sz w:val="22"/>
          <w:szCs w:val="22"/>
        </w:rPr>
      </w:pPr>
      <w:r w:rsidRPr="00436D53">
        <w:rPr>
          <w:rFonts w:ascii="Verdana" w:hAnsi="Verdana" w:cs="Arial"/>
          <w:b/>
          <w:sz w:val="22"/>
          <w:szCs w:val="22"/>
        </w:rPr>
        <w:t xml:space="preserve">Jueza </w:t>
      </w:r>
      <w:r w:rsidRPr="00436D53">
        <w:rPr>
          <w:rFonts w:ascii="Verdana" w:hAnsi="Verdana" w:cs="Arial"/>
          <w:b/>
          <w:sz w:val="22"/>
          <w:szCs w:val="22"/>
        </w:rPr>
        <w:tab/>
      </w:r>
      <w:r w:rsidRPr="00436D53">
        <w:rPr>
          <w:rFonts w:ascii="Verdana" w:hAnsi="Verdana" w:cs="Arial"/>
          <w:b/>
          <w:sz w:val="22"/>
          <w:szCs w:val="22"/>
        </w:rPr>
        <w:tab/>
      </w:r>
      <w:r w:rsidRPr="00436D53">
        <w:rPr>
          <w:rFonts w:ascii="Verdana" w:hAnsi="Verdana" w:cs="Arial"/>
          <w:b/>
          <w:sz w:val="22"/>
          <w:szCs w:val="22"/>
        </w:rPr>
        <w:tab/>
      </w:r>
      <w:r w:rsidRPr="00436D53">
        <w:rPr>
          <w:rFonts w:ascii="Verdana" w:hAnsi="Verdana" w:cs="Arial"/>
          <w:b/>
          <w:sz w:val="22"/>
          <w:szCs w:val="22"/>
        </w:rPr>
        <w:tab/>
      </w:r>
      <w:r w:rsidRPr="00436D53">
        <w:rPr>
          <w:rFonts w:ascii="Verdana" w:hAnsi="Verdana" w:cs="Arial"/>
          <w:b/>
          <w:sz w:val="22"/>
          <w:szCs w:val="22"/>
        </w:rPr>
        <w:tab/>
      </w:r>
      <w:r w:rsidRPr="00436D53">
        <w:rPr>
          <w:rFonts w:ascii="Verdana" w:hAnsi="Verdana" w:cs="Arial"/>
          <w:b/>
          <w:sz w:val="22"/>
          <w:szCs w:val="22"/>
        </w:rPr>
        <w:tab/>
      </w:r>
      <w:r w:rsidRPr="00436D53">
        <w:rPr>
          <w:rFonts w:ascii="Verdana" w:hAnsi="Verdana" w:cs="Arial"/>
          <w:b/>
          <w:sz w:val="22"/>
          <w:szCs w:val="22"/>
        </w:rPr>
        <w:tab/>
        <w:t>Juez</w:t>
      </w:r>
    </w:p>
    <w:p w14:paraId="08C614FF" w14:textId="77777777" w:rsidR="00446016" w:rsidRPr="00436D53" w:rsidRDefault="00446016" w:rsidP="00446016">
      <w:pPr>
        <w:rPr>
          <w:rFonts w:ascii="Verdana" w:hAnsi="Verdana"/>
          <w:sz w:val="22"/>
          <w:szCs w:val="22"/>
        </w:rPr>
      </w:pPr>
    </w:p>
    <w:p w14:paraId="322023EC" w14:textId="77777777" w:rsidR="00446016" w:rsidRPr="00436D53" w:rsidRDefault="00446016" w:rsidP="00446016">
      <w:pPr>
        <w:rPr>
          <w:rFonts w:ascii="Verdana" w:hAnsi="Verdana"/>
          <w:sz w:val="22"/>
          <w:szCs w:val="22"/>
        </w:rPr>
      </w:pPr>
    </w:p>
    <w:p w14:paraId="0D61CF59" w14:textId="723A4E17" w:rsidR="00446016" w:rsidRPr="00436D53" w:rsidRDefault="00446016">
      <w:pPr>
        <w:rPr>
          <w:rFonts w:ascii="Verdana" w:hAnsi="Verdana"/>
          <w:sz w:val="22"/>
          <w:szCs w:val="22"/>
        </w:rPr>
      </w:pPr>
    </w:p>
    <w:sectPr w:rsidR="00446016" w:rsidRPr="00436D53" w:rsidSect="00261861">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C3CC" w14:textId="77777777" w:rsidR="00790D45" w:rsidRDefault="00790D45">
      <w:r>
        <w:separator/>
      </w:r>
    </w:p>
  </w:endnote>
  <w:endnote w:type="continuationSeparator" w:id="0">
    <w:p w14:paraId="7220FACE" w14:textId="77777777" w:rsidR="00790D45" w:rsidRDefault="0079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2E98" w14:textId="77777777" w:rsidR="0082417C" w:rsidRDefault="006B72FF"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03D53532" w14:textId="77777777" w:rsidR="0082417C" w:rsidRDefault="00156373"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B3E" w14:textId="0AB403C2" w:rsidR="0082417C" w:rsidRPr="00AB7A16" w:rsidRDefault="00156373" w:rsidP="00EA7936">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ACED" w14:textId="77777777" w:rsidR="00790D45" w:rsidRDefault="00790D45">
      <w:r>
        <w:separator/>
      </w:r>
    </w:p>
  </w:footnote>
  <w:footnote w:type="continuationSeparator" w:id="0">
    <w:p w14:paraId="69ECAF80" w14:textId="77777777" w:rsidR="00790D45" w:rsidRDefault="00790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16"/>
    <w:rsid w:val="000E692C"/>
    <w:rsid w:val="00156373"/>
    <w:rsid w:val="002D256F"/>
    <w:rsid w:val="0031194B"/>
    <w:rsid w:val="003357F7"/>
    <w:rsid w:val="00337B68"/>
    <w:rsid w:val="00344851"/>
    <w:rsid w:val="003450CA"/>
    <w:rsid w:val="0040151C"/>
    <w:rsid w:val="00436D53"/>
    <w:rsid w:val="00446016"/>
    <w:rsid w:val="004573A0"/>
    <w:rsid w:val="004E51D6"/>
    <w:rsid w:val="005C468C"/>
    <w:rsid w:val="006B72FF"/>
    <w:rsid w:val="0074452B"/>
    <w:rsid w:val="00790D45"/>
    <w:rsid w:val="007C0B20"/>
    <w:rsid w:val="00B047F1"/>
    <w:rsid w:val="00BC5F54"/>
    <w:rsid w:val="00BF290E"/>
    <w:rsid w:val="00C968DC"/>
    <w:rsid w:val="00EA7936"/>
    <w:rsid w:val="00F55C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E532"/>
  <w15:chartTrackingRefBased/>
  <w15:docId w15:val="{25E84A4B-0847-404E-9766-469BDAEB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1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6016"/>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6016"/>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446016"/>
    <w:pPr>
      <w:tabs>
        <w:tab w:val="center" w:pos="4252"/>
        <w:tab w:val="right" w:pos="8504"/>
      </w:tabs>
    </w:pPr>
  </w:style>
  <w:style w:type="character" w:customStyle="1" w:styleId="PiedepginaCar">
    <w:name w:val="Pie de página Car"/>
    <w:basedOn w:val="Fuentedeprrafopredeter"/>
    <w:link w:val="Piedepgina"/>
    <w:rsid w:val="004460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6016"/>
  </w:style>
  <w:style w:type="paragraph" w:styleId="Textoindependiente">
    <w:name w:val="Body Text"/>
    <w:basedOn w:val="Normal"/>
    <w:link w:val="TextoindependienteCar"/>
    <w:rsid w:val="00446016"/>
    <w:pPr>
      <w:spacing w:after="120"/>
    </w:pPr>
    <w:rPr>
      <w:rFonts w:eastAsia="SimSun"/>
    </w:rPr>
  </w:style>
  <w:style w:type="character" w:customStyle="1" w:styleId="TextoindependienteCar">
    <w:name w:val="Texto independiente Car"/>
    <w:basedOn w:val="Fuentedeprrafopredeter"/>
    <w:link w:val="Textoindependiente"/>
    <w:rsid w:val="00446016"/>
    <w:rPr>
      <w:rFonts w:ascii="Times New Roman" w:eastAsia="SimSun" w:hAnsi="Times New Roman" w:cs="Times New Roman"/>
      <w:sz w:val="24"/>
      <w:szCs w:val="24"/>
      <w:lang w:val="es-ES" w:eastAsia="es-ES"/>
    </w:rPr>
  </w:style>
  <w:style w:type="character" w:styleId="Hipervnculo">
    <w:name w:val="Hyperlink"/>
    <w:basedOn w:val="Fuentedeprrafopredeter"/>
    <w:uiPriority w:val="99"/>
    <w:unhideWhenUsed/>
    <w:rsid w:val="00446016"/>
    <w:rPr>
      <w:color w:val="0563C1" w:themeColor="hyperlink"/>
      <w:u w:val="single"/>
    </w:rPr>
  </w:style>
  <w:style w:type="paragraph" w:styleId="NormalWeb">
    <w:name w:val="Normal (Web)"/>
    <w:basedOn w:val="Normal"/>
    <w:uiPriority w:val="99"/>
    <w:rsid w:val="0074452B"/>
    <w:pPr>
      <w:spacing w:before="100" w:beforeAutospacing="1" w:after="100" w:afterAutospacing="1"/>
    </w:pPr>
  </w:style>
  <w:style w:type="paragraph" w:styleId="Textodeglobo">
    <w:name w:val="Balloon Text"/>
    <w:basedOn w:val="Normal"/>
    <w:link w:val="TextodegloboCar"/>
    <w:semiHidden/>
    <w:rsid w:val="0074452B"/>
    <w:rPr>
      <w:rFonts w:ascii="Tahoma" w:hAnsi="Tahoma" w:cs="Tahoma"/>
      <w:sz w:val="16"/>
      <w:szCs w:val="16"/>
    </w:rPr>
  </w:style>
  <w:style w:type="character" w:customStyle="1" w:styleId="TextodegloboCar">
    <w:name w:val="Texto de globo Car"/>
    <w:basedOn w:val="Fuentedeprrafopredeter"/>
    <w:link w:val="Textodeglobo"/>
    <w:semiHidden/>
    <w:rsid w:val="0074452B"/>
    <w:rPr>
      <w:rFonts w:ascii="Tahoma" w:eastAsia="Times New Roman" w:hAnsi="Tahoma" w:cs="Tahoma"/>
      <w:sz w:val="16"/>
      <w:szCs w:val="16"/>
      <w:lang w:val="es-ES" w:eastAsia="es-ES"/>
    </w:rPr>
  </w:style>
  <w:style w:type="paragraph" w:styleId="Sinespaciado">
    <w:name w:val="No Spacing"/>
    <w:uiPriority w:val="1"/>
    <w:qFormat/>
    <w:rsid w:val="0074452B"/>
    <w:pPr>
      <w:spacing w:after="0" w:line="240" w:lineRule="auto"/>
    </w:pPr>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436D53"/>
    <w:pPr>
      <w:tabs>
        <w:tab w:val="center" w:pos="4419"/>
        <w:tab w:val="right" w:pos="8838"/>
      </w:tabs>
    </w:pPr>
  </w:style>
  <w:style w:type="character" w:customStyle="1" w:styleId="EncabezadoCar">
    <w:name w:val="Encabezado Car"/>
    <w:basedOn w:val="Fuentedeprrafopredeter"/>
    <w:link w:val="Encabezado"/>
    <w:uiPriority w:val="99"/>
    <w:rsid w:val="00436D5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232">
      <w:bodyDiv w:val="1"/>
      <w:marLeft w:val="0"/>
      <w:marRight w:val="0"/>
      <w:marTop w:val="0"/>
      <w:marBottom w:val="0"/>
      <w:divBdr>
        <w:top w:val="none" w:sz="0" w:space="0" w:color="auto"/>
        <w:left w:val="none" w:sz="0" w:space="0" w:color="auto"/>
        <w:bottom w:val="none" w:sz="0" w:space="0" w:color="auto"/>
        <w:right w:val="none" w:sz="0" w:space="0" w:color="auto"/>
      </w:divBdr>
    </w:div>
    <w:div w:id="150223432">
      <w:bodyDiv w:val="1"/>
      <w:marLeft w:val="0"/>
      <w:marRight w:val="0"/>
      <w:marTop w:val="0"/>
      <w:marBottom w:val="0"/>
      <w:divBdr>
        <w:top w:val="none" w:sz="0" w:space="0" w:color="auto"/>
        <w:left w:val="none" w:sz="0" w:space="0" w:color="auto"/>
        <w:bottom w:val="none" w:sz="0" w:space="0" w:color="auto"/>
        <w:right w:val="none" w:sz="0" w:space="0" w:color="auto"/>
      </w:divBdr>
    </w:div>
    <w:div w:id="6833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3081</Words>
  <Characters>16949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Arguello</cp:lastModifiedBy>
  <cp:revision>2</cp:revision>
  <dcterms:created xsi:type="dcterms:W3CDTF">2021-08-03T16:58:00Z</dcterms:created>
  <dcterms:modified xsi:type="dcterms:W3CDTF">2021-08-03T16:58:00Z</dcterms:modified>
</cp:coreProperties>
</file>