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35A6A" w14:textId="77777777" w:rsidR="00000000" w:rsidRDefault="00000000">
      <w:pPr>
        <w:kinsoku w:val="0"/>
        <w:overflowPunct w:val="0"/>
        <w:autoSpaceDE/>
        <w:autoSpaceDN/>
        <w:adjustRightInd/>
        <w:spacing w:before="252" w:line="240" w:lineRule="exact"/>
        <w:jc w:val="center"/>
        <w:textAlignment w:val="baseline"/>
        <w:rPr>
          <w:b/>
          <w:bCs/>
          <w:spacing w:val="2"/>
          <w:sz w:val="21"/>
          <w:szCs w:val="21"/>
          <w:lang w:val="es-ES" w:eastAsia="es-ES"/>
        </w:rPr>
      </w:pPr>
      <w:r>
        <w:rPr>
          <w:b/>
          <w:bCs/>
          <w:spacing w:val="2"/>
          <w:sz w:val="21"/>
          <w:szCs w:val="21"/>
          <w:lang w:val="es-ES" w:eastAsia="es-ES"/>
        </w:rPr>
        <w:t>RESOLUCIÓN No. TAT-3915-2022</w:t>
      </w:r>
    </w:p>
    <w:p w14:paraId="76908439" w14:textId="77777777" w:rsidR="00000000" w:rsidRDefault="00000000">
      <w:pPr>
        <w:kinsoku w:val="0"/>
        <w:overflowPunct w:val="0"/>
        <w:autoSpaceDE/>
        <w:autoSpaceDN/>
        <w:adjustRightInd/>
        <w:spacing w:before="255" w:line="247" w:lineRule="exact"/>
        <w:jc w:val="both"/>
        <w:textAlignment w:val="baseline"/>
        <w:rPr>
          <w:sz w:val="21"/>
          <w:szCs w:val="21"/>
          <w:lang w:val="es-ES" w:eastAsia="es-ES"/>
        </w:rPr>
      </w:pPr>
      <w:r>
        <w:rPr>
          <w:b/>
          <w:bCs/>
          <w:sz w:val="21"/>
          <w:szCs w:val="21"/>
          <w:lang w:val="es-ES" w:eastAsia="es-ES"/>
        </w:rPr>
        <w:t xml:space="preserve">TRIBUNAL ADMINISTRATIVO DE TRANSPORTE. </w:t>
      </w:r>
      <w:r>
        <w:rPr>
          <w:sz w:val="21"/>
          <w:szCs w:val="21"/>
          <w:lang w:val="es-ES" w:eastAsia="es-ES"/>
        </w:rPr>
        <w:t>San José, a las 11:55 horas del 03 de octubre de 2022.</w:t>
      </w:r>
    </w:p>
    <w:p w14:paraId="212D783E" w14:textId="17367F65" w:rsidR="00000000" w:rsidRDefault="00000000">
      <w:pPr>
        <w:kinsoku w:val="0"/>
        <w:overflowPunct w:val="0"/>
        <w:autoSpaceDE/>
        <w:autoSpaceDN/>
        <w:adjustRightInd/>
        <w:spacing w:before="251" w:line="244" w:lineRule="exact"/>
        <w:jc w:val="both"/>
        <w:textAlignment w:val="baseline"/>
        <w:rPr>
          <w:b/>
          <w:bCs/>
          <w:sz w:val="21"/>
          <w:szCs w:val="21"/>
          <w:lang w:val="es-ES" w:eastAsia="es-ES"/>
        </w:rPr>
      </w:pPr>
      <w:r>
        <w:rPr>
          <w:b/>
          <w:bCs/>
          <w:sz w:val="21"/>
          <w:szCs w:val="21"/>
          <w:lang w:val="es-ES" w:eastAsia="es-ES"/>
        </w:rPr>
        <w:t xml:space="preserve">Solicitud de Aclaración y Reconsideración </w:t>
      </w:r>
      <w:r>
        <w:rPr>
          <w:sz w:val="21"/>
          <w:szCs w:val="21"/>
          <w:lang w:val="es-ES" w:eastAsia="es-ES"/>
        </w:rPr>
        <w:t xml:space="preserve">de la Resolución </w:t>
      </w:r>
      <w:r>
        <w:rPr>
          <w:b/>
          <w:bCs/>
          <w:sz w:val="21"/>
          <w:szCs w:val="21"/>
          <w:lang w:val="es-ES" w:eastAsia="es-ES"/>
        </w:rPr>
        <w:t xml:space="preserve">No. TAT-3794-2022 de las 08:45 horas del 18 de julio de 2022, </w:t>
      </w:r>
      <w:r>
        <w:rPr>
          <w:sz w:val="21"/>
          <w:szCs w:val="21"/>
          <w:lang w:val="es-ES" w:eastAsia="es-ES"/>
        </w:rPr>
        <w:t xml:space="preserve">emitida por este Tribunal Administrativo de Transporte presentado por la empresa </w:t>
      </w:r>
      <w:r>
        <w:rPr>
          <w:b/>
          <w:bCs/>
          <w:sz w:val="21"/>
          <w:szCs w:val="21"/>
          <w:lang w:val="es-ES" w:eastAsia="es-ES"/>
        </w:rPr>
        <w:t>T</w:t>
      </w:r>
      <w:r w:rsidR="004C7E6D">
        <w:rPr>
          <w:b/>
          <w:bCs/>
          <w:sz w:val="21"/>
          <w:szCs w:val="21"/>
          <w:lang w:val="es-ES" w:eastAsia="es-ES"/>
        </w:rPr>
        <w:t>MYCRSA</w:t>
      </w:r>
      <w:r>
        <w:rPr>
          <w:b/>
          <w:bCs/>
          <w:sz w:val="21"/>
          <w:szCs w:val="21"/>
          <w:lang w:val="es-ES" w:eastAsia="es-ES"/>
        </w:rPr>
        <w:t xml:space="preserve">, </w:t>
      </w:r>
      <w:r>
        <w:rPr>
          <w:sz w:val="21"/>
          <w:szCs w:val="21"/>
          <w:lang w:val="es-ES" w:eastAsia="es-ES"/>
        </w:rPr>
        <w:t xml:space="preserve">cédula jurídica No. </w:t>
      </w:r>
      <w:r w:rsidR="004C7E6D">
        <w:rPr>
          <w:sz w:val="21"/>
          <w:szCs w:val="21"/>
          <w:lang w:val="es-ES" w:eastAsia="es-ES"/>
        </w:rPr>
        <w:t>000</w:t>
      </w:r>
      <w:r>
        <w:rPr>
          <w:sz w:val="21"/>
          <w:szCs w:val="21"/>
          <w:lang w:val="es-ES" w:eastAsia="es-ES"/>
        </w:rPr>
        <w:t xml:space="preserve">, por medio de su </w:t>
      </w:r>
      <w:proofErr w:type="gramStart"/>
      <w:r>
        <w:rPr>
          <w:sz w:val="21"/>
          <w:szCs w:val="21"/>
          <w:lang w:val="es-ES" w:eastAsia="es-ES"/>
        </w:rPr>
        <w:t>Presidente</w:t>
      </w:r>
      <w:proofErr w:type="gramEnd"/>
      <w:r>
        <w:rPr>
          <w:sz w:val="21"/>
          <w:szCs w:val="21"/>
          <w:lang w:val="es-ES" w:eastAsia="es-ES"/>
        </w:rPr>
        <w:t xml:space="preserve"> y Apoderado Generalísimo sin Límite de Suma, señor </w:t>
      </w:r>
      <w:r>
        <w:rPr>
          <w:b/>
          <w:bCs/>
          <w:sz w:val="21"/>
          <w:szCs w:val="21"/>
          <w:lang w:val="es-ES" w:eastAsia="es-ES"/>
        </w:rPr>
        <w:t>C</w:t>
      </w:r>
      <w:r w:rsidR="004C7E6D">
        <w:rPr>
          <w:b/>
          <w:bCs/>
          <w:sz w:val="21"/>
          <w:szCs w:val="21"/>
          <w:lang w:val="es-ES" w:eastAsia="es-ES"/>
        </w:rPr>
        <w:t>PV</w:t>
      </w:r>
      <w:r>
        <w:rPr>
          <w:b/>
          <w:bCs/>
          <w:sz w:val="21"/>
          <w:szCs w:val="21"/>
          <w:lang w:val="es-ES" w:eastAsia="es-ES"/>
        </w:rPr>
        <w:t xml:space="preserve">, </w:t>
      </w:r>
      <w:r>
        <w:rPr>
          <w:sz w:val="21"/>
          <w:szCs w:val="21"/>
          <w:lang w:val="es-ES" w:eastAsia="es-ES"/>
        </w:rPr>
        <w:t xml:space="preserve">cédula de identidad No. </w:t>
      </w:r>
      <w:r w:rsidR="004C7E6D">
        <w:rPr>
          <w:sz w:val="21"/>
          <w:szCs w:val="21"/>
          <w:lang w:val="es-ES" w:eastAsia="es-ES"/>
        </w:rPr>
        <w:t>000</w:t>
      </w:r>
      <w:r>
        <w:rPr>
          <w:sz w:val="21"/>
          <w:szCs w:val="21"/>
          <w:lang w:val="es-ES" w:eastAsia="es-ES"/>
        </w:rPr>
        <w:t xml:space="preserve">. El caso es tramitado en este despacho bajo el expediente administrativo </w:t>
      </w:r>
      <w:r>
        <w:rPr>
          <w:b/>
          <w:bCs/>
          <w:sz w:val="21"/>
          <w:szCs w:val="21"/>
          <w:lang w:val="es-ES" w:eastAsia="es-ES"/>
        </w:rPr>
        <w:t>No. TAT-071-22.</w:t>
      </w:r>
    </w:p>
    <w:p w14:paraId="686AADF9" w14:textId="77777777" w:rsidR="00000000" w:rsidRDefault="00000000">
      <w:pPr>
        <w:kinsoku w:val="0"/>
        <w:overflowPunct w:val="0"/>
        <w:autoSpaceDE/>
        <w:autoSpaceDN/>
        <w:adjustRightInd/>
        <w:spacing w:before="249" w:line="239" w:lineRule="exact"/>
        <w:jc w:val="center"/>
        <w:textAlignment w:val="baseline"/>
        <w:rPr>
          <w:b/>
          <w:bCs/>
          <w:spacing w:val="2"/>
          <w:sz w:val="21"/>
          <w:szCs w:val="21"/>
          <w:lang w:val="es-ES" w:eastAsia="es-ES"/>
        </w:rPr>
      </w:pPr>
      <w:r>
        <w:rPr>
          <w:b/>
          <w:bCs/>
          <w:spacing w:val="2"/>
          <w:sz w:val="21"/>
          <w:szCs w:val="21"/>
          <w:lang w:val="es-ES" w:eastAsia="es-ES"/>
        </w:rPr>
        <w:t>RESULTANDO</w:t>
      </w:r>
    </w:p>
    <w:p w14:paraId="5FA12649" w14:textId="67016B7C" w:rsidR="00000000" w:rsidRDefault="00000000">
      <w:pPr>
        <w:kinsoku w:val="0"/>
        <w:overflowPunct w:val="0"/>
        <w:autoSpaceDE/>
        <w:autoSpaceDN/>
        <w:adjustRightInd/>
        <w:spacing w:before="258" w:line="246" w:lineRule="exact"/>
        <w:jc w:val="both"/>
        <w:textAlignment w:val="baseline"/>
        <w:rPr>
          <w:sz w:val="21"/>
          <w:szCs w:val="21"/>
          <w:lang w:val="es-ES" w:eastAsia="es-ES"/>
        </w:rPr>
      </w:pPr>
      <w:r>
        <w:rPr>
          <w:b/>
          <w:bCs/>
          <w:sz w:val="21"/>
          <w:szCs w:val="21"/>
          <w:lang w:val="es-ES" w:eastAsia="es-ES"/>
        </w:rPr>
        <w:t xml:space="preserve">PRIMERO: </w:t>
      </w:r>
      <w:r>
        <w:rPr>
          <w:sz w:val="21"/>
          <w:szCs w:val="21"/>
          <w:lang w:val="es-ES" w:eastAsia="es-ES"/>
        </w:rPr>
        <w:t xml:space="preserve">El señor </w:t>
      </w:r>
      <w:r>
        <w:rPr>
          <w:b/>
          <w:bCs/>
          <w:sz w:val="21"/>
          <w:szCs w:val="21"/>
          <w:lang w:val="es-ES" w:eastAsia="es-ES"/>
        </w:rPr>
        <w:t>C</w:t>
      </w:r>
      <w:r w:rsidR="004C7E6D">
        <w:rPr>
          <w:b/>
          <w:bCs/>
          <w:sz w:val="21"/>
          <w:szCs w:val="21"/>
          <w:lang w:val="es-ES" w:eastAsia="es-ES"/>
        </w:rPr>
        <w:t>PV</w:t>
      </w:r>
      <w:r>
        <w:rPr>
          <w:b/>
          <w:bCs/>
          <w:sz w:val="21"/>
          <w:szCs w:val="21"/>
          <w:lang w:val="es-ES" w:eastAsia="es-ES"/>
        </w:rPr>
        <w:t xml:space="preserve">, </w:t>
      </w:r>
      <w:r>
        <w:rPr>
          <w:sz w:val="21"/>
          <w:szCs w:val="21"/>
          <w:lang w:val="es-ES" w:eastAsia="es-ES"/>
        </w:rPr>
        <w:t xml:space="preserve">en representación de la empresa </w:t>
      </w:r>
      <w:r>
        <w:rPr>
          <w:b/>
          <w:bCs/>
          <w:sz w:val="21"/>
          <w:szCs w:val="21"/>
          <w:lang w:val="es-ES" w:eastAsia="es-ES"/>
        </w:rPr>
        <w:t>T</w:t>
      </w:r>
      <w:r w:rsidR="004C7E6D">
        <w:rPr>
          <w:b/>
          <w:bCs/>
          <w:sz w:val="21"/>
          <w:szCs w:val="21"/>
          <w:lang w:val="es-ES" w:eastAsia="es-ES"/>
        </w:rPr>
        <w:t>MYCTSA</w:t>
      </w:r>
      <w:r>
        <w:rPr>
          <w:b/>
          <w:bCs/>
          <w:sz w:val="21"/>
          <w:szCs w:val="21"/>
          <w:lang w:val="es-ES" w:eastAsia="es-ES"/>
        </w:rPr>
        <w:t xml:space="preserve">, </w:t>
      </w:r>
      <w:r>
        <w:rPr>
          <w:sz w:val="21"/>
          <w:szCs w:val="21"/>
          <w:lang w:val="es-ES" w:eastAsia="es-ES"/>
        </w:rPr>
        <w:t xml:space="preserve">se apersona ante este Tribunal y presenta solicitud de Aclaración y Reconsideración de la Resolución </w:t>
      </w:r>
      <w:r>
        <w:rPr>
          <w:b/>
          <w:bCs/>
          <w:sz w:val="21"/>
          <w:szCs w:val="21"/>
          <w:lang w:val="es-ES" w:eastAsia="es-ES"/>
        </w:rPr>
        <w:t xml:space="preserve">No. TAT-3794-2022 </w:t>
      </w:r>
      <w:r>
        <w:rPr>
          <w:sz w:val="21"/>
          <w:szCs w:val="21"/>
          <w:lang w:val="es-ES" w:eastAsia="es-ES"/>
        </w:rPr>
        <w:t>de este Tribunal Administrativo de Transporte de las 08:45 horas del 18 de julio de 2022. El accionante en su escrito manifiesta que en la especie, su representada no impugnó un simple acto interno de trámite, sino, un acto externo de inicio de procedimiento administrativo ordinario de caducidad instruido por el órgano director del procedimiento, acto que resulta recurrible mediante la interposición de los recursos ordinarios establecidos en los numerales 308, 342 y 343 de la Ley General de la Administración Pública, la que es de aplicación supletoria en materia de transporte público.</w:t>
      </w:r>
    </w:p>
    <w:p w14:paraId="4446AFE3" w14:textId="77777777" w:rsidR="00000000" w:rsidRDefault="00000000">
      <w:pPr>
        <w:kinsoku w:val="0"/>
        <w:overflowPunct w:val="0"/>
        <w:autoSpaceDE/>
        <w:autoSpaceDN/>
        <w:adjustRightInd/>
        <w:spacing w:before="104" w:line="245" w:lineRule="exact"/>
        <w:jc w:val="both"/>
        <w:textAlignment w:val="baseline"/>
        <w:rPr>
          <w:sz w:val="21"/>
          <w:szCs w:val="21"/>
          <w:lang w:val="es-ES" w:eastAsia="es-ES"/>
        </w:rPr>
      </w:pPr>
      <w:r>
        <w:rPr>
          <w:sz w:val="21"/>
          <w:szCs w:val="21"/>
          <w:lang w:val="es-ES" w:eastAsia="es-ES"/>
        </w:rPr>
        <w:t xml:space="preserve">Manifiesta que lo indicado es conteste con lo referido por la Procuraduría General de la República en su Dictamen No. C-274-98 del 16 de diciembre de 1998. Indica que cabe señalar que el recurso y excepciones planteadas </w:t>
      </w:r>
      <w:proofErr w:type="spellStart"/>
      <w:r>
        <w:rPr>
          <w:sz w:val="21"/>
          <w:szCs w:val="21"/>
          <w:lang w:val="es-ES" w:eastAsia="es-ES"/>
        </w:rPr>
        <w:t>esta</w:t>
      </w:r>
      <w:proofErr w:type="spellEnd"/>
      <w:r>
        <w:rPr>
          <w:sz w:val="21"/>
          <w:szCs w:val="21"/>
          <w:lang w:val="es-ES" w:eastAsia="es-ES"/>
        </w:rPr>
        <w:t xml:space="preserve"> bajo el conocimiento del órgano instructor y posteriormente el órgano decisor deberá analizarlo y lo determinado por el Tribunal Administrativo de Transporte, puede presentar problemas que lo hacen procesalmente inoportuno. (Ver folios 1 y 2 del expediente administrativo)</w:t>
      </w:r>
    </w:p>
    <w:p w14:paraId="66D66A7C" w14:textId="77777777" w:rsidR="00000000" w:rsidRDefault="00000000">
      <w:pPr>
        <w:kinsoku w:val="0"/>
        <w:overflowPunct w:val="0"/>
        <w:autoSpaceDE/>
        <w:autoSpaceDN/>
        <w:adjustRightInd/>
        <w:spacing w:before="375" w:line="249" w:lineRule="exact"/>
        <w:textAlignment w:val="baseline"/>
        <w:rPr>
          <w:spacing w:val="8"/>
          <w:sz w:val="21"/>
          <w:szCs w:val="21"/>
          <w:lang w:val="es-ES" w:eastAsia="es-ES"/>
        </w:rPr>
      </w:pPr>
      <w:r>
        <w:rPr>
          <w:b/>
          <w:bCs/>
          <w:spacing w:val="8"/>
          <w:sz w:val="21"/>
          <w:szCs w:val="21"/>
          <w:lang w:val="es-ES" w:eastAsia="es-ES"/>
        </w:rPr>
        <w:t xml:space="preserve">SEGUNDO: </w:t>
      </w:r>
      <w:r>
        <w:rPr>
          <w:spacing w:val="8"/>
          <w:sz w:val="21"/>
          <w:szCs w:val="21"/>
          <w:lang w:val="es-ES" w:eastAsia="es-ES"/>
        </w:rPr>
        <w:t>En los procedimientos seguidos se han observado las prescripciones legales.</w:t>
      </w:r>
    </w:p>
    <w:p w14:paraId="4ABFFAC7" w14:textId="77777777" w:rsidR="00000000" w:rsidRDefault="00000000">
      <w:pPr>
        <w:kinsoku w:val="0"/>
        <w:overflowPunct w:val="0"/>
        <w:autoSpaceDE/>
        <w:autoSpaceDN/>
        <w:adjustRightInd/>
        <w:spacing w:before="358" w:line="239" w:lineRule="exact"/>
        <w:textAlignment w:val="baseline"/>
        <w:rPr>
          <w:b/>
          <w:bCs/>
          <w:spacing w:val="1"/>
          <w:sz w:val="21"/>
          <w:szCs w:val="21"/>
          <w:lang w:val="es-ES" w:eastAsia="es-ES"/>
        </w:rPr>
      </w:pPr>
      <w:r>
        <w:rPr>
          <w:b/>
          <w:bCs/>
          <w:spacing w:val="1"/>
          <w:sz w:val="21"/>
          <w:szCs w:val="21"/>
          <w:lang w:val="es-ES" w:eastAsia="es-ES"/>
        </w:rPr>
        <w:t>Redacta el Juez Muñoz Corea.</w:t>
      </w:r>
    </w:p>
    <w:p w14:paraId="42047511" w14:textId="77777777" w:rsidR="00000000" w:rsidRDefault="00000000">
      <w:pPr>
        <w:kinsoku w:val="0"/>
        <w:overflowPunct w:val="0"/>
        <w:autoSpaceDE/>
        <w:autoSpaceDN/>
        <w:adjustRightInd/>
        <w:spacing w:before="261" w:line="239" w:lineRule="exact"/>
        <w:jc w:val="center"/>
        <w:textAlignment w:val="baseline"/>
        <w:rPr>
          <w:b/>
          <w:bCs/>
          <w:spacing w:val="1"/>
          <w:sz w:val="21"/>
          <w:szCs w:val="21"/>
          <w:lang w:val="es-ES" w:eastAsia="es-ES"/>
        </w:rPr>
      </w:pPr>
      <w:r>
        <w:rPr>
          <w:b/>
          <w:bCs/>
          <w:spacing w:val="1"/>
          <w:sz w:val="21"/>
          <w:szCs w:val="21"/>
          <w:lang w:val="es-ES" w:eastAsia="es-ES"/>
        </w:rPr>
        <w:t>CONSIDERANDO</w:t>
      </w:r>
    </w:p>
    <w:p w14:paraId="400BDFAC" w14:textId="77777777" w:rsidR="00000000" w:rsidRDefault="00000000">
      <w:pPr>
        <w:kinsoku w:val="0"/>
        <w:overflowPunct w:val="0"/>
        <w:autoSpaceDE/>
        <w:autoSpaceDN/>
        <w:adjustRightInd/>
        <w:spacing w:before="257" w:line="240" w:lineRule="exact"/>
        <w:textAlignment w:val="baseline"/>
        <w:rPr>
          <w:b/>
          <w:bCs/>
          <w:spacing w:val="4"/>
          <w:sz w:val="21"/>
          <w:szCs w:val="21"/>
          <w:lang w:val="es-ES" w:eastAsia="es-ES"/>
        </w:rPr>
      </w:pPr>
      <w:r>
        <w:rPr>
          <w:b/>
          <w:bCs/>
          <w:spacing w:val="4"/>
          <w:sz w:val="21"/>
          <w:szCs w:val="21"/>
          <w:lang w:val="es-ES" w:eastAsia="es-ES"/>
        </w:rPr>
        <w:t>SOBRE LA ACLARACIÓN Y/0 ADICIÓN</w:t>
      </w:r>
    </w:p>
    <w:p w14:paraId="2290A2CD" w14:textId="77777777" w:rsidR="00000000" w:rsidRDefault="00000000">
      <w:pPr>
        <w:kinsoku w:val="0"/>
        <w:overflowPunct w:val="0"/>
        <w:autoSpaceDE/>
        <w:autoSpaceDN/>
        <w:adjustRightInd/>
        <w:spacing w:before="253" w:after="606" w:line="254" w:lineRule="exact"/>
        <w:jc w:val="both"/>
        <w:textAlignment w:val="baseline"/>
        <w:rPr>
          <w:sz w:val="21"/>
          <w:szCs w:val="21"/>
          <w:lang w:val="es-ES" w:eastAsia="es-ES"/>
        </w:rPr>
      </w:pPr>
      <w:r>
        <w:rPr>
          <w:sz w:val="21"/>
          <w:szCs w:val="21"/>
          <w:lang w:val="es-ES" w:eastAsia="es-ES"/>
        </w:rPr>
        <w:t>En nuestro ordenamiento administrativo, no se contempla la figura de la adición y la aclaración de resoluciones administrativas, es por tal razón que debemos de conformidad con el artículo 9 de la Ley</w:t>
      </w:r>
    </w:p>
    <w:p w14:paraId="21C259BB" w14:textId="77777777" w:rsidR="00000000" w:rsidRDefault="00000000">
      <w:pPr>
        <w:widowControl/>
        <w:rPr>
          <w:sz w:val="24"/>
          <w:szCs w:val="24"/>
        </w:rPr>
        <w:sectPr w:rsidR="00000000">
          <w:pgSz w:w="12274" w:h="15763"/>
          <w:pgMar w:top="2380" w:right="1669" w:bottom="467" w:left="1925" w:header="720" w:footer="720" w:gutter="0"/>
          <w:cols w:space="720"/>
          <w:noEndnote/>
        </w:sectPr>
      </w:pPr>
    </w:p>
    <w:p w14:paraId="6CEC12CD" w14:textId="77777777" w:rsidR="00000000" w:rsidRDefault="00000000">
      <w:pPr>
        <w:widowControl/>
        <w:rPr>
          <w:sz w:val="24"/>
          <w:szCs w:val="24"/>
        </w:rPr>
        <w:sectPr w:rsidR="00000000">
          <w:type w:val="continuous"/>
          <w:pgSz w:w="12274" w:h="15763"/>
          <w:pgMar w:top="2380" w:right="2079" w:bottom="467" w:left="8155" w:header="720" w:footer="720" w:gutter="0"/>
          <w:cols w:space="720"/>
          <w:noEndnote/>
        </w:sectPr>
      </w:pPr>
    </w:p>
    <w:p w14:paraId="379A26E1" w14:textId="77777777" w:rsidR="00000000" w:rsidRDefault="00000000">
      <w:pPr>
        <w:kinsoku w:val="0"/>
        <w:overflowPunct w:val="0"/>
        <w:autoSpaceDE/>
        <w:autoSpaceDN/>
        <w:adjustRightInd/>
        <w:spacing w:line="249" w:lineRule="exact"/>
        <w:jc w:val="both"/>
        <w:textAlignment w:val="baseline"/>
        <w:rPr>
          <w:sz w:val="21"/>
          <w:szCs w:val="21"/>
          <w:lang w:val="es-ES" w:eastAsia="es-ES"/>
        </w:rPr>
      </w:pPr>
      <w:r>
        <w:rPr>
          <w:sz w:val="21"/>
          <w:szCs w:val="21"/>
          <w:lang w:val="es-ES" w:eastAsia="es-ES"/>
        </w:rPr>
        <w:lastRenderedPageBreak/>
        <w:t>General de la Administración Pública, integrar las demás normas del ordenamiento jurídico nacional y por ello acudimos al Código Procesal Civil el cual en su numeral 63 dispone:</w:t>
      </w:r>
    </w:p>
    <w:p w14:paraId="2FD24880" w14:textId="77777777" w:rsidR="00000000" w:rsidRDefault="00000000">
      <w:pPr>
        <w:kinsoku w:val="0"/>
        <w:overflowPunct w:val="0"/>
        <w:autoSpaceDE/>
        <w:autoSpaceDN/>
        <w:adjustRightInd/>
        <w:spacing w:before="248" w:line="245" w:lineRule="exact"/>
        <w:ind w:left="864" w:right="864"/>
        <w:jc w:val="both"/>
        <w:textAlignment w:val="baseline"/>
        <w:rPr>
          <w:i/>
          <w:iCs/>
          <w:sz w:val="21"/>
          <w:szCs w:val="21"/>
          <w:lang w:val="es-ES" w:eastAsia="es-ES"/>
        </w:rPr>
      </w:pPr>
      <w:r>
        <w:rPr>
          <w:i/>
          <w:iCs/>
          <w:sz w:val="21"/>
          <w:szCs w:val="21"/>
          <w:lang w:val="es-ES" w:eastAsia="es-ES"/>
        </w:rPr>
        <w:t>"ARTÍCULO 63.- Invariabilidad, adición, aclaración y corrección de errores materiales</w:t>
      </w:r>
    </w:p>
    <w:p w14:paraId="31342A45" w14:textId="77777777" w:rsidR="00000000" w:rsidRDefault="00000000">
      <w:pPr>
        <w:kinsoku w:val="0"/>
        <w:overflowPunct w:val="0"/>
        <w:autoSpaceDE/>
        <w:autoSpaceDN/>
        <w:adjustRightInd/>
        <w:spacing w:before="253" w:line="245" w:lineRule="exact"/>
        <w:ind w:left="864" w:right="864"/>
        <w:jc w:val="both"/>
        <w:textAlignment w:val="baseline"/>
        <w:rPr>
          <w:i/>
          <w:iCs/>
          <w:sz w:val="21"/>
          <w:szCs w:val="21"/>
          <w:lang w:val="es-ES" w:eastAsia="es-ES"/>
        </w:rPr>
      </w:pPr>
      <w:r>
        <w:rPr>
          <w:i/>
          <w:iCs/>
          <w:sz w:val="21"/>
          <w:szCs w:val="21"/>
          <w:lang w:val="es-ES" w:eastAsia="es-ES"/>
        </w:rPr>
        <w:t xml:space="preserve">Los tribunales no podrán revocar ni modificar sus </w:t>
      </w:r>
      <w:proofErr w:type="gramStart"/>
      <w:r>
        <w:rPr>
          <w:i/>
          <w:iCs/>
          <w:sz w:val="21"/>
          <w:szCs w:val="21"/>
          <w:lang w:val="es-ES" w:eastAsia="es-ES"/>
        </w:rPr>
        <w:t>sentencias</w:t>
      </w:r>
      <w:proofErr w:type="gramEnd"/>
      <w:r>
        <w:rPr>
          <w:i/>
          <w:iCs/>
          <w:sz w:val="21"/>
          <w:szCs w:val="21"/>
          <w:lang w:val="es-ES" w:eastAsia="es-ES"/>
        </w:rPr>
        <w:t xml:space="preserve"> pero sí aclarar cualquier pronunciamiento oscuro o contradictorio, o suplir cualquier omisión sobre algún punto discutido. Estas aclaraciones o adiciones solo procederán respecto de la parte dispositiva.</w:t>
      </w:r>
    </w:p>
    <w:p w14:paraId="394675C1" w14:textId="77777777" w:rsidR="00000000" w:rsidRDefault="00000000">
      <w:pPr>
        <w:kinsoku w:val="0"/>
        <w:overflowPunct w:val="0"/>
        <w:autoSpaceDE/>
        <w:autoSpaceDN/>
        <w:adjustRightInd/>
        <w:spacing w:before="249" w:line="245" w:lineRule="exact"/>
        <w:ind w:left="864" w:right="864"/>
        <w:jc w:val="both"/>
        <w:textAlignment w:val="baseline"/>
        <w:rPr>
          <w:i/>
          <w:iCs/>
          <w:sz w:val="21"/>
          <w:szCs w:val="21"/>
          <w:lang w:val="es-ES" w:eastAsia="es-ES"/>
        </w:rPr>
      </w:pPr>
      <w:r>
        <w:rPr>
          <w:i/>
          <w:iCs/>
          <w:sz w:val="21"/>
          <w:szCs w:val="21"/>
          <w:lang w:val="es-ES" w:eastAsia="es-ES"/>
        </w:rPr>
        <w:t>Si la sentencia se dicta oralmente, las partes podrán formularla en el acto y se resolverá de inmediato. También, podrán solicitarla dentro de los tres días siguientes. Si la sentencia se emite por escrito, el tribunal podrá hacerlo de oficio antes de la notificación. Las partes pueden solicitarlo dentro del tercer día y se deberá resolver en el plazo de tres días. La solicitud de adición o aclaración interrumpe el plazo para la interposición de recursos.</w:t>
      </w:r>
    </w:p>
    <w:p w14:paraId="5F203B0A" w14:textId="77777777" w:rsidR="00000000" w:rsidRDefault="00000000">
      <w:pPr>
        <w:kinsoku w:val="0"/>
        <w:overflowPunct w:val="0"/>
        <w:autoSpaceDE/>
        <w:autoSpaceDN/>
        <w:adjustRightInd/>
        <w:spacing w:before="240" w:line="245" w:lineRule="exact"/>
        <w:ind w:left="864" w:right="864"/>
        <w:jc w:val="both"/>
        <w:textAlignment w:val="baseline"/>
        <w:rPr>
          <w:i/>
          <w:iCs/>
          <w:sz w:val="21"/>
          <w:szCs w:val="21"/>
          <w:lang w:val="es-ES" w:eastAsia="es-ES"/>
        </w:rPr>
      </w:pPr>
      <w:r>
        <w:rPr>
          <w:i/>
          <w:iCs/>
          <w:sz w:val="21"/>
          <w:szCs w:val="21"/>
          <w:lang w:val="es-ES" w:eastAsia="es-ES"/>
        </w:rPr>
        <w:t>Los tribunales podrán corregir en cualquier tiempo los errores puramente materiales, aun en etapa de ejecución."</w:t>
      </w:r>
    </w:p>
    <w:p w14:paraId="7285C4DF" w14:textId="77777777" w:rsidR="00000000" w:rsidRDefault="00000000">
      <w:pPr>
        <w:kinsoku w:val="0"/>
        <w:overflowPunct w:val="0"/>
        <w:autoSpaceDE/>
        <w:autoSpaceDN/>
        <w:adjustRightInd/>
        <w:spacing w:before="476" w:line="243" w:lineRule="exact"/>
        <w:jc w:val="both"/>
        <w:textAlignment w:val="baseline"/>
        <w:rPr>
          <w:sz w:val="21"/>
          <w:szCs w:val="21"/>
          <w:lang w:val="es-ES" w:eastAsia="es-ES"/>
        </w:rPr>
      </w:pPr>
      <w:r>
        <w:rPr>
          <w:sz w:val="21"/>
          <w:szCs w:val="21"/>
          <w:lang w:val="es-ES" w:eastAsia="es-ES"/>
        </w:rPr>
        <w:t>La Sala Primera de la Corte Suprema de Justicia en su sentencia Resolución No. 02015 — 2020 del 18 de junio de 2020 indicó:</w:t>
      </w:r>
    </w:p>
    <w:p w14:paraId="10DEA1D7" w14:textId="77777777" w:rsidR="00000000" w:rsidRDefault="00000000">
      <w:pPr>
        <w:kinsoku w:val="0"/>
        <w:overflowPunct w:val="0"/>
        <w:autoSpaceDE/>
        <w:autoSpaceDN/>
        <w:adjustRightInd/>
        <w:spacing w:before="244" w:line="245" w:lineRule="exact"/>
        <w:ind w:left="864" w:right="864"/>
        <w:jc w:val="both"/>
        <w:textAlignment w:val="baseline"/>
        <w:rPr>
          <w:i/>
          <w:iCs/>
          <w:sz w:val="21"/>
          <w:szCs w:val="21"/>
          <w:lang w:val="es-ES" w:eastAsia="es-ES"/>
        </w:rPr>
      </w:pPr>
      <w:r>
        <w:rPr>
          <w:i/>
          <w:iCs/>
          <w:sz w:val="21"/>
          <w:szCs w:val="21"/>
          <w:lang w:val="es-ES" w:eastAsia="es-ES"/>
        </w:rPr>
        <w:t>"IV. Según ha interpretado reiteradamente esta Sala, en alusión a lo establecido en el artículo 158 del Código Procesal Civil (ley 7130) y en el numeral 63 del Código Procesal Civil actual (ley 9342), aplicable por remisión expresa del canon 220 del Código Procesal Contencioso Administrativo, la aclaración y adición proceden solo respecto de la parte dispositiva de las resoluciones. Por ende, esta vía excluye la posibilidad de abordar nuevamente las discusiones de fondo plasmadas en la resolución cuestionada, o de analizar supuestas contradicciones entre los considerandos y la parte dispositiva de lo resuelto. Puede consultarse de esta Cámara la resolución número 921 de las 10 horas 50 minutos del 18 de julio de 2013. El remedio procesal de mérito, únicamente permite subsanar contradicciones u oscuridades observadas en el acápite dispositivo de la resolución; o bien, las omisiones determinadas en este."</w:t>
      </w:r>
    </w:p>
    <w:p w14:paraId="47F36E47" w14:textId="77777777" w:rsidR="00000000" w:rsidRDefault="00000000">
      <w:pPr>
        <w:kinsoku w:val="0"/>
        <w:overflowPunct w:val="0"/>
        <w:autoSpaceDE/>
        <w:autoSpaceDN/>
        <w:adjustRightInd/>
        <w:spacing w:before="246" w:line="249" w:lineRule="exact"/>
        <w:jc w:val="both"/>
        <w:textAlignment w:val="baseline"/>
        <w:rPr>
          <w:sz w:val="21"/>
          <w:szCs w:val="21"/>
          <w:lang w:val="es-ES" w:eastAsia="es-ES"/>
        </w:rPr>
      </w:pPr>
      <w:r>
        <w:rPr>
          <w:sz w:val="21"/>
          <w:szCs w:val="21"/>
          <w:lang w:val="es-ES" w:eastAsia="es-ES"/>
        </w:rPr>
        <w:t>Como se verifica en las piezas del expediente administrativo, la solicitud de Aclaración a la Resolución No. TAT-3794-2022 de las 08:45 horas del 18 de julio de 2022, emitida por este Tribunal Administrativo de Transporte, es improcedente y debe rechazarse, por cuanto no se cumple los presupuestos del numeral 63 del Código Procesal Civil indicado supra.</w:t>
      </w:r>
    </w:p>
    <w:p w14:paraId="60DA63F8" w14:textId="77777777" w:rsidR="00000000" w:rsidRDefault="00000000">
      <w:pPr>
        <w:kinsoku w:val="0"/>
        <w:overflowPunct w:val="0"/>
        <w:autoSpaceDE/>
        <w:autoSpaceDN/>
        <w:adjustRightInd/>
        <w:spacing w:before="261" w:line="240" w:lineRule="exact"/>
        <w:jc w:val="both"/>
        <w:textAlignment w:val="baseline"/>
        <w:rPr>
          <w:sz w:val="21"/>
          <w:szCs w:val="21"/>
          <w:lang w:val="es-ES" w:eastAsia="es-ES"/>
        </w:rPr>
      </w:pPr>
      <w:r>
        <w:rPr>
          <w:sz w:val="21"/>
          <w:szCs w:val="21"/>
          <w:lang w:val="es-ES" w:eastAsia="es-ES"/>
        </w:rPr>
        <w:t>Considera este Tribunal que la resolución que se pretende se aclare, no presenta ningún punto obscuro en su parte dispositiva.</w:t>
      </w:r>
    </w:p>
    <w:p w14:paraId="353A1A8E" w14:textId="1B253744" w:rsidR="00000000" w:rsidRDefault="00000000">
      <w:pPr>
        <w:kinsoku w:val="0"/>
        <w:overflowPunct w:val="0"/>
        <w:autoSpaceDE/>
        <w:autoSpaceDN/>
        <w:adjustRightInd/>
        <w:spacing w:before="264" w:line="247" w:lineRule="exact"/>
        <w:jc w:val="both"/>
        <w:textAlignment w:val="baseline"/>
        <w:rPr>
          <w:i/>
          <w:iCs/>
          <w:sz w:val="21"/>
          <w:szCs w:val="21"/>
          <w:lang w:val="es-ES" w:eastAsia="es-ES"/>
        </w:rPr>
      </w:pPr>
      <w:r>
        <w:rPr>
          <w:sz w:val="21"/>
          <w:szCs w:val="21"/>
          <w:lang w:val="es-ES" w:eastAsia="es-ES"/>
        </w:rPr>
        <w:t>En cuanto a la Reconsideración solicitada, se le recuerda a la empresa T</w:t>
      </w:r>
      <w:r w:rsidR="004C7E6D">
        <w:rPr>
          <w:sz w:val="21"/>
          <w:szCs w:val="21"/>
          <w:lang w:val="es-ES" w:eastAsia="es-ES"/>
        </w:rPr>
        <w:t>MYCTSA</w:t>
      </w:r>
      <w:r>
        <w:rPr>
          <w:sz w:val="21"/>
          <w:szCs w:val="21"/>
          <w:lang w:val="es-ES" w:eastAsia="es-ES"/>
        </w:rPr>
        <w:t xml:space="preserve">, que de conformidad con el numeral 16 de la Ley No. 7969 </w:t>
      </w:r>
      <w:r>
        <w:rPr>
          <w:i/>
          <w:iCs/>
          <w:sz w:val="21"/>
          <w:szCs w:val="21"/>
          <w:lang w:val="es-ES" w:eastAsia="es-ES"/>
        </w:rPr>
        <w:t>"Ley Reguladora del Servicio Público de Transporte Remunerado de Personas en Vehículos en la</w:t>
      </w:r>
    </w:p>
    <w:p w14:paraId="2F1D6AB3" w14:textId="77777777" w:rsidR="004C7E6D" w:rsidRDefault="004C7E6D">
      <w:pPr>
        <w:kinsoku w:val="0"/>
        <w:overflowPunct w:val="0"/>
        <w:autoSpaceDE/>
        <w:autoSpaceDN/>
        <w:adjustRightInd/>
        <w:spacing w:before="8" w:line="247" w:lineRule="exact"/>
        <w:jc w:val="both"/>
        <w:textAlignment w:val="baseline"/>
        <w:rPr>
          <w:rFonts w:ascii="Bookman Old Style" w:hAnsi="Bookman Old Style" w:cs="Bookman Old Style"/>
          <w:i/>
          <w:iCs/>
          <w:sz w:val="22"/>
          <w:szCs w:val="22"/>
          <w:lang w:val="es-ES" w:eastAsia="es-ES"/>
        </w:rPr>
      </w:pPr>
    </w:p>
    <w:p w14:paraId="22F08092" w14:textId="77777777" w:rsidR="004C7E6D" w:rsidRDefault="004C7E6D">
      <w:pPr>
        <w:kinsoku w:val="0"/>
        <w:overflowPunct w:val="0"/>
        <w:autoSpaceDE/>
        <w:autoSpaceDN/>
        <w:adjustRightInd/>
        <w:spacing w:before="8" w:line="247" w:lineRule="exact"/>
        <w:jc w:val="both"/>
        <w:textAlignment w:val="baseline"/>
        <w:rPr>
          <w:rFonts w:ascii="Bookman Old Style" w:hAnsi="Bookman Old Style" w:cs="Bookman Old Style"/>
          <w:i/>
          <w:iCs/>
          <w:sz w:val="22"/>
          <w:szCs w:val="22"/>
          <w:lang w:val="es-ES" w:eastAsia="es-ES"/>
        </w:rPr>
      </w:pPr>
    </w:p>
    <w:p w14:paraId="18360405" w14:textId="77777777" w:rsidR="004C7E6D" w:rsidRDefault="004C7E6D">
      <w:pPr>
        <w:kinsoku w:val="0"/>
        <w:overflowPunct w:val="0"/>
        <w:autoSpaceDE/>
        <w:autoSpaceDN/>
        <w:adjustRightInd/>
        <w:spacing w:before="8" w:line="247" w:lineRule="exact"/>
        <w:jc w:val="both"/>
        <w:textAlignment w:val="baseline"/>
        <w:rPr>
          <w:rFonts w:ascii="Bookman Old Style" w:hAnsi="Bookman Old Style" w:cs="Bookman Old Style"/>
          <w:i/>
          <w:iCs/>
          <w:sz w:val="22"/>
          <w:szCs w:val="22"/>
          <w:lang w:val="es-ES" w:eastAsia="es-ES"/>
        </w:rPr>
      </w:pPr>
    </w:p>
    <w:p w14:paraId="518BCA53" w14:textId="77777777" w:rsidR="004C7E6D" w:rsidRDefault="004C7E6D">
      <w:pPr>
        <w:kinsoku w:val="0"/>
        <w:overflowPunct w:val="0"/>
        <w:autoSpaceDE/>
        <w:autoSpaceDN/>
        <w:adjustRightInd/>
        <w:spacing w:before="8" w:line="247" w:lineRule="exact"/>
        <w:jc w:val="both"/>
        <w:textAlignment w:val="baseline"/>
        <w:rPr>
          <w:rFonts w:ascii="Bookman Old Style" w:hAnsi="Bookman Old Style" w:cs="Bookman Old Style"/>
          <w:i/>
          <w:iCs/>
          <w:sz w:val="22"/>
          <w:szCs w:val="22"/>
          <w:lang w:val="es-ES" w:eastAsia="es-ES"/>
        </w:rPr>
      </w:pPr>
    </w:p>
    <w:p w14:paraId="13235A8A" w14:textId="6B4502DD" w:rsidR="00000000" w:rsidRDefault="00000000">
      <w:pPr>
        <w:kinsoku w:val="0"/>
        <w:overflowPunct w:val="0"/>
        <w:autoSpaceDE/>
        <w:autoSpaceDN/>
        <w:adjustRightInd/>
        <w:spacing w:before="8" w:line="247" w:lineRule="exact"/>
        <w:jc w:val="both"/>
        <w:textAlignment w:val="baseline"/>
        <w:rPr>
          <w:sz w:val="21"/>
          <w:szCs w:val="21"/>
          <w:lang w:val="es-ES" w:eastAsia="es-ES"/>
        </w:rPr>
      </w:pPr>
      <w:r>
        <w:rPr>
          <w:rFonts w:ascii="Bookman Old Style" w:hAnsi="Bookman Old Style" w:cs="Bookman Old Style"/>
          <w:i/>
          <w:iCs/>
          <w:sz w:val="22"/>
          <w:szCs w:val="22"/>
          <w:lang w:val="es-ES" w:eastAsia="es-ES"/>
        </w:rPr>
        <w:lastRenderedPageBreak/>
        <w:t xml:space="preserve">Modalidad Taxis", </w:t>
      </w:r>
      <w:r>
        <w:rPr>
          <w:sz w:val="21"/>
          <w:szCs w:val="21"/>
          <w:lang w:val="es-ES" w:eastAsia="es-ES"/>
        </w:rPr>
        <w:t>las resoluciones del Tribunal Administrativo de Transporte no tienen ulterior</w:t>
      </w:r>
    </w:p>
    <w:p w14:paraId="4E5512C9" w14:textId="77777777" w:rsidR="00000000" w:rsidRDefault="00000000">
      <w:pPr>
        <w:kinsoku w:val="0"/>
        <w:overflowPunct w:val="0"/>
        <w:autoSpaceDE/>
        <w:autoSpaceDN/>
        <w:adjustRightInd/>
        <w:spacing w:line="242" w:lineRule="exact"/>
        <w:textAlignment w:val="baseline"/>
        <w:rPr>
          <w:sz w:val="21"/>
          <w:szCs w:val="21"/>
          <w:lang w:val="es-ES" w:eastAsia="es-ES"/>
        </w:rPr>
      </w:pPr>
      <w:r>
        <w:rPr>
          <w:sz w:val="21"/>
          <w:szCs w:val="21"/>
          <w:lang w:val="es-ES" w:eastAsia="es-ES"/>
        </w:rPr>
        <w:t>recurso.</w:t>
      </w:r>
    </w:p>
    <w:p w14:paraId="27C2626D" w14:textId="77777777" w:rsidR="004C7E6D" w:rsidRDefault="004C7E6D">
      <w:pPr>
        <w:kinsoku w:val="0"/>
        <w:overflowPunct w:val="0"/>
        <w:autoSpaceDE/>
        <w:autoSpaceDN/>
        <w:adjustRightInd/>
        <w:spacing w:before="7" w:line="238" w:lineRule="exact"/>
        <w:jc w:val="center"/>
        <w:textAlignment w:val="baseline"/>
        <w:rPr>
          <w:b/>
          <w:bCs/>
          <w:spacing w:val="1"/>
          <w:sz w:val="21"/>
          <w:szCs w:val="21"/>
          <w:lang w:val="es-ES" w:eastAsia="es-ES"/>
        </w:rPr>
      </w:pPr>
    </w:p>
    <w:p w14:paraId="30BE7AC4" w14:textId="7ADDBDAC" w:rsidR="00000000" w:rsidRDefault="00000000">
      <w:pPr>
        <w:kinsoku w:val="0"/>
        <w:overflowPunct w:val="0"/>
        <w:autoSpaceDE/>
        <w:autoSpaceDN/>
        <w:adjustRightInd/>
        <w:spacing w:before="7" w:line="238" w:lineRule="exact"/>
        <w:jc w:val="center"/>
        <w:textAlignment w:val="baseline"/>
        <w:rPr>
          <w:b/>
          <w:bCs/>
          <w:spacing w:val="1"/>
          <w:sz w:val="21"/>
          <w:szCs w:val="21"/>
          <w:lang w:val="es-ES" w:eastAsia="es-ES"/>
        </w:rPr>
      </w:pPr>
      <w:r>
        <w:rPr>
          <w:b/>
          <w:bCs/>
          <w:spacing w:val="1"/>
          <w:sz w:val="21"/>
          <w:szCs w:val="21"/>
          <w:lang w:val="es-ES" w:eastAsia="es-ES"/>
        </w:rPr>
        <w:t>POR TANTO</w:t>
      </w:r>
    </w:p>
    <w:p w14:paraId="16789190" w14:textId="5A16EB31" w:rsidR="00000000" w:rsidRDefault="00000000">
      <w:pPr>
        <w:kinsoku w:val="0"/>
        <w:overflowPunct w:val="0"/>
        <w:autoSpaceDE/>
        <w:autoSpaceDN/>
        <w:adjustRightInd/>
        <w:spacing w:before="261" w:line="247" w:lineRule="exact"/>
        <w:jc w:val="both"/>
        <w:textAlignment w:val="baseline"/>
        <w:rPr>
          <w:sz w:val="21"/>
          <w:szCs w:val="21"/>
          <w:lang w:val="es-ES" w:eastAsia="es-ES"/>
        </w:rPr>
      </w:pPr>
      <w:r>
        <w:rPr>
          <w:b/>
          <w:bCs/>
          <w:sz w:val="21"/>
          <w:szCs w:val="21"/>
          <w:lang w:val="es-ES" w:eastAsia="es-ES"/>
        </w:rPr>
        <w:t xml:space="preserve">I. </w:t>
      </w:r>
      <w:r>
        <w:rPr>
          <w:sz w:val="21"/>
          <w:szCs w:val="21"/>
          <w:lang w:val="es-ES" w:eastAsia="es-ES"/>
        </w:rPr>
        <w:t xml:space="preserve">Se rechaza </w:t>
      </w:r>
      <w:r>
        <w:rPr>
          <w:b/>
          <w:bCs/>
          <w:sz w:val="21"/>
          <w:szCs w:val="21"/>
          <w:lang w:val="es-ES" w:eastAsia="es-ES"/>
        </w:rPr>
        <w:t xml:space="preserve">Solicitud de Aclaración y Reconsideración </w:t>
      </w:r>
      <w:r>
        <w:rPr>
          <w:sz w:val="21"/>
          <w:szCs w:val="21"/>
          <w:lang w:val="es-ES" w:eastAsia="es-ES"/>
        </w:rPr>
        <w:t xml:space="preserve">de la Resolución </w:t>
      </w:r>
      <w:r>
        <w:rPr>
          <w:b/>
          <w:bCs/>
          <w:sz w:val="21"/>
          <w:szCs w:val="21"/>
          <w:lang w:val="es-ES" w:eastAsia="es-ES"/>
        </w:rPr>
        <w:t xml:space="preserve">No. TAT-3794-2022 de las 08:45 horas del 18 de julio de 2022, </w:t>
      </w:r>
      <w:r>
        <w:rPr>
          <w:sz w:val="21"/>
          <w:szCs w:val="21"/>
          <w:lang w:val="es-ES" w:eastAsia="es-ES"/>
        </w:rPr>
        <w:t xml:space="preserve">emitida por este Tribunal Administrativo de Transporte presentado por la empresa </w:t>
      </w:r>
      <w:r>
        <w:rPr>
          <w:b/>
          <w:bCs/>
          <w:sz w:val="21"/>
          <w:szCs w:val="21"/>
          <w:lang w:val="es-ES" w:eastAsia="es-ES"/>
        </w:rPr>
        <w:t>T</w:t>
      </w:r>
      <w:r w:rsidR="004C7E6D">
        <w:rPr>
          <w:b/>
          <w:bCs/>
          <w:sz w:val="21"/>
          <w:szCs w:val="21"/>
          <w:lang w:val="es-ES" w:eastAsia="es-ES"/>
        </w:rPr>
        <w:t>MYCTSA</w:t>
      </w:r>
      <w:r>
        <w:rPr>
          <w:b/>
          <w:bCs/>
          <w:sz w:val="21"/>
          <w:szCs w:val="21"/>
          <w:lang w:val="es-ES" w:eastAsia="es-ES"/>
        </w:rPr>
        <w:t xml:space="preserve">, </w:t>
      </w:r>
      <w:r>
        <w:rPr>
          <w:sz w:val="21"/>
          <w:szCs w:val="21"/>
          <w:lang w:val="es-ES" w:eastAsia="es-ES"/>
        </w:rPr>
        <w:t xml:space="preserve">cédula jurídica No. </w:t>
      </w:r>
      <w:r w:rsidR="004C7E6D">
        <w:rPr>
          <w:sz w:val="21"/>
          <w:szCs w:val="21"/>
          <w:lang w:val="es-ES" w:eastAsia="es-ES"/>
        </w:rPr>
        <w:t>000</w:t>
      </w:r>
      <w:r>
        <w:rPr>
          <w:sz w:val="21"/>
          <w:szCs w:val="21"/>
          <w:lang w:val="es-ES" w:eastAsia="es-ES"/>
        </w:rPr>
        <w:t xml:space="preserve">, por medio de su </w:t>
      </w:r>
      <w:proofErr w:type="gramStart"/>
      <w:r>
        <w:rPr>
          <w:sz w:val="21"/>
          <w:szCs w:val="21"/>
          <w:lang w:val="es-ES" w:eastAsia="es-ES"/>
        </w:rPr>
        <w:t>Presidente</w:t>
      </w:r>
      <w:proofErr w:type="gramEnd"/>
      <w:r>
        <w:rPr>
          <w:sz w:val="21"/>
          <w:szCs w:val="21"/>
          <w:lang w:val="es-ES" w:eastAsia="es-ES"/>
        </w:rPr>
        <w:t xml:space="preserve"> y Apoderado Generalísimo sin Límite de Suma, señor </w:t>
      </w:r>
      <w:r>
        <w:rPr>
          <w:b/>
          <w:bCs/>
          <w:sz w:val="21"/>
          <w:szCs w:val="21"/>
          <w:lang w:val="es-ES" w:eastAsia="es-ES"/>
        </w:rPr>
        <w:t>C</w:t>
      </w:r>
      <w:r w:rsidR="004C7E6D">
        <w:rPr>
          <w:b/>
          <w:bCs/>
          <w:sz w:val="21"/>
          <w:szCs w:val="21"/>
          <w:lang w:val="es-ES" w:eastAsia="es-ES"/>
        </w:rPr>
        <w:t>PV</w:t>
      </w:r>
      <w:r>
        <w:rPr>
          <w:b/>
          <w:bCs/>
          <w:sz w:val="21"/>
          <w:szCs w:val="21"/>
          <w:lang w:val="es-ES" w:eastAsia="es-ES"/>
        </w:rPr>
        <w:t xml:space="preserve">, </w:t>
      </w:r>
      <w:r>
        <w:rPr>
          <w:sz w:val="21"/>
          <w:szCs w:val="21"/>
          <w:lang w:val="es-ES" w:eastAsia="es-ES"/>
        </w:rPr>
        <w:t xml:space="preserve">cédula de identidad No. </w:t>
      </w:r>
      <w:r w:rsidR="004C7E6D">
        <w:rPr>
          <w:sz w:val="21"/>
          <w:szCs w:val="21"/>
          <w:lang w:val="es-ES" w:eastAsia="es-ES"/>
        </w:rPr>
        <w:t>000</w:t>
      </w:r>
      <w:r>
        <w:rPr>
          <w:sz w:val="21"/>
          <w:szCs w:val="21"/>
          <w:lang w:val="es-ES" w:eastAsia="es-ES"/>
        </w:rPr>
        <w:t>.</w:t>
      </w:r>
    </w:p>
    <w:p w14:paraId="2355D9C2" w14:textId="47271D68" w:rsidR="00000000" w:rsidRDefault="00000000" w:rsidP="004C7E6D">
      <w:pPr>
        <w:kinsoku w:val="0"/>
        <w:overflowPunct w:val="0"/>
        <w:autoSpaceDE/>
        <w:autoSpaceDN/>
        <w:adjustRightInd/>
        <w:spacing w:before="243" w:line="238" w:lineRule="exact"/>
        <w:textAlignment w:val="baseline"/>
        <w:rPr>
          <w:b/>
          <w:bCs/>
          <w:spacing w:val="2"/>
          <w:sz w:val="21"/>
          <w:szCs w:val="21"/>
          <w:lang w:val="es-ES" w:eastAsia="es-ES"/>
        </w:rPr>
      </w:pPr>
      <w:r>
        <w:rPr>
          <w:b/>
          <w:bCs/>
          <w:spacing w:val="2"/>
          <w:sz w:val="21"/>
          <w:szCs w:val="21"/>
          <w:lang w:val="es-ES" w:eastAsia="es-ES"/>
        </w:rPr>
        <w:t xml:space="preserve">NOTIFIQUESE. </w:t>
      </w:r>
      <w:r w:rsidR="004C7E6D">
        <w:rPr>
          <w:b/>
          <w:bCs/>
          <w:spacing w:val="2"/>
          <w:sz w:val="21"/>
          <w:szCs w:val="21"/>
          <w:lang w:val="es-ES" w:eastAsia="es-ES"/>
        </w:rPr>
        <w:t>–</w:t>
      </w:r>
    </w:p>
    <w:p w14:paraId="1F058EF7" w14:textId="77777777" w:rsidR="004C7E6D" w:rsidRDefault="004C7E6D" w:rsidP="004C7E6D">
      <w:pPr>
        <w:kinsoku w:val="0"/>
        <w:overflowPunct w:val="0"/>
        <w:autoSpaceDE/>
        <w:autoSpaceDN/>
        <w:adjustRightInd/>
        <w:spacing w:before="243" w:line="238" w:lineRule="exact"/>
        <w:textAlignment w:val="baseline"/>
        <w:rPr>
          <w:b/>
          <w:bCs/>
          <w:spacing w:val="2"/>
          <w:sz w:val="21"/>
          <w:szCs w:val="21"/>
          <w:lang w:val="es-ES" w:eastAsia="es-ES"/>
        </w:rPr>
      </w:pPr>
    </w:p>
    <w:p w14:paraId="366A5E36" w14:textId="77777777" w:rsidR="004C7E6D" w:rsidRDefault="004C7E6D" w:rsidP="004C7E6D">
      <w:pPr>
        <w:keepNext/>
        <w:spacing w:line="276" w:lineRule="auto"/>
        <w:jc w:val="center"/>
        <w:outlineLvl w:val="0"/>
        <w:rPr>
          <w:rFonts w:eastAsia="Times New Roman"/>
          <w:sz w:val="24"/>
          <w:szCs w:val="24"/>
          <w:lang w:val="es-ES_tradnl" w:eastAsia="es-MX"/>
        </w:rPr>
      </w:pPr>
      <w:bookmarkStart w:id="0" w:name="_Hlk134442920"/>
      <w:bookmarkStart w:id="1" w:name="_Hlk134439633"/>
    </w:p>
    <w:p w14:paraId="40312CE5" w14:textId="649B5720" w:rsidR="004C7E6D" w:rsidRPr="004961F5" w:rsidRDefault="004C7E6D" w:rsidP="004C7E6D">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39941BB8" w14:textId="77777777" w:rsidR="004C7E6D" w:rsidRPr="004961F5" w:rsidRDefault="004C7E6D" w:rsidP="004C7E6D">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bookmarkEnd w:id="0"/>
    <w:p w14:paraId="01F8231C" w14:textId="77777777" w:rsidR="004C7E6D" w:rsidRPr="004961F5" w:rsidRDefault="004C7E6D" w:rsidP="004C7E6D">
      <w:pPr>
        <w:rPr>
          <w:rFonts w:eastAsia="Times New Roman"/>
          <w:sz w:val="24"/>
          <w:szCs w:val="24"/>
          <w:lang w:val="es-ES_tradnl" w:eastAsia="es-MX"/>
        </w:rPr>
      </w:pPr>
    </w:p>
    <w:p w14:paraId="2767A4AB" w14:textId="77777777" w:rsidR="004C7E6D" w:rsidRPr="004961F5" w:rsidRDefault="004C7E6D" w:rsidP="004C7E6D">
      <w:pPr>
        <w:rPr>
          <w:rFonts w:eastAsia="Times New Roman"/>
          <w:sz w:val="24"/>
          <w:szCs w:val="24"/>
          <w:lang w:val="es-ES_tradnl" w:eastAsia="es-MX"/>
        </w:rPr>
      </w:pPr>
    </w:p>
    <w:p w14:paraId="4E24F024" w14:textId="77777777" w:rsidR="004C7E6D" w:rsidRPr="004961F5" w:rsidRDefault="004C7E6D" w:rsidP="004C7E6D">
      <w:pPr>
        <w:rPr>
          <w:rFonts w:eastAsia="Times New Roman"/>
          <w:sz w:val="24"/>
          <w:szCs w:val="24"/>
          <w:lang w:val="es-ES_tradnl" w:eastAsia="es-MX"/>
        </w:rPr>
      </w:pPr>
    </w:p>
    <w:p w14:paraId="7A1D7283" w14:textId="77777777" w:rsidR="004C7E6D" w:rsidRPr="004961F5" w:rsidRDefault="004C7E6D" w:rsidP="004C7E6D">
      <w:pPr>
        <w:rPr>
          <w:rFonts w:eastAsia="Times New Roman"/>
          <w:sz w:val="24"/>
          <w:szCs w:val="24"/>
          <w:lang w:val="es-ES_tradnl" w:eastAsia="es-MX"/>
        </w:rPr>
      </w:pPr>
    </w:p>
    <w:p w14:paraId="56BEF8D6" w14:textId="77777777" w:rsidR="004C7E6D" w:rsidRPr="004961F5" w:rsidRDefault="004C7E6D" w:rsidP="004C7E6D">
      <w:pPr>
        <w:rPr>
          <w:rFonts w:eastAsia="Times New Roman"/>
          <w:sz w:val="24"/>
          <w:szCs w:val="24"/>
          <w:lang w:val="es-ES_tradnl" w:eastAsia="es-MX"/>
        </w:rPr>
      </w:pPr>
    </w:p>
    <w:p w14:paraId="775CFD49" w14:textId="77777777" w:rsidR="004C7E6D" w:rsidRPr="004961F5" w:rsidRDefault="004C7E6D" w:rsidP="004C7E6D">
      <w:pPr>
        <w:rPr>
          <w:rFonts w:eastAsia="Times New Roman"/>
          <w:sz w:val="24"/>
          <w:szCs w:val="24"/>
          <w:lang w:val="es-ES_tradnl" w:eastAsia="es-MX"/>
        </w:rPr>
      </w:pPr>
    </w:p>
    <w:p w14:paraId="456DC7AA" w14:textId="77777777" w:rsidR="004C7E6D" w:rsidRPr="004961F5" w:rsidRDefault="004C7E6D" w:rsidP="004C7E6D">
      <w:pPr>
        <w:rPr>
          <w:rFonts w:eastAsia="Times New Roman"/>
          <w:sz w:val="24"/>
          <w:szCs w:val="24"/>
          <w:lang w:val="es-ES_tradnl" w:eastAsia="es-MX"/>
        </w:rPr>
      </w:pPr>
    </w:p>
    <w:p w14:paraId="1F919F33" w14:textId="77777777" w:rsidR="004C7E6D" w:rsidRPr="004961F5" w:rsidRDefault="004C7E6D" w:rsidP="004C7E6D">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0BFB157E" w14:textId="30952438" w:rsidR="004C7E6D" w:rsidRDefault="004C7E6D" w:rsidP="004C7E6D">
      <w:pPr>
        <w:kinsoku w:val="0"/>
        <w:overflowPunct w:val="0"/>
        <w:autoSpaceDE/>
        <w:autoSpaceDN/>
        <w:adjustRightInd/>
        <w:spacing w:before="243" w:line="238" w:lineRule="exact"/>
        <w:textAlignment w:val="baseline"/>
        <w:rPr>
          <w:spacing w:val="-5"/>
          <w:sz w:val="21"/>
          <w:szCs w:val="21"/>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r w:rsidRPr="004961F5">
        <w:rPr>
          <w:rFonts w:eastAsia="Times New Roman"/>
          <w:b/>
          <w:bCs/>
          <w:sz w:val="24"/>
          <w:szCs w:val="24"/>
          <w:lang w:val="es-ES" w:eastAsia="es-MX"/>
        </w:rPr>
        <w:t>Jueza</w:t>
      </w:r>
      <w:bookmarkEnd w:id="1"/>
    </w:p>
    <w:sectPr w:rsidR="004C7E6D" w:rsidSect="004C7E6D">
      <w:pgSz w:w="12293" w:h="15792"/>
      <w:pgMar w:top="2400" w:right="1701" w:bottom="216" w:left="191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E6D"/>
    <w:rsid w:val="004C7E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82012"/>
  <w14:defaultImageDpi w14:val="0"/>
  <w15:docId w15:val="{841B7291-8639-4D6B-ACA7-6F5C4F34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4847</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B. Rodríguez Temporal</cp:lastModifiedBy>
  <cp:revision>2</cp:revision>
  <dcterms:created xsi:type="dcterms:W3CDTF">2023-06-09T15:09:00Z</dcterms:created>
  <dcterms:modified xsi:type="dcterms:W3CDTF">2023-06-09T15:09:00Z</dcterms:modified>
</cp:coreProperties>
</file>