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4DBD7" w14:textId="77777777" w:rsidR="005866FA" w:rsidRPr="00A4283E" w:rsidRDefault="005866FA" w:rsidP="005866FA">
      <w:pPr>
        <w:spacing w:after="0" w:line="276" w:lineRule="auto"/>
        <w:jc w:val="center"/>
        <w:rPr>
          <w:rFonts w:ascii="Times New Roman" w:eastAsia="Times New Roman" w:hAnsi="Times New Roman" w:cs="Times New Roman"/>
          <w:color w:val="000000" w:themeColor="text1"/>
          <w:sz w:val="24"/>
          <w:szCs w:val="24"/>
          <w:lang w:val="es-ES" w:eastAsia="es-MX"/>
        </w:rPr>
      </w:pPr>
    </w:p>
    <w:p w14:paraId="1CB2BFD1" w14:textId="695DEE40" w:rsidR="005866FA" w:rsidRPr="00A4283E" w:rsidRDefault="005866FA" w:rsidP="005866FA">
      <w:pPr>
        <w:spacing w:after="0" w:line="276" w:lineRule="auto"/>
        <w:jc w:val="center"/>
        <w:rPr>
          <w:rFonts w:ascii="Times New Roman" w:eastAsia="Times New Roman" w:hAnsi="Times New Roman" w:cs="Times New Roman"/>
          <w:b/>
          <w:color w:val="000000" w:themeColor="text1"/>
          <w:sz w:val="24"/>
          <w:szCs w:val="24"/>
          <w:lang w:val="es-MX" w:eastAsia="es-MX"/>
        </w:rPr>
      </w:pPr>
      <w:r w:rsidRPr="00A4283E">
        <w:rPr>
          <w:rFonts w:ascii="Times New Roman" w:eastAsia="Times New Roman" w:hAnsi="Times New Roman" w:cs="Times New Roman"/>
          <w:b/>
          <w:color w:val="000000" w:themeColor="text1"/>
          <w:sz w:val="24"/>
          <w:szCs w:val="24"/>
          <w:lang w:val="es-MX" w:eastAsia="es-MX"/>
        </w:rPr>
        <w:t>RESOLUCIÓN No. TAT-4</w:t>
      </w:r>
      <w:r w:rsidR="003C5012">
        <w:rPr>
          <w:rFonts w:ascii="Times New Roman" w:eastAsia="Times New Roman" w:hAnsi="Times New Roman" w:cs="Times New Roman"/>
          <w:b/>
          <w:color w:val="000000" w:themeColor="text1"/>
          <w:sz w:val="24"/>
          <w:szCs w:val="24"/>
          <w:lang w:val="es-MX" w:eastAsia="es-MX"/>
        </w:rPr>
        <w:t>104</w:t>
      </w:r>
      <w:r w:rsidRPr="00A4283E">
        <w:rPr>
          <w:rFonts w:ascii="Times New Roman" w:eastAsia="Times New Roman" w:hAnsi="Times New Roman" w:cs="Times New Roman"/>
          <w:b/>
          <w:color w:val="000000" w:themeColor="text1"/>
          <w:sz w:val="24"/>
          <w:szCs w:val="24"/>
          <w:lang w:val="es-MX" w:eastAsia="es-MX"/>
        </w:rPr>
        <w:t>-2023</w:t>
      </w:r>
    </w:p>
    <w:p w14:paraId="10758062" w14:textId="77777777" w:rsidR="005866FA" w:rsidRPr="00A4283E" w:rsidRDefault="005866FA" w:rsidP="005866FA">
      <w:pPr>
        <w:spacing w:after="0" w:line="276" w:lineRule="auto"/>
        <w:jc w:val="both"/>
        <w:rPr>
          <w:rFonts w:ascii="Times New Roman" w:eastAsia="Times New Roman" w:hAnsi="Times New Roman" w:cs="Times New Roman"/>
          <w:b/>
          <w:color w:val="000000" w:themeColor="text1"/>
          <w:sz w:val="24"/>
          <w:szCs w:val="24"/>
          <w:lang w:val="es-ES" w:eastAsia="es-MX"/>
        </w:rPr>
      </w:pPr>
    </w:p>
    <w:p w14:paraId="06CADFB6" w14:textId="165620E6" w:rsidR="005866FA" w:rsidRPr="00A4283E" w:rsidRDefault="005866FA" w:rsidP="005866FA">
      <w:pPr>
        <w:pStyle w:val="Sinespaciado"/>
        <w:spacing w:line="276" w:lineRule="auto"/>
        <w:jc w:val="both"/>
        <w:rPr>
          <w:rFonts w:ascii="Times New Roman" w:hAnsi="Times New Roman"/>
          <w:color w:val="000000" w:themeColor="text1"/>
          <w:sz w:val="24"/>
          <w:szCs w:val="24"/>
        </w:rPr>
      </w:pPr>
      <w:r w:rsidRPr="00A4283E">
        <w:rPr>
          <w:rFonts w:ascii="Times New Roman" w:hAnsi="Times New Roman"/>
          <w:b/>
          <w:color w:val="000000" w:themeColor="text1"/>
          <w:sz w:val="24"/>
          <w:szCs w:val="24"/>
        </w:rPr>
        <w:t xml:space="preserve">TRIBUNAL ADMINISTRATIVO DE TRANSPORTE. </w:t>
      </w:r>
      <w:r w:rsidRPr="00A4283E">
        <w:rPr>
          <w:rFonts w:ascii="Times New Roman" w:hAnsi="Times New Roman"/>
          <w:bCs/>
          <w:color w:val="000000" w:themeColor="text1"/>
          <w:sz w:val="24"/>
          <w:szCs w:val="24"/>
        </w:rPr>
        <w:t xml:space="preserve"> San José</w:t>
      </w:r>
      <w:r w:rsidRPr="00A4283E">
        <w:rPr>
          <w:rFonts w:ascii="Times New Roman" w:hAnsi="Times New Roman"/>
          <w:color w:val="000000" w:themeColor="text1"/>
          <w:sz w:val="24"/>
          <w:szCs w:val="24"/>
        </w:rPr>
        <w:t>, a las</w:t>
      </w:r>
      <w:r w:rsidR="003C5012">
        <w:rPr>
          <w:rFonts w:ascii="Times New Roman" w:hAnsi="Times New Roman"/>
          <w:color w:val="000000" w:themeColor="text1"/>
          <w:sz w:val="24"/>
          <w:szCs w:val="24"/>
        </w:rPr>
        <w:t xml:space="preserve"> diez</w:t>
      </w:r>
      <w:r w:rsidRPr="00A4283E">
        <w:rPr>
          <w:rFonts w:ascii="Times New Roman" w:hAnsi="Times New Roman"/>
          <w:color w:val="000000" w:themeColor="text1"/>
          <w:sz w:val="24"/>
          <w:szCs w:val="24"/>
        </w:rPr>
        <w:t xml:space="preserve"> horas con</w:t>
      </w:r>
      <w:r w:rsidR="003C5012">
        <w:rPr>
          <w:rFonts w:ascii="Times New Roman" w:hAnsi="Times New Roman"/>
          <w:color w:val="000000" w:themeColor="text1"/>
          <w:sz w:val="24"/>
          <w:szCs w:val="24"/>
        </w:rPr>
        <w:t xml:space="preserve"> treinta </w:t>
      </w:r>
      <w:r w:rsidRPr="00A4283E">
        <w:rPr>
          <w:rFonts w:ascii="Times New Roman" w:hAnsi="Times New Roman"/>
          <w:color w:val="000000" w:themeColor="text1"/>
          <w:sz w:val="24"/>
          <w:szCs w:val="24"/>
        </w:rPr>
        <w:t xml:space="preserve">minutos del </w:t>
      </w:r>
      <w:r w:rsidR="003C5012">
        <w:rPr>
          <w:rFonts w:ascii="Times New Roman" w:hAnsi="Times New Roman"/>
          <w:color w:val="000000" w:themeColor="text1"/>
          <w:sz w:val="24"/>
          <w:szCs w:val="24"/>
        </w:rPr>
        <w:t xml:space="preserve">diecisiete </w:t>
      </w:r>
      <w:r w:rsidR="00892616">
        <w:rPr>
          <w:rFonts w:ascii="Times New Roman" w:hAnsi="Times New Roman"/>
          <w:color w:val="000000" w:themeColor="text1"/>
          <w:sz w:val="24"/>
          <w:szCs w:val="24"/>
        </w:rPr>
        <w:t>ju</w:t>
      </w:r>
      <w:r w:rsidR="003C5012">
        <w:rPr>
          <w:rFonts w:ascii="Times New Roman" w:hAnsi="Times New Roman"/>
          <w:color w:val="000000" w:themeColor="text1"/>
          <w:sz w:val="24"/>
          <w:szCs w:val="24"/>
        </w:rPr>
        <w:t>l</w:t>
      </w:r>
      <w:r w:rsidR="00892616">
        <w:rPr>
          <w:rFonts w:ascii="Times New Roman" w:hAnsi="Times New Roman"/>
          <w:color w:val="000000" w:themeColor="text1"/>
          <w:sz w:val="24"/>
          <w:szCs w:val="24"/>
        </w:rPr>
        <w:t>io</w:t>
      </w:r>
      <w:r w:rsidRPr="00A4283E">
        <w:rPr>
          <w:rFonts w:ascii="Times New Roman" w:hAnsi="Times New Roman"/>
          <w:color w:val="000000" w:themeColor="text1"/>
          <w:sz w:val="24"/>
          <w:szCs w:val="24"/>
        </w:rPr>
        <w:t xml:space="preserve"> de dos mil veintitrés.</w:t>
      </w:r>
    </w:p>
    <w:p w14:paraId="2FF4EDC2" w14:textId="77777777" w:rsidR="005866FA" w:rsidRPr="00A4283E" w:rsidRDefault="005866FA" w:rsidP="005866FA">
      <w:pPr>
        <w:pStyle w:val="Sinespaciado"/>
        <w:spacing w:line="276" w:lineRule="auto"/>
        <w:rPr>
          <w:rFonts w:ascii="Times New Roman" w:hAnsi="Times New Roman"/>
          <w:color w:val="000000" w:themeColor="text1"/>
          <w:sz w:val="24"/>
          <w:szCs w:val="24"/>
        </w:rPr>
      </w:pPr>
    </w:p>
    <w:p w14:paraId="6251FE7F" w14:textId="341E087D" w:rsidR="005866FA" w:rsidRPr="00A4283E" w:rsidRDefault="005866FA" w:rsidP="005866FA">
      <w:pPr>
        <w:spacing w:after="0" w:line="276" w:lineRule="auto"/>
        <w:jc w:val="both"/>
        <w:rPr>
          <w:rFonts w:ascii="Times New Roman" w:hAnsi="Times New Roman" w:cs="Times New Roman"/>
          <w:bCs/>
          <w:color w:val="000000" w:themeColor="text1"/>
          <w:sz w:val="24"/>
          <w:szCs w:val="24"/>
        </w:rPr>
      </w:pPr>
      <w:r w:rsidRPr="00A4283E">
        <w:rPr>
          <w:rFonts w:ascii="Times New Roman" w:hAnsi="Times New Roman" w:cs="Times New Roman"/>
          <w:color w:val="000000" w:themeColor="text1"/>
          <w:sz w:val="24"/>
          <w:szCs w:val="24"/>
        </w:rPr>
        <w:t xml:space="preserve">Se conoce </w:t>
      </w:r>
      <w:r w:rsidR="008D136C" w:rsidRPr="008D136C">
        <w:rPr>
          <w:rFonts w:ascii="Times New Roman" w:hAnsi="Times New Roman" w:cs="Times New Roman"/>
          <w:b/>
          <w:color w:val="000000" w:themeColor="text1"/>
          <w:sz w:val="24"/>
          <w:szCs w:val="24"/>
        </w:rPr>
        <w:t>Recurso de Apelación en subsidio e incidentes previos de nulidad y suspensión de efectos del acto</w:t>
      </w:r>
      <w:r w:rsidRPr="00A4283E">
        <w:rPr>
          <w:rFonts w:ascii="Times New Roman" w:hAnsi="Times New Roman" w:cs="Times New Roman"/>
          <w:bCs/>
          <w:smallCaps/>
          <w:color w:val="000000" w:themeColor="text1"/>
          <w:sz w:val="24"/>
          <w:szCs w:val="24"/>
        </w:rPr>
        <w:t>,</w:t>
      </w:r>
      <w:r w:rsidRPr="00A4283E">
        <w:rPr>
          <w:rFonts w:ascii="Times New Roman" w:hAnsi="Times New Roman" w:cs="Times New Roman"/>
          <w:b/>
          <w:smallCaps/>
          <w:color w:val="000000" w:themeColor="text1"/>
          <w:sz w:val="24"/>
          <w:szCs w:val="24"/>
        </w:rPr>
        <w:t xml:space="preserve"> </w:t>
      </w:r>
      <w:r w:rsidRPr="00A4283E">
        <w:rPr>
          <w:rFonts w:ascii="Times New Roman" w:hAnsi="Times New Roman" w:cs="Times New Roman"/>
          <w:color w:val="000000" w:themeColor="text1"/>
          <w:sz w:val="24"/>
          <w:szCs w:val="24"/>
        </w:rPr>
        <w:t xml:space="preserve">interpuesto por </w:t>
      </w:r>
      <w:r w:rsidR="00202196">
        <w:rPr>
          <w:rFonts w:ascii="Times New Roman" w:hAnsi="Times New Roman" w:cs="Times New Roman"/>
          <w:b/>
          <w:color w:val="000000" w:themeColor="text1"/>
          <w:sz w:val="24"/>
          <w:szCs w:val="24"/>
        </w:rPr>
        <w:t>FACC</w:t>
      </w:r>
      <w:r w:rsidRPr="00A4283E">
        <w:rPr>
          <w:rFonts w:ascii="Times New Roman" w:hAnsi="Times New Roman" w:cs="Times New Roman"/>
          <w:smallCaps/>
          <w:color w:val="000000" w:themeColor="text1"/>
          <w:sz w:val="24"/>
          <w:szCs w:val="24"/>
        </w:rPr>
        <w:t>,</w:t>
      </w:r>
      <w:r w:rsidRPr="00A4283E">
        <w:rPr>
          <w:rFonts w:ascii="Times New Roman" w:hAnsi="Times New Roman" w:cs="Times New Roman"/>
          <w:b/>
          <w:smallCaps/>
          <w:color w:val="000000" w:themeColor="text1"/>
          <w:sz w:val="24"/>
          <w:szCs w:val="24"/>
        </w:rPr>
        <w:t xml:space="preserve"> </w:t>
      </w:r>
      <w:r w:rsidRPr="00A4283E">
        <w:rPr>
          <w:rFonts w:ascii="Times New Roman" w:hAnsi="Times New Roman" w:cs="Times New Roman"/>
          <w:color w:val="000000" w:themeColor="text1"/>
          <w:sz w:val="24"/>
          <w:szCs w:val="24"/>
        </w:rPr>
        <w:t xml:space="preserve">cédula de identidad número </w:t>
      </w:r>
      <w:r w:rsidR="00F26B41">
        <w:rPr>
          <w:rFonts w:ascii="Times New Roman" w:hAnsi="Times New Roman" w:cs="Times New Roman"/>
          <w:color w:val="000000" w:themeColor="text1"/>
          <w:sz w:val="24"/>
          <w:szCs w:val="24"/>
        </w:rPr>
        <w:t>000</w:t>
      </w:r>
      <w:r w:rsidRPr="00A4283E">
        <w:rPr>
          <w:rFonts w:ascii="Times New Roman" w:hAnsi="Times New Roman" w:cs="Times New Roman"/>
          <w:color w:val="000000" w:themeColor="text1"/>
          <w:sz w:val="24"/>
          <w:szCs w:val="24"/>
        </w:rPr>
        <w:t xml:space="preserve">; en contra del </w:t>
      </w:r>
      <w:r w:rsidRPr="00A4283E">
        <w:rPr>
          <w:rFonts w:ascii="Times New Roman" w:hAnsi="Times New Roman" w:cs="Times New Roman"/>
          <w:b/>
          <w:color w:val="000000" w:themeColor="text1"/>
          <w:sz w:val="24"/>
          <w:szCs w:val="24"/>
        </w:rPr>
        <w:t>Artículo 3.4 de la Sesión Ordinaria 38-2022 de 31 de agosto de 2022</w:t>
      </w:r>
      <w:r w:rsidRPr="00A4283E">
        <w:rPr>
          <w:rFonts w:ascii="Times New Roman" w:hAnsi="Times New Roman" w:cs="Times New Roman"/>
          <w:color w:val="000000" w:themeColor="text1"/>
          <w:sz w:val="24"/>
          <w:szCs w:val="24"/>
        </w:rPr>
        <w:t xml:space="preserve">, adoptado por la Junta Directiva del Consejo de Transporte Público, y que se tramita en este Despacho bajo el </w:t>
      </w:r>
      <w:r w:rsidRPr="00A4283E">
        <w:rPr>
          <w:rFonts w:ascii="Times New Roman" w:hAnsi="Times New Roman" w:cs="Times New Roman"/>
          <w:b/>
          <w:color w:val="000000" w:themeColor="text1"/>
          <w:sz w:val="24"/>
          <w:szCs w:val="24"/>
        </w:rPr>
        <w:t>Expediente Administrativo No. TAT-002-23</w:t>
      </w:r>
      <w:r w:rsidRPr="00A4283E">
        <w:rPr>
          <w:rFonts w:ascii="Times New Roman" w:hAnsi="Times New Roman" w:cs="Times New Roman"/>
          <w:bCs/>
          <w:color w:val="000000" w:themeColor="text1"/>
          <w:sz w:val="24"/>
          <w:szCs w:val="24"/>
        </w:rPr>
        <w:t>.</w:t>
      </w:r>
    </w:p>
    <w:p w14:paraId="7E9D31DD" w14:textId="77777777" w:rsidR="005866FA" w:rsidRPr="00A4283E" w:rsidRDefault="005866FA" w:rsidP="005866FA">
      <w:pPr>
        <w:spacing w:after="0" w:line="276" w:lineRule="auto"/>
        <w:jc w:val="both"/>
        <w:rPr>
          <w:rFonts w:ascii="Times New Roman" w:eastAsia="Times New Roman" w:hAnsi="Times New Roman" w:cs="Times New Roman"/>
          <w:color w:val="000000" w:themeColor="text1"/>
          <w:sz w:val="24"/>
          <w:szCs w:val="24"/>
          <w:lang w:val="es-ES" w:eastAsia="es-MX"/>
        </w:rPr>
      </w:pPr>
    </w:p>
    <w:p w14:paraId="6F8EE26B" w14:textId="77777777" w:rsidR="005866FA" w:rsidRPr="00A4283E" w:rsidRDefault="005866FA" w:rsidP="005866FA">
      <w:pPr>
        <w:spacing w:after="0" w:line="276" w:lineRule="auto"/>
        <w:jc w:val="center"/>
        <w:rPr>
          <w:rFonts w:ascii="Times New Roman" w:eastAsia="Times New Roman" w:hAnsi="Times New Roman" w:cs="Times New Roman"/>
          <w:b/>
          <w:bCs/>
          <w:color w:val="000000" w:themeColor="text1"/>
          <w:sz w:val="24"/>
          <w:szCs w:val="24"/>
          <w:lang w:val="es-ES"/>
        </w:rPr>
      </w:pPr>
      <w:r w:rsidRPr="00A4283E">
        <w:rPr>
          <w:rFonts w:ascii="Times New Roman" w:eastAsia="Times New Roman" w:hAnsi="Times New Roman" w:cs="Times New Roman"/>
          <w:b/>
          <w:bCs/>
          <w:color w:val="000000" w:themeColor="text1"/>
          <w:sz w:val="24"/>
          <w:szCs w:val="24"/>
          <w:lang w:val="es-ES" w:eastAsia="es-MX"/>
        </w:rPr>
        <w:t>RESULTANDO</w:t>
      </w:r>
    </w:p>
    <w:p w14:paraId="57911BE1" w14:textId="77777777" w:rsidR="005866FA" w:rsidRPr="00A4283E" w:rsidRDefault="005866FA" w:rsidP="005866FA">
      <w:pPr>
        <w:spacing w:after="0" w:line="276" w:lineRule="auto"/>
        <w:jc w:val="both"/>
        <w:rPr>
          <w:rFonts w:ascii="Times New Roman" w:eastAsia="Times New Roman" w:hAnsi="Times New Roman" w:cs="Times New Roman"/>
          <w:color w:val="000000" w:themeColor="text1"/>
          <w:sz w:val="24"/>
          <w:szCs w:val="24"/>
          <w:lang w:val="es-ES" w:eastAsia="es-MX"/>
        </w:rPr>
      </w:pPr>
      <w:bookmarkStart w:id="0" w:name="_Hlk99019975"/>
    </w:p>
    <w:p w14:paraId="74E76E10" w14:textId="7FDC7E6C" w:rsidR="005866FA" w:rsidRPr="00A4283E" w:rsidRDefault="005866FA" w:rsidP="005866FA">
      <w:pPr>
        <w:kinsoku w:val="0"/>
        <w:overflowPunct w:val="0"/>
        <w:spacing w:after="0" w:line="276" w:lineRule="auto"/>
        <w:jc w:val="both"/>
        <w:textAlignment w:val="baseline"/>
        <w:rPr>
          <w:rFonts w:ascii="Times New Roman" w:eastAsia="Times New Roman" w:hAnsi="Times New Roman" w:cs="Times New Roman"/>
          <w:i/>
          <w:iCs/>
          <w:color w:val="000000" w:themeColor="text1"/>
          <w:sz w:val="24"/>
          <w:szCs w:val="24"/>
          <w:lang w:val="es-ES" w:eastAsia="es-MX"/>
        </w:rPr>
      </w:pPr>
      <w:r w:rsidRPr="00A4283E">
        <w:rPr>
          <w:rFonts w:ascii="Times New Roman" w:eastAsia="Times New Roman" w:hAnsi="Times New Roman" w:cs="Times New Roman"/>
          <w:b/>
          <w:bCs/>
          <w:color w:val="000000" w:themeColor="text1"/>
          <w:sz w:val="24"/>
          <w:szCs w:val="24"/>
          <w:lang w:val="es-ES" w:eastAsia="es-MX"/>
        </w:rPr>
        <w:t>PRIMERO:</w:t>
      </w:r>
      <w:r w:rsidRPr="00A4283E">
        <w:rPr>
          <w:rFonts w:ascii="Times New Roman" w:eastAsia="Times New Roman" w:hAnsi="Times New Roman" w:cs="Times New Roman"/>
          <w:b/>
          <w:bCs/>
          <w:color w:val="000000" w:themeColor="text1"/>
          <w:sz w:val="24"/>
          <w:szCs w:val="24"/>
          <w:lang w:val="es-ES" w:eastAsia="es-MX"/>
        </w:rPr>
        <w:tab/>
      </w:r>
      <w:r w:rsidRPr="00A4283E">
        <w:rPr>
          <w:rFonts w:ascii="Times New Roman" w:eastAsia="Times New Roman" w:hAnsi="Times New Roman" w:cs="Times New Roman"/>
          <w:color w:val="000000" w:themeColor="text1"/>
          <w:sz w:val="24"/>
          <w:szCs w:val="24"/>
          <w:lang w:val="es-ES" w:eastAsia="es-ES"/>
        </w:rPr>
        <w:t xml:space="preserve">La Junta Directiva del Consejo de Transporte Público mediante </w:t>
      </w:r>
      <w:r w:rsidRPr="00A4283E">
        <w:rPr>
          <w:rFonts w:ascii="Times New Roman" w:eastAsia="Times New Roman" w:hAnsi="Times New Roman" w:cs="Times New Roman"/>
          <w:b/>
          <w:color w:val="000000" w:themeColor="text1"/>
          <w:sz w:val="24"/>
          <w:szCs w:val="24"/>
          <w:lang w:val="es-ES" w:eastAsia="es-MX"/>
        </w:rPr>
        <w:t>Artículo 3.4 de la Sesión Ordinaria 38-2022 de 31 de agosto de 2022</w:t>
      </w:r>
      <w:r w:rsidRPr="00A4283E">
        <w:rPr>
          <w:rFonts w:ascii="Times New Roman" w:eastAsia="Times New Roman" w:hAnsi="Times New Roman" w:cs="Times New Roman"/>
          <w:color w:val="000000" w:themeColor="text1"/>
          <w:sz w:val="24"/>
          <w:szCs w:val="24"/>
          <w:lang w:val="es-ES" w:eastAsia="es-ES"/>
        </w:rPr>
        <w:t>, conoce el</w:t>
      </w:r>
      <w:r w:rsidRPr="00A4283E">
        <w:rPr>
          <w:rFonts w:ascii="Times New Roman" w:eastAsia="Times New Roman" w:hAnsi="Times New Roman" w:cs="Times New Roman"/>
          <w:b/>
          <w:bCs/>
          <w:color w:val="000000" w:themeColor="text1"/>
          <w:sz w:val="24"/>
          <w:szCs w:val="24"/>
          <w:lang w:val="es-ES" w:eastAsia="es-ES"/>
        </w:rPr>
        <w:t xml:space="preserve"> </w:t>
      </w:r>
      <w:r w:rsidRPr="00A4283E">
        <w:rPr>
          <w:rFonts w:ascii="Times New Roman" w:hAnsi="Times New Roman" w:cs="Times New Roman"/>
          <w:color w:val="000000" w:themeColor="text1"/>
          <w:sz w:val="24"/>
          <w:szCs w:val="24"/>
        </w:rPr>
        <w:t xml:space="preserve">oficio </w:t>
      </w:r>
      <w:r w:rsidRPr="00A4283E">
        <w:rPr>
          <w:rFonts w:ascii="Times New Roman" w:hAnsi="Times New Roman" w:cs="Times New Roman"/>
          <w:b/>
          <w:bCs/>
          <w:color w:val="000000" w:themeColor="text1"/>
          <w:sz w:val="24"/>
          <w:szCs w:val="24"/>
        </w:rPr>
        <w:t xml:space="preserve">CTP-DT-DING-INF-0159-2022 </w:t>
      </w:r>
      <w:r w:rsidRPr="00A4283E">
        <w:rPr>
          <w:rFonts w:ascii="Times New Roman" w:hAnsi="Times New Roman" w:cs="Times New Roman"/>
          <w:color w:val="000000" w:themeColor="text1"/>
          <w:sz w:val="24"/>
          <w:szCs w:val="24"/>
        </w:rPr>
        <w:t xml:space="preserve">emitido por el Departamento de Ingeniería de la Dirección Técnica del Consejo de Transporte Público, respecto de Proceso Contencioso bajo expediente judicial No. 21-008201-1027-CA, sobre la autorización de una parada en tránsito de las Rutas </w:t>
      </w:r>
      <w:r w:rsidR="00202196">
        <w:rPr>
          <w:rFonts w:ascii="Times New Roman" w:hAnsi="Times New Roman" w:cs="Times New Roman"/>
          <w:color w:val="000000" w:themeColor="text1"/>
          <w:sz w:val="24"/>
          <w:szCs w:val="24"/>
        </w:rPr>
        <w:t>No. 000 y No. 000</w:t>
      </w:r>
      <w:r w:rsidRPr="00A4283E">
        <w:rPr>
          <w:rFonts w:ascii="Times New Roman" w:hAnsi="Times New Roman" w:cs="Times New Roman"/>
          <w:color w:val="000000" w:themeColor="text1"/>
          <w:sz w:val="24"/>
          <w:szCs w:val="24"/>
        </w:rPr>
        <w:t xml:space="preserve">, presentada por el Lic. </w:t>
      </w:r>
      <w:r w:rsidR="00202196">
        <w:rPr>
          <w:rFonts w:ascii="Times New Roman" w:hAnsi="Times New Roman" w:cs="Times New Roman"/>
          <w:color w:val="000000" w:themeColor="text1"/>
          <w:sz w:val="24"/>
          <w:szCs w:val="24"/>
        </w:rPr>
        <w:t>MSSK</w:t>
      </w:r>
      <w:r w:rsidRPr="00A4283E">
        <w:rPr>
          <w:rFonts w:ascii="Times New Roman" w:hAnsi="Times New Roman" w:cs="Times New Roman"/>
          <w:color w:val="000000" w:themeColor="text1"/>
          <w:sz w:val="24"/>
          <w:szCs w:val="24"/>
        </w:rPr>
        <w:t>, según consta en los expedientes No. 366755 y No. 366953, ingresados en Plataforma de Servicios / Oficina Regional, con fecha 1° y 23 de diciembre del 2020.</w:t>
      </w:r>
    </w:p>
    <w:p w14:paraId="6D764828" w14:textId="77777777" w:rsidR="005866FA" w:rsidRPr="00A4283E" w:rsidRDefault="005866FA" w:rsidP="005866FA">
      <w:pPr>
        <w:spacing w:after="0" w:line="240" w:lineRule="auto"/>
        <w:ind w:left="851" w:right="567" w:hanging="284"/>
        <w:jc w:val="both"/>
        <w:rPr>
          <w:rFonts w:ascii="Times New Roman" w:eastAsia="Times New Roman" w:hAnsi="Times New Roman" w:cs="Times New Roman"/>
          <w:i/>
          <w:iCs/>
          <w:color w:val="000000" w:themeColor="text1"/>
          <w:sz w:val="24"/>
          <w:szCs w:val="24"/>
          <w:lang w:val="es-ES" w:eastAsia="es-MX"/>
        </w:rPr>
      </w:pPr>
    </w:p>
    <w:p w14:paraId="6DBB198B" w14:textId="77777777" w:rsidR="005866FA" w:rsidRPr="00A4283E" w:rsidRDefault="005866FA" w:rsidP="005866FA">
      <w:pPr>
        <w:spacing w:after="0" w:line="240" w:lineRule="auto"/>
        <w:ind w:left="851" w:right="567" w:hanging="284"/>
        <w:jc w:val="both"/>
        <w:rPr>
          <w:rFonts w:ascii="Times New Roman" w:eastAsia="Times New Roman" w:hAnsi="Times New Roman" w:cs="Times New Roman"/>
          <w:i/>
          <w:iCs/>
          <w:color w:val="000000" w:themeColor="text1"/>
          <w:sz w:val="20"/>
          <w:szCs w:val="20"/>
          <w:lang w:val="es-ES" w:eastAsia="es-MX"/>
        </w:rPr>
      </w:pPr>
      <w:r w:rsidRPr="00A4283E">
        <w:rPr>
          <w:rFonts w:ascii="Times New Roman" w:eastAsia="Times New Roman" w:hAnsi="Times New Roman" w:cs="Times New Roman"/>
          <w:i/>
          <w:iCs/>
          <w:color w:val="000000" w:themeColor="text1"/>
          <w:sz w:val="20"/>
          <w:szCs w:val="20"/>
          <w:lang w:val="es-ES" w:eastAsia="es-MX"/>
        </w:rPr>
        <w:t xml:space="preserve">“(…) </w:t>
      </w:r>
      <w:r w:rsidRPr="00A4283E">
        <w:rPr>
          <w:rFonts w:ascii="Times New Roman" w:eastAsia="Times New Roman" w:hAnsi="Times New Roman" w:cs="Times New Roman"/>
          <w:b/>
          <w:bCs/>
          <w:i/>
          <w:iCs/>
          <w:color w:val="000000" w:themeColor="text1"/>
          <w:sz w:val="20"/>
          <w:szCs w:val="20"/>
          <w:lang w:val="es-ES" w:eastAsia="es-MX"/>
        </w:rPr>
        <w:t>POR TANTO, SE ACUERDA</w:t>
      </w:r>
      <w:r w:rsidRPr="00A4283E">
        <w:rPr>
          <w:rFonts w:ascii="Times New Roman" w:eastAsia="Times New Roman" w:hAnsi="Times New Roman" w:cs="Times New Roman"/>
          <w:i/>
          <w:iCs/>
          <w:color w:val="000000" w:themeColor="text1"/>
          <w:sz w:val="20"/>
          <w:szCs w:val="20"/>
          <w:lang w:val="es-ES" w:eastAsia="es-MX"/>
        </w:rPr>
        <w:t>:</w:t>
      </w:r>
    </w:p>
    <w:p w14:paraId="3DCFE2CE" w14:textId="77777777" w:rsidR="005866FA" w:rsidRPr="00A4283E" w:rsidRDefault="005866FA" w:rsidP="005866FA">
      <w:pPr>
        <w:shd w:val="clear" w:color="auto" w:fill="FFFFFF"/>
        <w:spacing w:after="0" w:line="240" w:lineRule="auto"/>
        <w:ind w:left="851" w:right="567" w:hanging="284"/>
        <w:jc w:val="both"/>
        <w:rPr>
          <w:rFonts w:ascii="Times New Roman" w:eastAsia="SimSun" w:hAnsi="Times New Roman" w:cs="Times New Roman"/>
          <w:b/>
          <w:bCs/>
          <w:i/>
          <w:iCs/>
          <w:color w:val="000000" w:themeColor="text1"/>
          <w:sz w:val="20"/>
          <w:szCs w:val="20"/>
          <w:lang w:eastAsia="es-CR"/>
        </w:rPr>
      </w:pPr>
    </w:p>
    <w:p w14:paraId="6B3CD5AB" w14:textId="77777777" w:rsidR="005866FA" w:rsidRPr="00A4283E" w:rsidRDefault="005866FA" w:rsidP="005866FA">
      <w:pPr>
        <w:pStyle w:val="Default"/>
        <w:numPr>
          <w:ilvl w:val="0"/>
          <w:numId w:val="18"/>
        </w:numPr>
        <w:spacing w:after="18"/>
        <w:jc w:val="both"/>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Acoger todas las recomendaciones contenidas en el oficio </w:t>
      </w:r>
      <w:r w:rsidRPr="00A4283E">
        <w:rPr>
          <w:rFonts w:ascii="Times New Roman" w:hAnsi="Times New Roman" w:cs="Times New Roman"/>
          <w:b/>
          <w:bCs/>
          <w:color w:val="000000" w:themeColor="text1"/>
          <w:sz w:val="20"/>
          <w:szCs w:val="20"/>
        </w:rPr>
        <w:t xml:space="preserve">CTP-DT-DING-INF-0159-2022, el cual forma parte integral de este acuerdo. </w:t>
      </w:r>
    </w:p>
    <w:p w14:paraId="17DE0359" w14:textId="76A2E8F9" w:rsidR="005866FA" w:rsidRPr="00A4283E" w:rsidRDefault="005866FA" w:rsidP="005866FA">
      <w:pPr>
        <w:pStyle w:val="Default"/>
        <w:numPr>
          <w:ilvl w:val="0"/>
          <w:numId w:val="18"/>
        </w:numPr>
        <w:jc w:val="both"/>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Autorizar, desde el punto de vista técnico, la parada en tránsito para ingreso de unidades y espera de pasajeros en las instalaciones ubicadas en el centro de Puntarenas, en la intersección de Calle Central con Avenida 2, para las rutas </w:t>
      </w:r>
      <w:r w:rsidR="00202196">
        <w:rPr>
          <w:rFonts w:ascii="Times New Roman" w:hAnsi="Times New Roman" w:cs="Times New Roman"/>
          <w:color w:val="000000" w:themeColor="text1"/>
          <w:sz w:val="20"/>
          <w:szCs w:val="20"/>
        </w:rPr>
        <w:t>N°000</w:t>
      </w:r>
      <w:r w:rsidRPr="00A4283E">
        <w:rPr>
          <w:rFonts w:ascii="Times New Roman" w:hAnsi="Times New Roman" w:cs="Times New Roman"/>
          <w:color w:val="000000" w:themeColor="text1"/>
          <w:sz w:val="20"/>
          <w:szCs w:val="20"/>
        </w:rPr>
        <w:t xml:space="preserve"> descrita como: </w:t>
      </w:r>
      <w:r w:rsidR="00553C3A">
        <w:rPr>
          <w:rFonts w:ascii="Times New Roman" w:hAnsi="Times New Roman" w:cs="Times New Roman"/>
          <w:color w:val="000000" w:themeColor="text1"/>
          <w:sz w:val="20"/>
          <w:szCs w:val="20"/>
        </w:rPr>
        <w:t>000</w:t>
      </w:r>
      <w:r w:rsidRPr="00A4283E">
        <w:rPr>
          <w:rFonts w:ascii="Times New Roman" w:hAnsi="Times New Roman" w:cs="Times New Roman"/>
          <w:color w:val="000000" w:themeColor="text1"/>
          <w:sz w:val="20"/>
          <w:szCs w:val="20"/>
        </w:rPr>
        <w:t xml:space="preserve">; y </w:t>
      </w:r>
      <w:r w:rsidR="00202196">
        <w:rPr>
          <w:rFonts w:ascii="Times New Roman" w:hAnsi="Times New Roman" w:cs="Times New Roman"/>
          <w:color w:val="000000" w:themeColor="text1"/>
          <w:sz w:val="20"/>
          <w:szCs w:val="20"/>
        </w:rPr>
        <w:t>N°000</w:t>
      </w:r>
      <w:r w:rsidRPr="00A4283E">
        <w:rPr>
          <w:rFonts w:ascii="Times New Roman" w:hAnsi="Times New Roman" w:cs="Times New Roman"/>
          <w:color w:val="000000" w:themeColor="text1"/>
          <w:sz w:val="20"/>
          <w:szCs w:val="20"/>
        </w:rPr>
        <w:t xml:space="preserve"> descrita como: </w:t>
      </w:r>
      <w:r w:rsidR="00553C3A">
        <w:rPr>
          <w:rFonts w:ascii="Times New Roman" w:hAnsi="Times New Roman" w:cs="Times New Roman"/>
          <w:color w:val="000000" w:themeColor="text1"/>
          <w:sz w:val="20"/>
          <w:szCs w:val="20"/>
        </w:rPr>
        <w:t>000</w:t>
      </w:r>
      <w:r w:rsidRPr="00A4283E">
        <w:rPr>
          <w:rFonts w:ascii="Times New Roman" w:hAnsi="Times New Roman" w:cs="Times New Roman"/>
          <w:color w:val="000000" w:themeColor="text1"/>
          <w:sz w:val="20"/>
          <w:szCs w:val="20"/>
        </w:rPr>
        <w:t xml:space="preserve">, ambas operadas por la empresa </w:t>
      </w:r>
      <w:r w:rsidR="00202196">
        <w:rPr>
          <w:rFonts w:ascii="Times New Roman" w:hAnsi="Times New Roman" w:cs="Times New Roman"/>
          <w:b/>
          <w:bCs/>
          <w:color w:val="000000" w:themeColor="text1"/>
          <w:sz w:val="20"/>
          <w:szCs w:val="20"/>
        </w:rPr>
        <w:t>TQP</w:t>
      </w:r>
      <w:r w:rsidRPr="00A4283E">
        <w:rPr>
          <w:rFonts w:ascii="Times New Roman" w:hAnsi="Times New Roman" w:cs="Times New Roman"/>
          <w:b/>
          <w:bCs/>
          <w:color w:val="000000" w:themeColor="text1"/>
          <w:sz w:val="20"/>
          <w:szCs w:val="20"/>
        </w:rPr>
        <w:t xml:space="preserve"> S.A.</w:t>
      </w:r>
      <w:r w:rsidRPr="00A4283E">
        <w:rPr>
          <w:rFonts w:ascii="Times New Roman" w:hAnsi="Times New Roman" w:cs="Times New Roman"/>
          <w:color w:val="000000" w:themeColor="text1"/>
          <w:sz w:val="20"/>
          <w:szCs w:val="20"/>
        </w:rPr>
        <w:t xml:space="preserve">, según se detalla a continuación: </w:t>
      </w:r>
    </w:p>
    <w:p w14:paraId="3B333B7C" w14:textId="77777777" w:rsidR="005866FA" w:rsidRPr="00A4283E" w:rsidRDefault="005866FA" w:rsidP="005866FA">
      <w:pPr>
        <w:pStyle w:val="Default"/>
        <w:ind w:left="720"/>
        <w:rPr>
          <w:rFonts w:ascii="Times New Roman" w:hAnsi="Times New Roman" w:cs="Times New Roman"/>
          <w:color w:val="000000" w:themeColor="text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6"/>
        <w:gridCol w:w="1846"/>
        <w:gridCol w:w="1846"/>
        <w:gridCol w:w="1846"/>
      </w:tblGrid>
      <w:tr w:rsidR="00A4283E" w:rsidRPr="00A4283E" w14:paraId="41B06356" w14:textId="77777777" w:rsidTr="00D17D96">
        <w:trPr>
          <w:trHeight w:val="120"/>
          <w:jc w:val="center"/>
        </w:trPr>
        <w:tc>
          <w:tcPr>
            <w:tcW w:w="1846" w:type="dxa"/>
          </w:tcPr>
          <w:p w14:paraId="377DC8D5" w14:textId="77777777" w:rsidR="005866FA" w:rsidRPr="00A4283E" w:rsidRDefault="005866FA" w:rsidP="00D17D96">
            <w:pPr>
              <w:pStyle w:val="Default"/>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Provincia </w:t>
            </w:r>
          </w:p>
        </w:tc>
        <w:tc>
          <w:tcPr>
            <w:tcW w:w="1846" w:type="dxa"/>
          </w:tcPr>
          <w:p w14:paraId="6F8E637A" w14:textId="77777777" w:rsidR="005866FA" w:rsidRPr="00A4283E" w:rsidRDefault="005866FA" w:rsidP="00D17D96">
            <w:pPr>
              <w:pStyle w:val="Default"/>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Puntarenas </w:t>
            </w:r>
          </w:p>
        </w:tc>
        <w:tc>
          <w:tcPr>
            <w:tcW w:w="1846" w:type="dxa"/>
          </w:tcPr>
          <w:p w14:paraId="448B1FD4" w14:textId="77777777" w:rsidR="005866FA" w:rsidRPr="00A4283E" w:rsidRDefault="005866FA" w:rsidP="00D17D96">
            <w:pPr>
              <w:pStyle w:val="Default"/>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Cantón </w:t>
            </w:r>
          </w:p>
        </w:tc>
        <w:tc>
          <w:tcPr>
            <w:tcW w:w="1846" w:type="dxa"/>
          </w:tcPr>
          <w:p w14:paraId="2850E00F" w14:textId="77777777" w:rsidR="005866FA" w:rsidRPr="00A4283E" w:rsidRDefault="005866FA" w:rsidP="00D17D96">
            <w:pPr>
              <w:pStyle w:val="Default"/>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Puntarenas </w:t>
            </w:r>
          </w:p>
        </w:tc>
      </w:tr>
      <w:tr w:rsidR="00A4283E" w:rsidRPr="00A4283E" w14:paraId="27079EA3" w14:textId="77777777" w:rsidTr="00D17D96">
        <w:trPr>
          <w:trHeight w:val="120"/>
          <w:jc w:val="center"/>
        </w:trPr>
        <w:tc>
          <w:tcPr>
            <w:tcW w:w="3692" w:type="dxa"/>
            <w:gridSpan w:val="2"/>
          </w:tcPr>
          <w:p w14:paraId="26DFA373" w14:textId="77777777" w:rsidR="005866FA" w:rsidRPr="00A4283E" w:rsidRDefault="005866FA" w:rsidP="00D17D96">
            <w:pPr>
              <w:pStyle w:val="Default"/>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Distrito </w:t>
            </w:r>
          </w:p>
        </w:tc>
        <w:tc>
          <w:tcPr>
            <w:tcW w:w="3692" w:type="dxa"/>
            <w:gridSpan w:val="2"/>
          </w:tcPr>
          <w:p w14:paraId="6C8E3802" w14:textId="77777777" w:rsidR="005866FA" w:rsidRPr="00A4283E" w:rsidRDefault="005866FA" w:rsidP="00D17D96">
            <w:pPr>
              <w:pStyle w:val="Default"/>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Puntarenas </w:t>
            </w:r>
          </w:p>
        </w:tc>
      </w:tr>
      <w:tr w:rsidR="00A4283E" w:rsidRPr="00A4283E" w14:paraId="69655091" w14:textId="77777777" w:rsidTr="00D17D96">
        <w:trPr>
          <w:trHeight w:val="266"/>
          <w:jc w:val="center"/>
        </w:trPr>
        <w:tc>
          <w:tcPr>
            <w:tcW w:w="1846" w:type="dxa"/>
          </w:tcPr>
          <w:p w14:paraId="6A5D9B12" w14:textId="77777777" w:rsidR="005866FA" w:rsidRPr="00A4283E" w:rsidRDefault="005866FA" w:rsidP="00D17D96">
            <w:pPr>
              <w:pStyle w:val="Default"/>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Código </w:t>
            </w:r>
          </w:p>
        </w:tc>
        <w:tc>
          <w:tcPr>
            <w:tcW w:w="1846" w:type="dxa"/>
          </w:tcPr>
          <w:p w14:paraId="2412E2CC" w14:textId="77777777" w:rsidR="005866FA" w:rsidRPr="00A4283E" w:rsidRDefault="005866FA" w:rsidP="00D17D96">
            <w:pPr>
              <w:pStyle w:val="Default"/>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N/A </w:t>
            </w:r>
          </w:p>
        </w:tc>
        <w:tc>
          <w:tcPr>
            <w:tcW w:w="1846" w:type="dxa"/>
          </w:tcPr>
          <w:p w14:paraId="03937D1C" w14:textId="77777777" w:rsidR="005866FA" w:rsidRPr="00A4283E" w:rsidRDefault="005866FA" w:rsidP="00D17D96">
            <w:pPr>
              <w:pStyle w:val="Default"/>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Coordenadas </w:t>
            </w:r>
          </w:p>
        </w:tc>
        <w:tc>
          <w:tcPr>
            <w:tcW w:w="1846" w:type="dxa"/>
          </w:tcPr>
          <w:p w14:paraId="4C335C36" w14:textId="33915A1D" w:rsidR="005866FA" w:rsidRPr="00A4283E" w:rsidRDefault="00360FAA" w:rsidP="00D17D96">
            <w:pPr>
              <w:pStyle w:val="Defaul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000-000</w:t>
            </w:r>
            <w:r w:rsidR="005866FA" w:rsidRPr="00A4283E">
              <w:rPr>
                <w:rFonts w:ascii="Times New Roman" w:hAnsi="Times New Roman" w:cs="Times New Roman"/>
                <w:color w:val="000000" w:themeColor="text1"/>
                <w:sz w:val="20"/>
                <w:szCs w:val="20"/>
              </w:rPr>
              <w:t xml:space="preserve"> </w:t>
            </w:r>
          </w:p>
        </w:tc>
      </w:tr>
      <w:tr w:rsidR="00A4283E" w:rsidRPr="00A4283E" w14:paraId="62549415" w14:textId="77777777" w:rsidTr="00D17D96">
        <w:trPr>
          <w:trHeight w:val="266"/>
          <w:jc w:val="center"/>
        </w:trPr>
        <w:tc>
          <w:tcPr>
            <w:tcW w:w="3692" w:type="dxa"/>
            <w:gridSpan w:val="2"/>
          </w:tcPr>
          <w:p w14:paraId="6ED0B96B" w14:textId="77777777" w:rsidR="005866FA" w:rsidRPr="00A4283E" w:rsidRDefault="005866FA" w:rsidP="00D17D96">
            <w:pPr>
              <w:pStyle w:val="Default"/>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Descripción de la parada </w:t>
            </w:r>
          </w:p>
        </w:tc>
        <w:tc>
          <w:tcPr>
            <w:tcW w:w="3692" w:type="dxa"/>
            <w:gridSpan w:val="2"/>
          </w:tcPr>
          <w:p w14:paraId="5866298B" w14:textId="77777777" w:rsidR="005866FA" w:rsidRPr="00A4283E" w:rsidRDefault="005866FA" w:rsidP="00D17D96">
            <w:pPr>
              <w:pStyle w:val="Default"/>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Central Turística El Puerto </w:t>
            </w:r>
          </w:p>
        </w:tc>
      </w:tr>
      <w:tr w:rsidR="00A4283E" w:rsidRPr="00A4283E" w14:paraId="6DCC6E4E" w14:textId="77777777" w:rsidTr="00D17D96">
        <w:trPr>
          <w:trHeight w:val="266"/>
          <w:jc w:val="center"/>
        </w:trPr>
        <w:tc>
          <w:tcPr>
            <w:tcW w:w="3692" w:type="dxa"/>
            <w:gridSpan w:val="2"/>
          </w:tcPr>
          <w:p w14:paraId="61C1DA9E" w14:textId="77777777" w:rsidR="005866FA" w:rsidRPr="00A4283E" w:rsidRDefault="005866FA" w:rsidP="00D17D96">
            <w:pPr>
              <w:pStyle w:val="Default"/>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Dirección de la parada </w:t>
            </w:r>
          </w:p>
        </w:tc>
        <w:tc>
          <w:tcPr>
            <w:tcW w:w="3692" w:type="dxa"/>
            <w:gridSpan w:val="2"/>
          </w:tcPr>
          <w:p w14:paraId="64ECDC4D" w14:textId="77777777" w:rsidR="005866FA" w:rsidRPr="00A4283E" w:rsidRDefault="005866FA" w:rsidP="00D17D96">
            <w:pPr>
              <w:pStyle w:val="Default"/>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Entre Calle Central y Avenida 2 </w:t>
            </w:r>
          </w:p>
        </w:tc>
      </w:tr>
      <w:tr w:rsidR="00A4283E" w:rsidRPr="00A4283E" w14:paraId="3B5F47B1" w14:textId="77777777" w:rsidTr="00D17D96">
        <w:trPr>
          <w:trHeight w:val="120"/>
          <w:jc w:val="center"/>
        </w:trPr>
        <w:tc>
          <w:tcPr>
            <w:tcW w:w="1846" w:type="dxa"/>
          </w:tcPr>
          <w:p w14:paraId="56B09B99" w14:textId="77777777" w:rsidR="005866FA" w:rsidRPr="00A4283E" w:rsidRDefault="005866FA" w:rsidP="00D17D96">
            <w:pPr>
              <w:pStyle w:val="Default"/>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Costado de la vía </w:t>
            </w:r>
          </w:p>
        </w:tc>
        <w:tc>
          <w:tcPr>
            <w:tcW w:w="1846" w:type="dxa"/>
          </w:tcPr>
          <w:p w14:paraId="504E20C3" w14:textId="77777777" w:rsidR="005866FA" w:rsidRPr="00A4283E" w:rsidRDefault="005866FA" w:rsidP="00D17D96">
            <w:pPr>
              <w:pStyle w:val="Default"/>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Norte </w:t>
            </w:r>
          </w:p>
        </w:tc>
        <w:tc>
          <w:tcPr>
            <w:tcW w:w="1846" w:type="dxa"/>
          </w:tcPr>
          <w:p w14:paraId="604BAD0F" w14:textId="77777777" w:rsidR="005866FA" w:rsidRPr="00A4283E" w:rsidRDefault="005866FA" w:rsidP="00D17D96">
            <w:pPr>
              <w:pStyle w:val="Default"/>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Sentido de circulación </w:t>
            </w:r>
          </w:p>
        </w:tc>
        <w:tc>
          <w:tcPr>
            <w:tcW w:w="1846" w:type="dxa"/>
          </w:tcPr>
          <w:p w14:paraId="523AF895" w14:textId="77777777" w:rsidR="005866FA" w:rsidRPr="00A4283E" w:rsidRDefault="005866FA" w:rsidP="00D17D96">
            <w:pPr>
              <w:pStyle w:val="Default"/>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Este - Oeste </w:t>
            </w:r>
          </w:p>
        </w:tc>
      </w:tr>
    </w:tbl>
    <w:p w14:paraId="514E29CA" w14:textId="26FCE4FE" w:rsidR="005866FA" w:rsidRPr="00A4283E" w:rsidRDefault="005866FA" w:rsidP="005866FA">
      <w:pPr>
        <w:pStyle w:val="Default"/>
        <w:numPr>
          <w:ilvl w:val="0"/>
          <w:numId w:val="18"/>
        </w:numPr>
        <w:jc w:val="both"/>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Autorizar, dado el nuevo punto de parada en tránsito ubicado en la intersección de la Calle Central con la Avenida 2 en el centro de Puntarenas, la siguiente modificación de recorrido para la Ruta </w:t>
      </w:r>
      <w:r w:rsidR="00202196">
        <w:rPr>
          <w:rFonts w:ascii="Times New Roman" w:hAnsi="Times New Roman" w:cs="Times New Roman"/>
          <w:color w:val="000000" w:themeColor="text1"/>
          <w:sz w:val="20"/>
          <w:szCs w:val="20"/>
        </w:rPr>
        <w:t>N°000</w:t>
      </w:r>
      <w:r w:rsidRPr="00A4283E">
        <w:rPr>
          <w:rFonts w:ascii="Times New Roman" w:hAnsi="Times New Roman" w:cs="Times New Roman"/>
          <w:color w:val="000000" w:themeColor="text1"/>
          <w:sz w:val="20"/>
          <w:szCs w:val="20"/>
        </w:rPr>
        <w:t xml:space="preserve">, únicamente en el sector del centro de Puntarenas (dejando sin modificación el restante tramo de recorrido), tal como lo muestra el siguiente croquis: </w:t>
      </w:r>
    </w:p>
    <w:p w14:paraId="3EA61814" w14:textId="77777777" w:rsidR="005866FA" w:rsidRPr="00A4283E" w:rsidRDefault="005866FA" w:rsidP="005866FA">
      <w:pPr>
        <w:pStyle w:val="Default"/>
        <w:rPr>
          <w:rFonts w:ascii="Times New Roman" w:hAnsi="Times New Roman" w:cs="Times New Roman"/>
          <w:color w:val="000000" w:themeColor="text1"/>
          <w:sz w:val="20"/>
          <w:szCs w:val="20"/>
        </w:rPr>
      </w:pPr>
    </w:p>
    <w:p w14:paraId="04F68E1D" w14:textId="77777777" w:rsidR="005866FA" w:rsidRPr="00A4283E" w:rsidRDefault="005866FA" w:rsidP="005866FA">
      <w:pPr>
        <w:pStyle w:val="Default"/>
        <w:jc w:val="center"/>
        <w:rPr>
          <w:rFonts w:ascii="Times New Roman" w:hAnsi="Times New Roman" w:cs="Times New Roman"/>
          <w:color w:val="000000" w:themeColor="text1"/>
          <w:sz w:val="20"/>
          <w:szCs w:val="20"/>
        </w:rPr>
      </w:pPr>
      <w:r w:rsidRPr="00A4283E">
        <w:rPr>
          <w:rFonts w:ascii="Times New Roman" w:hAnsi="Times New Roman" w:cs="Times New Roman"/>
          <w:noProof/>
          <w:color w:val="000000" w:themeColor="text1"/>
          <w:sz w:val="20"/>
          <w:szCs w:val="20"/>
        </w:rPr>
        <w:lastRenderedPageBreak/>
        <w:drawing>
          <wp:inline distT="0" distB="0" distL="0" distR="0" wp14:anchorId="5C17B870" wp14:editId="150B79A1">
            <wp:extent cx="4429125" cy="212285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7582" cy="2136492"/>
                    </a:xfrm>
                    <a:prstGeom prst="rect">
                      <a:avLst/>
                    </a:prstGeom>
                    <a:noFill/>
                    <a:ln>
                      <a:noFill/>
                    </a:ln>
                  </pic:spPr>
                </pic:pic>
              </a:graphicData>
            </a:graphic>
          </wp:inline>
        </w:drawing>
      </w:r>
    </w:p>
    <w:p w14:paraId="01B68FA8" w14:textId="77777777" w:rsidR="005866FA" w:rsidRPr="00A4283E" w:rsidRDefault="005866FA" w:rsidP="005866FA">
      <w:pPr>
        <w:pStyle w:val="Default"/>
        <w:rPr>
          <w:rFonts w:ascii="Times New Roman" w:hAnsi="Times New Roman" w:cs="Times New Roman"/>
          <w:color w:val="000000" w:themeColor="text1"/>
          <w:sz w:val="20"/>
          <w:szCs w:val="20"/>
        </w:rPr>
      </w:pPr>
    </w:p>
    <w:p w14:paraId="53B1DE72" w14:textId="48FA6E63" w:rsidR="005866FA" w:rsidRPr="00A4283E" w:rsidRDefault="005866FA" w:rsidP="005866FA">
      <w:pPr>
        <w:pStyle w:val="Default"/>
        <w:numPr>
          <w:ilvl w:val="0"/>
          <w:numId w:val="18"/>
        </w:numPr>
        <w:jc w:val="both"/>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Autorizar, dado el nuevo punto de parada en tránsito ubicado en la intersección de la Calle Central con la Avenida 2 en el centro de Puntarenas, la siguiente modificación de recorrido para la </w:t>
      </w:r>
      <w:r w:rsidR="00202196">
        <w:rPr>
          <w:rFonts w:ascii="Times New Roman" w:hAnsi="Times New Roman" w:cs="Times New Roman"/>
          <w:color w:val="000000" w:themeColor="text1"/>
          <w:sz w:val="20"/>
          <w:szCs w:val="20"/>
        </w:rPr>
        <w:t>R</w:t>
      </w:r>
      <w:r w:rsidRPr="00A4283E">
        <w:rPr>
          <w:rFonts w:ascii="Times New Roman" w:hAnsi="Times New Roman" w:cs="Times New Roman"/>
          <w:color w:val="000000" w:themeColor="text1"/>
          <w:sz w:val="20"/>
          <w:szCs w:val="20"/>
        </w:rPr>
        <w:t xml:space="preserve">uta </w:t>
      </w:r>
      <w:r w:rsidR="00202196">
        <w:rPr>
          <w:rFonts w:ascii="Times New Roman" w:hAnsi="Times New Roman" w:cs="Times New Roman"/>
          <w:color w:val="000000" w:themeColor="text1"/>
          <w:sz w:val="20"/>
          <w:szCs w:val="20"/>
        </w:rPr>
        <w:t>N°000</w:t>
      </w:r>
      <w:r w:rsidRPr="00A4283E">
        <w:rPr>
          <w:rFonts w:ascii="Times New Roman" w:hAnsi="Times New Roman" w:cs="Times New Roman"/>
          <w:color w:val="000000" w:themeColor="text1"/>
          <w:sz w:val="20"/>
          <w:szCs w:val="20"/>
        </w:rPr>
        <w:t xml:space="preserve">, únicamente en el sector del centro de Puntarenas (dejando sin modificación el restante tramo de recorrido), tal como lo muestra el siguiente croquis: </w:t>
      </w:r>
    </w:p>
    <w:p w14:paraId="69AFA104" w14:textId="77777777" w:rsidR="005866FA" w:rsidRPr="00A4283E" w:rsidRDefault="005866FA" w:rsidP="005866FA">
      <w:pPr>
        <w:pStyle w:val="Default"/>
        <w:ind w:left="720"/>
        <w:jc w:val="both"/>
        <w:rPr>
          <w:rFonts w:ascii="Times New Roman" w:hAnsi="Times New Roman" w:cs="Times New Roman"/>
          <w:color w:val="000000" w:themeColor="text1"/>
          <w:sz w:val="20"/>
          <w:szCs w:val="20"/>
        </w:rPr>
      </w:pPr>
    </w:p>
    <w:p w14:paraId="11C112FD" w14:textId="77777777" w:rsidR="005866FA" w:rsidRPr="00A4283E" w:rsidRDefault="005866FA" w:rsidP="005866FA">
      <w:pPr>
        <w:pStyle w:val="Default"/>
        <w:ind w:left="720"/>
        <w:jc w:val="both"/>
        <w:rPr>
          <w:rFonts w:ascii="Times New Roman" w:hAnsi="Times New Roman" w:cs="Times New Roman"/>
          <w:color w:val="000000" w:themeColor="text1"/>
          <w:sz w:val="20"/>
          <w:szCs w:val="20"/>
        </w:rPr>
      </w:pPr>
    </w:p>
    <w:p w14:paraId="3702230A" w14:textId="77777777" w:rsidR="005866FA" w:rsidRPr="00A4283E" w:rsidRDefault="005866FA" w:rsidP="005866FA">
      <w:pPr>
        <w:pStyle w:val="Default"/>
        <w:ind w:left="720"/>
        <w:jc w:val="center"/>
        <w:rPr>
          <w:rFonts w:ascii="Times New Roman" w:hAnsi="Times New Roman" w:cs="Times New Roman"/>
          <w:color w:val="000000" w:themeColor="text1"/>
          <w:sz w:val="20"/>
          <w:szCs w:val="20"/>
        </w:rPr>
      </w:pPr>
      <w:r w:rsidRPr="00A4283E">
        <w:rPr>
          <w:rFonts w:ascii="Times New Roman" w:hAnsi="Times New Roman" w:cs="Times New Roman"/>
          <w:noProof/>
          <w:color w:val="000000" w:themeColor="text1"/>
          <w:sz w:val="20"/>
          <w:szCs w:val="20"/>
        </w:rPr>
        <w:drawing>
          <wp:inline distT="0" distB="0" distL="0" distR="0" wp14:anchorId="7445E044" wp14:editId="37B9752F">
            <wp:extent cx="4426234" cy="2184070"/>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7237" cy="2194433"/>
                    </a:xfrm>
                    <a:prstGeom prst="rect">
                      <a:avLst/>
                    </a:prstGeom>
                    <a:noFill/>
                    <a:ln>
                      <a:noFill/>
                    </a:ln>
                  </pic:spPr>
                </pic:pic>
              </a:graphicData>
            </a:graphic>
          </wp:inline>
        </w:drawing>
      </w:r>
    </w:p>
    <w:p w14:paraId="68071A23" w14:textId="77777777" w:rsidR="005866FA" w:rsidRPr="00A4283E" w:rsidRDefault="005866FA" w:rsidP="005866FA">
      <w:pPr>
        <w:pStyle w:val="Default"/>
        <w:ind w:left="720"/>
        <w:jc w:val="center"/>
        <w:rPr>
          <w:rFonts w:ascii="Times New Roman" w:hAnsi="Times New Roman" w:cs="Times New Roman"/>
          <w:color w:val="000000" w:themeColor="text1"/>
          <w:sz w:val="20"/>
          <w:szCs w:val="20"/>
        </w:rPr>
      </w:pPr>
    </w:p>
    <w:p w14:paraId="738292F1" w14:textId="12398850" w:rsidR="005866FA" w:rsidRPr="00A4283E" w:rsidRDefault="005866FA" w:rsidP="005866FA">
      <w:pPr>
        <w:pStyle w:val="Default"/>
        <w:numPr>
          <w:ilvl w:val="0"/>
          <w:numId w:val="18"/>
        </w:numPr>
        <w:jc w:val="both"/>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Mantener sin modificación los puntos de paradas terminales en el centro de Puntarenas para las rutas </w:t>
      </w:r>
      <w:r w:rsidR="00202196">
        <w:rPr>
          <w:rFonts w:ascii="Times New Roman" w:hAnsi="Times New Roman" w:cs="Times New Roman"/>
          <w:color w:val="000000" w:themeColor="text1"/>
          <w:sz w:val="20"/>
          <w:szCs w:val="20"/>
        </w:rPr>
        <w:t>N°000 y 000</w:t>
      </w:r>
      <w:r w:rsidRPr="00A4283E">
        <w:rPr>
          <w:rFonts w:ascii="Times New Roman" w:hAnsi="Times New Roman" w:cs="Times New Roman"/>
          <w:color w:val="000000" w:themeColor="text1"/>
          <w:sz w:val="20"/>
          <w:szCs w:val="20"/>
        </w:rPr>
        <w:t xml:space="preserve">, operadas ambas por la empresa </w:t>
      </w:r>
      <w:r w:rsidR="00202196">
        <w:rPr>
          <w:rFonts w:ascii="Times New Roman" w:hAnsi="Times New Roman" w:cs="Times New Roman"/>
          <w:b/>
          <w:bCs/>
          <w:color w:val="000000" w:themeColor="text1"/>
          <w:sz w:val="20"/>
          <w:szCs w:val="20"/>
        </w:rPr>
        <w:t>TQP</w:t>
      </w:r>
      <w:r w:rsidRPr="00A4283E">
        <w:rPr>
          <w:rFonts w:ascii="Times New Roman" w:hAnsi="Times New Roman" w:cs="Times New Roman"/>
          <w:b/>
          <w:bCs/>
          <w:color w:val="000000" w:themeColor="text1"/>
          <w:sz w:val="20"/>
          <w:szCs w:val="20"/>
        </w:rPr>
        <w:t xml:space="preserve"> S.A. </w:t>
      </w:r>
    </w:p>
    <w:p w14:paraId="734C2CC5" w14:textId="4AF19AA1" w:rsidR="005866FA" w:rsidRPr="00A4283E" w:rsidRDefault="005866FA" w:rsidP="005866FA">
      <w:pPr>
        <w:pStyle w:val="Default"/>
        <w:numPr>
          <w:ilvl w:val="0"/>
          <w:numId w:val="18"/>
        </w:numPr>
        <w:jc w:val="both"/>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Instruir a la empresa </w:t>
      </w:r>
      <w:r w:rsidR="00202196">
        <w:rPr>
          <w:rFonts w:ascii="Times New Roman" w:hAnsi="Times New Roman" w:cs="Times New Roman"/>
          <w:b/>
          <w:bCs/>
          <w:color w:val="000000" w:themeColor="text1"/>
          <w:sz w:val="20"/>
          <w:szCs w:val="20"/>
        </w:rPr>
        <w:t>TQP</w:t>
      </w:r>
      <w:r w:rsidRPr="00A4283E">
        <w:rPr>
          <w:rFonts w:ascii="Times New Roman" w:hAnsi="Times New Roman" w:cs="Times New Roman"/>
          <w:b/>
          <w:bCs/>
          <w:color w:val="000000" w:themeColor="text1"/>
          <w:sz w:val="20"/>
          <w:szCs w:val="20"/>
        </w:rPr>
        <w:t xml:space="preserve"> S.A., </w:t>
      </w:r>
      <w:r w:rsidRPr="00A4283E">
        <w:rPr>
          <w:rFonts w:ascii="Times New Roman" w:hAnsi="Times New Roman" w:cs="Times New Roman"/>
          <w:color w:val="000000" w:themeColor="text1"/>
          <w:sz w:val="20"/>
          <w:szCs w:val="20"/>
        </w:rPr>
        <w:t xml:space="preserve">operadora de las Rutas </w:t>
      </w:r>
      <w:r w:rsidR="00202196">
        <w:rPr>
          <w:rFonts w:ascii="Times New Roman" w:hAnsi="Times New Roman" w:cs="Times New Roman"/>
          <w:color w:val="000000" w:themeColor="text1"/>
          <w:sz w:val="20"/>
          <w:szCs w:val="20"/>
        </w:rPr>
        <w:t>N°000 y 000</w:t>
      </w:r>
      <w:r w:rsidRPr="00A4283E">
        <w:rPr>
          <w:rFonts w:ascii="Times New Roman" w:hAnsi="Times New Roman" w:cs="Times New Roman"/>
          <w:color w:val="000000" w:themeColor="text1"/>
          <w:sz w:val="20"/>
          <w:szCs w:val="20"/>
        </w:rPr>
        <w:t xml:space="preserve">, para que brinden oportunamente la información a sus usuarios por los medios de comunicación disponibles, sobre la habilitación del punto de parada y la modificación de recorrido para las rutas anteriormente citadas </w:t>
      </w:r>
    </w:p>
    <w:p w14:paraId="4C5E8045" w14:textId="112D9983" w:rsidR="005866FA" w:rsidRPr="00A4283E" w:rsidRDefault="005866FA" w:rsidP="005866FA">
      <w:pPr>
        <w:pStyle w:val="Default"/>
        <w:numPr>
          <w:ilvl w:val="0"/>
          <w:numId w:val="18"/>
        </w:numPr>
        <w:jc w:val="both"/>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 xml:space="preserve">Recordar a la empresa </w:t>
      </w:r>
      <w:r w:rsidR="00202196">
        <w:rPr>
          <w:rFonts w:ascii="Times New Roman" w:hAnsi="Times New Roman" w:cs="Times New Roman"/>
          <w:b/>
          <w:bCs/>
          <w:color w:val="000000" w:themeColor="text1"/>
          <w:sz w:val="20"/>
          <w:szCs w:val="20"/>
        </w:rPr>
        <w:t>TQP</w:t>
      </w:r>
      <w:r w:rsidRPr="00A4283E">
        <w:rPr>
          <w:rFonts w:ascii="Times New Roman" w:hAnsi="Times New Roman" w:cs="Times New Roman"/>
          <w:b/>
          <w:bCs/>
          <w:color w:val="000000" w:themeColor="text1"/>
          <w:sz w:val="20"/>
          <w:szCs w:val="20"/>
        </w:rPr>
        <w:t xml:space="preserve"> S.A., </w:t>
      </w:r>
      <w:r w:rsidRPr="00A4283E">
        <w:rPr>
          <w:rFonts w:ascii="Times New Roman" w:hAnsi="Times New Roman" w:cs="Times New Roman"/>
          <w:color w:val="000000" w:themeColor="text1"/>
          <w:sz w:val="20"/>
          <w:szCs w:val="20"/>
        </w:rPr>
        <w:t xml:space="preserve">operadora de las Rutas </w:t>
      </w:r>
      <w:r w:rsidR="00202196">
        <w:rPr>
          <w:rFonts w:ascii="Times New Roman" w:hAnsi="Times New Roman" w:cs="Times New Roman"/>
          <w:color w:val="000000" w:themeColor="text1"/>
          <w:sz w:val="20"/>
          <w:szCs w:val="20"/>
        </w:rPr>
        <w:t>N°000 y 000</w:t>
      </w:r>
      <w:r w:rsidRPr="00A4283E">
        <w:rPr>
          <w:rFonts w:ascii="Times New Roman" w:hAnsi="Times New Roman" w:cs="Times New Roman"/>
          <w:color w:val="000000" w:themeColor="text1"/>
          <w:sz w:val="20"/>
          <w:szCs w:val="20"/>
        </w:rPr>
        <w:t xml:space="preserve">, el acatamiento de lo indicado en el presente acuerdo de Junta Directiva, en cuanto a recorridos y paradas. </w:t>
      </w:r>
    </w:p>
    <w:p w14:paraId="606BB6E6" w14:textId="77777777" w:rsidR="005866FA" w:rsidRPr="00A4283E" w:rsidRDefault="005866FA" w:rsidP="005866FA">
      <w:pPr>
        <w:pStyle w:val="Default"/>
        <w:numPr>
          <w:ilvl w:val="0"/>
          <w:numId w:val="18"/>
        </w:numPr>
        <w:jc w:val="both"/>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Considerar por parte de la Junta Directiva, lo indicado en el punto 3 del “Por tanto” del Artículo 9.1 de la sesión ordinaria 19-2021, a efectos de analizar lo correspondiente.</w:t>
      </w:r>
    </w:p>
    <w:p w14:paraId="1F547B9C" w14:textId="77777777" w:rsidR="005866FA" w:rsidRPr="00A4283E" w:rsidRDefault="005866FA" w:rsidP="005866FA">
      <w:pPr>
        <w:pStyle w:val="Default"/>
        <w:numPr>
          <w:ilvl w:val="0"/>
          <w:numId w:val="18"/>
        </w:numPr>
        <w:jc w:val="both"/>
        <w:rPr>
          <w:rFonts w:ascii="Times New Roman" w:hAnsi="Times New Roman" w:cs="Times New Roman"/>
          <w:color w:val="000000" w:themeColor="text1"/>
          <w:sz w:val="20"/>
          <w:szCs w:val="20"/>
        </w:rPr>
      </w:pPr>
      <w:r w:rsidRPr="00A4283E">
        <w:rPr>
          <w:rFonts w:ascii="Times New Roman" w:hAnsi="Times New Roman" w:cs="Times New Roman"/>
          <w:color w:val="000000" w:themeColor="text1"/>
          <w:sz w:val="20"/>
          <w:szCs w:val="20"/>
        </w:rPr>
        <w:t>Notifíquese: (…)” (Léanse los folios del 117 al 118 del expediente administrativo TAT-002-23)</w:t>
      </w:r>
    </w:p>
    <w:p w14:paraId="0716D249" w14:textId="77777777" w:rsidR="005866FA" w:rsidRPr="00A4283E" w:rsidRDefault="005866FA" w:rsidP="005866FA">
      <w:pPr>
        <w:pStyle w:val="Default"/>
        <w:rPr>
          <w:color w:val="000000" w:themeColor="text1"/>
          <w:sz w:val="22"/>
          <w:szCs w:val="22"/>
        </w:rPr>
      </w:pPr>
    </w:p>
    <w:p w14:paraId="118E005B" w14:textId="77777777" w:rsidR="005866FA" w:rsidRPr="00A4283E" w:rsidRDefault="005866FA" w:rsidP="005866FA">
      <w:pPr>
        <w:shd w:val="clear" w:color="auto" w:fill="FFFFFF"/>
        <w:spacing w:after="0" w:line="276" w:lineRule="auto"/>
        <w:jc w:val="both"/>
        <w:rPr>
          <w:rFonts w:ascii="Times New Roman" w:eastAsia="SimSun" w:hAnsi="Times New Roman" w:cs="Times New Roman"/>
          <w:color w:val="000000" w:themeColor="text1"/>
          <w:sz w:val="24"/>
          <w:szCs w:val="24"/>
          <w:lang w:eastAsia="es-CR"/>
        </w:rPr>
      </w:pPr>
      <w:r w:rsidRPr="00A4283E">
        <w:rPr>
          <w:rFonts w:ascii="Times New Roman" w:eastAsia="SimSun" w:hAnsi="Times New Roman" w:cs="Times New Roman"/>
          <w:color w:val="000000" w:themeColor="text1"/>
          <w:sz w:val="24"/>
          <w:szCs w:val="24"/>
          <w:lang w:eastAsia="es-CR"/>
        </w:rPr>
        <w:t xml:space="preserve">El acuerdo fue notificado al interesado el </w:t>
      </w:r>
      <w:r w:rsidRPr="00A4283E">
        <w:rPr>
          <w:rFonts w:ascii="Times New Roman" w:eastAsia="SimSun" w:hAnsi="Times New Roman" w:cs="Times New Roman"/>
          <w:b/>
          <w:bCs/>
          <w:color w:val="000000" w:themeColor="text1"/>
          <w:sz w:val="24"/>
          <w:szCs w:val="24"/>
          <w:lang w:eastAsia="es-CR"/>
        </w:rPr>
        <w:t>08 de setiembre de 2022</w:t>
      </w:r>
      <w:r w:rsidRPr="00A4283E">
        <w:rPr>
          <w:rFonts w:ascii="Times New Roman" w:eastAsia="SimSun" w:hAnsi="Times New Roman" w:cs="Times New Roman"/>
          <w:color w:val="000000" w:themeColor="text1"/>
          <w:sz w:val="24"/>
          <w:szCs w:val="24"/>
          <w:lang w:eastAsia="es-CR"/>
        </w:rPr>
        <w:t>, vía correo electrónico. (Léase el folio 119 del expediente TAT-002-23)</w:t>
      </w:r>
    </w:p>
    <w:p w14:paraId="0FB061A1" w14:textId="77777777" w:rsidR="005866FA" w:rsidRPr="00A4283E" w:rsidRDefault="005866FA" w:rsidP="005866FA">
      <w:pPr>
        <w:shd w:val="clear" w:color="auto" w:fill="FFFFFF"/>
        <w:spacing w:after="0" w:line="240" w:lineRule="auto"/>
        <w:jc w:val="both"/>
        <w:rPr>
          <w:rFonts w:ascii="Times New Roman" w:eastAsia="SimSun" w:hAnsi="Times New Roman" w:cs="Times New Roman"/>
          <w:color w:val="000000" w:themeColor="text1"/>
          <w:sz w:val="20"/>
          <w:szCs w:val="20"/>
          <w:lang w:eastAsia="es-CR"/>
        </w:rPr>
      </w:pPr>
    </w:p>
    <w:p w14:paraId="7C9E044C" w14:textId="5B5A6B18" w:rsidR="005866FA" w:rsidRPr="00A4283E" w:rsidRDefault="005866FA" w:rsidP="005866FA">
      <w:pPr>
        <w:spacing w:after="0" w:line="276" w:lineRule="auto"/>
        <w:jc w:val="both"/>
        <w:rPr>
          <w:rFonts w:ascii="Times New Roman" w:eastAsia="Times New Roman" w:hAnsi="Times New Roman" w:cs="Times New Roman"/>
          <w:color w:val="000000" w:themeColor="text1"/>
          <w:sz w:val="24"/>
          <w:szCs w:val="24"/>
          <w:lang w:val="es-ES" w:eastAsia="es-MX"/>
        </w:rPr>
      </w:pPr>
      <w:r w:rsidRPr="00A4283E">
        <w:rPr>
          <w:rFonts w:ascii="Times New Roman" w:eastAsia="Times New Roman" w:hAnsi="Times New Roman" w:cs="Times New Roman"/>
          <w:b/>
          <w:bCs/>
          <w:color w:val="000000" w:themeColor="text1"/>
          <w:sz w:val="24"/>
          <w:szCs w:val="24"/>
          <w:lang w:val="es-ES" w:eastAsia="es-MX"/>
        </w:rPr>
        <w:t>SEGUNDO:</w:t>
      </w:r>
      <w:r w:rsidRPr="00A4283E">
        <w:rPr>
          <w:rFonts w:ascii="Times New Roman" w:eastAsia="Times New Roman" w:hAnsi="Times New Roman" w:cs="Times New Roman"/>
          <w:color w:val="000000" w:themeColor="text1"/>
          <w:sz w:val="24"/>
          <w:szCs w:val="24"/>
          <w:lang w:val="es-ES" w:eastAsia="es-MX"/>
        </w:rPr>
        <w:tab/>
        <w:t xml:space="preserve">El </w:t>
      </w:r>
      <w:r w:rsidRPr="00A4283E">
        <w:rPr>
          <w:rFonts w:ascii="Times New Roman" w:eastAsia="Times New Roman" w:hAnsi="Times New Roman" w:cs="Times New Roman"/>
          <w:b/>
          <w:bCs/>
          <w:color w:val="000000" w:themeColor="text1"/>
          <w:sz w:val="24"/>
          <w:szCs w:val="24"/>
          <w:lang w:val="es-ES" w:eastAsia="es-MX"/>
        </w:rPr>
        <w:t>29 de setiembre de 2022</w:t>
      </w:r>
      <w:r w:rsidRPr="00A4283E">
        <w:rPr>
          <w:rFonts w:ascii="Times New Roman" w:eastAsia="Times New Roman" w:hAnsi="Times New Roman" w:cs="Times New Roman"/>
          <w:color w:val="000000" w:themeColor="text1"/>
          <w:sz w:val="24"/>
          <w:szCs w:val="24"/>
          <w:lang w:val="es-ES" w:eastAsia="es-MX"/>
        </w:rPr>
        <w:t xml:space="preserve">, el señor </w:t>
      </w:r>
      <w:r w:rsidRPr="00A4283E">
        <w:rPr>
          <w:rFonts w:ascii="Times New Roman" w:hAnsi="Times New Roman" w:cs="Times New Roman"/>
          <w:color w:val="000000" w:themeColor="text1"/>
          <w:sz w:val="24"/>
          <w:szCs w:val="24"/>
        </w:rPr>
        <w:t xml:space="preserve">por </w:t>
      </w:r>
      <w:r w:rsidR="00202196">
        <w:rPr>
          <w:rFonts w:ascii="Times New Roman" w:hAnsi="Times New Roman" w:cs="Times New Roman"/>
          <w:b/>
          <w:color w:val="000000" w:themeColor="text1"/>
          <w:sz w:val="24"/>
          <w:szCs w:val="24"/>
        </w:rPr>
        <w:t>FACC</w:t>
      </w:r>
      <w:r w:rsidRPr="00A4283E">
        <w:rPr>
          <w:rFonts w:ascii="Times New Roman" w:hAnsi="Times New Roman" w:cs="Times New Roman"/>
          <w:smallCaps/>
          <w:color w:val="000000" w:themeColor="text1"/>
          <w:sz w:val="24"/>
          <w:szCs w:val="24"/>
        </w:rPr>
        <w:t>,</w:t>
      </w:r>
      <w:r w:rsidRPr="00A4283E">
        <w:rPr>
          <w:rFonts w:ascii="Times New Roman" w:hAnsi="Times New Roman" w:cs="Times New Roman"/>
          <w:b/>
          <w:smallCaps/>
          <w:color w:val="000000" w:themeColor="text1"/>
          <w:sz w:val="24"/>
          <w:szCs w:val="24"/>
        </w:rPr>
        <w:t xml:space="preserve"> </w:t>
      </w:r>
      <w:r w:rsidRPr="00A4283E">
        <w:rPr>
          <w:rFonts w:ascii="Times New Roman" w:hAnsi="Times New Roman" w:cs="Times New Roman"/>
          <w:color w:val="000000" w:themeColor="text1"/>
          <w:sz w:val="24"/>
          <w:szCs w:val="24"/>
        </w:rPr>
        <w:t xml:space="preserve">cédula de identidad número </w:t>
      </w:r>
      <w:r w:rsidR="00202196">
        <w:rPr>
          <w:rFonts w:ascii="Times New Roman" w:hAnsi="Times New Roman" w:cs="Times New Roman"/>
          <w:color w:val="000000" w:themeColor="text1"/>
          <w:sz w:val="24"/>
          <w:szCs w:val="24"/>
        </w:rPr>
        <w:t>0</w:t>
      </w:r>
      <w:r w:rsidR="00F26B41">
        <w:rPr>
          <w:rFonts w:ascii="Times New Roman" w:hAnsi="Times New Roman" w:cs="Times New Roman"/>
          <w:color w:val="000000" w:themeColor="text1"/>
          <w:sz w:val="24"/>
          <w:szCs w:val="24"/>
        </w:rPr>
        <w:t>00</w:t>
      </w:r>
      <w:r w:rsidRPr="00A4283E">
        <w:rPr>
          <w:rFonts w:ascii="Times New Roman" w:eastAsia="Times New Roman" w:hAnsi="Times New Roman" w:cs="Times New Roman"/>
          <w:color w:val="000000" w:themeColor="text1"/>
          <w:sz w:val="24"/>
          <w:szCs w:val="24"/>
          <w:lang w:val="es-ES" w:eastAsia="es-MX"/>
        </w:rPr>
        <w:t xml:space="preserve">, interpone </w:t>
      </w:r>
      <w:r w:rsidRPr="00A4283E">
        <w:rPr>
          <w:rFonts w:ascii="Times New Roman" w:hAnsi="Times New Roman" w:cs="Times New Roman"/>
          <w:b/>
          <w:smallCaps/>
          <w:color w:val="000000" w:themeColor="text1"/>
          <w:sz w:val="24"/>
          <w:szCs w:val="24"/>
        </w:rPr>
        <w:t>recurso de apelación en subsidio e incidentes previos de nulidad y suspensión de efectos del acto</w:t>
      </w:r>
      <w:r w:rsidRPr="00A4283E">
        <w:rPr>
          <w:rFonts w:ascii="Times New Roman" w:hAnsi="Times New Roman" w:cs="Times New Roman"/>
          <w:color w:val="000000" w:themeColor="text1"/>
          <w:sz w:val="24"/>
          <w:szCs w:val="24"/>
        </w:rPr>
        <w:t xml:space="preserve">, en contra del </w:t>
      </w:r>
      <w:r w:rsidRPr="00A4283E">
        <w:rPr>
          <w:rFonts w:ascii="Times New Roman" w:hAnsi="Times New Roman" w:cs="Times New Roman"/>
          <w:b/>
          <w:color w:val="000000" w:themeColor="text1"/>
          <w:sz w:val="24"/>
          <w:szCs w:val="24"/>
        </w:rPr>
        <w:t>Artículo 3.4 de la Sesión Ordinaria 38-</w:t>
      </w:r>
      <w:r w:rsidRPr="00A4283E">
        <w:rPr>
          <w:rFonts w:ascii="Times New Roman" w:hAnsi="Times New Roman" w:cs="Times New Roman"/>
          <w:b/>
          <w:color w:val="000000" w:themeColor="text1"/>
          <w:sz w:val="24"/>
          <w:szCs w:val="24"/>
        </w:rPr>
        <w:lastRenderedPageBreak/>
        <w:t>2022 de 31 de agosto de 2022</w:t>
      </w:r>
      <w:r w:rsidRPr="00A4283E">
        <w:rPr>
          <w:rFonts w:ascii="Times New Roman" w:hAnsi="Times New Roman" w:cs="Times New Roman"/>
          <w:color w:val="000000" w:themeColor="text1"/>
          <w:sz w:val="24"/>
          <w:szCs w:val="24"/>
        </w:rPr>
        <w:t>, adoptado por la Junta Directiva del Consejo de Transporte,</w:t>
      </w:r>
      <w:r w:rsidRPr="00A4283E">
        <w:rPr>
          <w:rFonts w:ascii="Times New Roman" w:eastAsia="Times New Roman" w:hAnsi="Times New Roman" w:cs="Times New Roman"/>
          <w:color w:val="000000" w:themeColor="text1"/>
          <w:sz w:val="24"/>
          <w:szCs w:val="24"/>
          <w:lang w:val="es-ES" w:eastAsia="es-MX"/>
        </w:rPr>
        <w:t xml:space="preserve"> alegando en resumen lo siguiente: </w:t>
      </w:r>
    </w:p>
    <w:p w14:paraId="5517DB42" w14:textId="77777777" w:rsidR="005866FA" w:rsidRPr="00A4283E" w:rsidRDefault="005866FA" w:rsidP="005866FA">
      <w:pPr>
        <w:spacing w:after="0" w:line="240" w:lineRule="auto"/>
        <w:jc w:val="both"/>
        <w:rPr>
          <w:rFonts w:ascii="Times New Roman" w:eastAsia="Times New Roman" w:hAnsi="Times New Roman" w:cs="Times New Roman"/>
          <w:color w:val="000000" w:themeColor="text1"/>
          <w:sz w:val="24"/>
          <w:szCs w:val="24"/>
          <w:lang w:val="es-ES" w:eastAsia="es-MX"/>
        </w:rPr>
      </w:pPr>
    </w:p>
    <w:p w14:paraId="0F43525D" w14:textId="545499CC" w:rsidR="005866FA" w:rsidRPr="00A4283E" w:rsidRDefault="005866FA" w:rsidP="005866FA">
      <w:pPr>
        <w:pStyle w:val="Prrafodelista"/>
        <w:numPr>
          <w:ilvl w:val="0"/>
          <w:numId w:val="24"/>
        </w:numPr>
        <w:spacing w:after="0" w:line="276" w:lineRule="auto"/>
        <w:jc w:val="both"/>
        <w:rPr>
          <w:rFonts w:ascii="Times New Roman" w:eastAsia="Times New Roman" w:hAnsi="Times New Roman" w:cs="Times New Roman"/>
          <w:bCs/>
          <w:color w:val="000000" w:themeColor="text1"/>
          <w:lang w:eastAsia="es-MX"/>
        </w:rPr>
      </w:pPr>
      <w:r w:rsidRPr="00A4283E">
        <w:rPr>
          <w:rFonts w:ascii="Times New Roman" w:eastAsia="Times New Roman" w:hAnsi="Times New Roman" w:cs="Times New Roman"/>
          <w:color w:val="000000" w:themeColor="text1"/>
          <w:lang w:val="es-ES" w:eastAsia="es-MX"/>
        </w:rPr>
        <w:t xml:space="preserve">En cuanto a la legitimación activa del recurrente y la revisión de temporalidad en la interposición del recurso, alega que, en su condición de ciudadano, usuario del servicio de transporte público de la ruta </w:t>
      </w:r>
      <w:r w:rsidR="000D5DED">
        <w:rPr>
          <w:rFonts w:ascii="Times New Roman" w:eastAsia="Times New Roman" w:hAnsi="Times New Roman" w:cs="Times New Roman"/>
          <w:color w:val="000000" w:themeColor="text1"/>
          <w:lang w:val="es-ES" w:eastAsia="es-MX"/>
        </w:rPr>
        <w:t>000</w:t>
      </w:r>
      <w:r w:rsidRPr="00A4283E">
        <w:rPr>
          <w:rFonts w:ascii="Times New Roman" w:eastAsia="Times New Roman" w:hAnsi="Times New Roman" w:cs="Times New Roman"/>
          <w:color w:val="000000" w:themeColor="text1"/>
          <w:lang w:val="es-ES" w:eastAsia="es-MX"/>
        </w:rPr>
        <w:t xml:space="preserve">, presentó recursos administrativos ante la Municipalidad de Puntarenas en contra del otorgamiento de los permisos de construcción y patentes, presuntamente aprobados de manera irregular, logrando su anulación del oficio MP-DPUC-RES-1002-2018 de 26 de noviembre de 2018, debido a que el Plan Regulador de Puntarenas no permite este tipo de actividades, en la zona donde ilegítimamente se construyó. También refiere que su legitimación deriva </w:t>
      </w:r>
      <w:r w:rsidRPr="00A4283E">
        <w:rPr>
          <w:rFonts w:ascii="Times New Roman" w:eastAsia="Times New Roman" w:hAnsi="Times New Roman" w:cs="Times New Roman"/>
          <w:color w:val="000000" w:themeColor="text1"/>
          <w:lang w:eastAsia="es-MX"/>
        </w:rPr>
        <w:t>del artículo 275 de la LGAP, y que actúa entre otras razones dadas, por el nivel de afectación que la entrada en operación de instalaciones sin permiso supone para el colectivo. Agrega que prácticamente estarían obligados a utilizar instalaciones que al carecer de permisos y licencias municipales tampoco pueden ser sujetas a aseguramiento.</w:t>
      </w:r>
    </w:p>
    <w:p w14:paraId="24BB7608" w14:textId="77777777" w:rsidR="005866FA" w:rsidRPr="00A4283E" w:rsidRDefault="005866FA" w:rsidP="005866FA">
      <w:pPr>
        <w:pStyle w:val="Prrafodelista"/>
        <w:spacing w:after="0" w:line="240" w:lineRule="auto"/>
        <w:jc w:val="both"/>
        <w:rPr>
          <w:rFonts w:ascii="Times New Roman" w:eastAsia="Times New Roman" w:hAnsi="Times New Roman" w:cs="Times New Roman"/>
          <w:color w:val="000000" w:themeColor="text1"/>
          <w:lang w:val="es-ES" w:eastAsia="es-MX"/>
        </w:rPr>
      </w:pPr>
    </w:p>
    <w:p w14:paraId="46ABC5E1" w14:textId="77777777" w:rsidR="005866FA" w:rsidRPr="00A4283E" w:rsidRDefault="005866FA" w:rsidP="005866FA">
      <w:pPr>
        <w:pStyle w:val="Prrafodelista"/>
        <w:numPr>
          <w:ilvl w:val="0"/>
          <w:numId w:val="24"/>
        </w:numPr>
        <w:spacing w:after="0" w:line="240" w:lineRule="auto"/>
        <w:jc w:val="both"/>
        <w:rPr>
          <w:rFonts w:ascii="Times New Roman" w:eastAsia="Times New Roman" w:hAnsi="Times New Roman" w:cs="Times New Roman"/>
          <w:color w:val="000000" w:themeColor="text1"/>
          <w:lang w:val="es-ES" w:eastAsia="es-MX"/>
        </w:rPr>
      </w:pPr>
      <w:r w:rsidRPr="00A4283E">
        <w:rPr>
          <w:rFonts w:ascii="Times New Roman" w:eastAsia="Times New Roman" w:hAnsi="Times New Roman" w:cs="Times New Roman"/>
          <w:color w:val="000000" w:themeColor="text1"/>
          <w:lang w:val="es-ES" w:eastAsia="es-MX"/>
        </w:rPr>
        <w:t>Alega que se sorprendió que el Consejo de Transporte Público, adoptó un acuerdo en el que autoriza una mal llamada “Parada EN TRÁNSITO PARA INGRESO DE UNIDADES Y ESPERA DE PASAJEROS” den la misma terminal que no cuenta con permisos de la municipalidad, lo cual estima presenta vicios de nulidad que atentan contra la seguridad jurídica y personal de los usuarios del servicio, que al carecer de permisos y licencias, tampoco pueden ser sujetas de aseguramiento, y ante cualquier incidente que pueda ocurrir, el usuario no podrá ser amparado por las póliza de seguros. Solicita que debido a que ha sido vehemente en cuanto a la revisión de la legalidad del procedimiento en especial de la entrada en operación de las instalaciones sin permiso, se tenga por acreditada la legitimación activa que sustenta su participación.</w:t>
      </w:r>
    </w:p>
    <w:p w14:paraId="46D332B0" w14:textId="77777777" w:rsidR="005866FA" w:rsidRPr="00A4283E" w:rsidRDefault="005866FA" w:rsidP="005866FA">
      <w:pPr>
        <w:pStyle w:val="Prrafodelista"/>
        <w:numPr>
          <w:ilvl w:val="0"/>
          <w:numId w:val="24"/>
        </w:numPr>
        <w:spacing w:after="0" w:line="240" w:lineRule="auto"/>
        <w:jc w:val="both"/>
        <w:rPr>
          <w:rFonts w:ascii="Times New Roman" w:eastAsia="Times New Roman" w:hAnsi="Times New Roman" w:cs="Times New Roman"/>
          <w:color w:val="000000" w:themeColor="text1"/>
          <w:lang w:val="es-ES" w:eastAsia="es-MX"/>
        </w:rPr>
      </w:pPr>
      <w:r w:rsidRPr="00A4283E">
        <w:rPr>
          <w:rFonts w:ascii="Times New Roman" w:eastAsia="Times New Roman" w:hAnsi="Times New Roman" w:cs="Times New Roman"/>
          <w:color w:val="000000" w:themeColor="text1"/>
          <w:lang w:val="es-ES" w:eastAsia="es-MX"/>
        </w:rPr>
        <w:t>En cuanto a la temporalidad del recurso, indica que le fue notificado el 22 de setiembre de 2022.</w:t>
      </w:r>
    </w:p>
    <w:p w14:paraId="2F4C5DA2" w14:textId="77777777" w:rsidR="005866FA" w:rsidRPr="00A4283E" w:rsidRDefault="005866FA" w:rsidP="005866FA">
      <w:pPr>
        <w:pStyle w:val="Prrafodelista"/>
        <w:numPr>
          <w:ilvl w:val="0"/>
          <w:numId w:val="24"/>
        </w:numPr>
        <w:spacing w:after="0" w:line="240" w:lineRule="auto"/>
        <w:jc w:val="both"/>
        <w:rPr>
          <w:rFonts w:ascii="Times New Roman" w:eastAsia="Times New Roman" w:hAnsi="Times New Roman" w:cs="Times New Roman"/>
          <w:color w:val="000000" w:themeColor="text1"/>
          <w:lang w:val="es-ES" w:eastAsia="es-MX"/>
        </w:rPr>
      </w:pPr>
      <w:r w:rsidRPr="00A4283E">
        <w:rPr>
          <w:rFonts w:ascii="Times New Roman" w:eastAsia="Times New Roman" w:hAnsi="Times New Roman" w:cs="Times New Roman"/>
          <w:color w:val="000000" w:themeColor="text1"/>
          <w:lang w:val="es-ES" w:eastAsia="es-MX"/>
        </w:rPr>
        <w:t>En cuanto a la legitimación pasiva del demandado, refiere que la gestión ilegítima fue emitida por el Consejo de Transporte Público, y su Dirección Técnica, por lo que está debidamente comprobada.</w:t>
      </w:r>
    </w:p>
    <w:p w14:paraId="1FB0E592" w14:textId="77777777" w:rsidR="005866FA" w:rsidRPr="00A4283E" w:rsidRDefault="005866FA" w:rsidP="005866FA">
      <w:pPr>
        <w:pStyle w:val="Prrafodelista"/>
        <w:numPr>
          <w:ilvl w:val="0"/>
          <w:numId w:val="24"/>
        </w:numPr>
        <w:spacing w:after="0" w:line="240" w:lineRule="auto"/>
        <w:ind w:left="714" w:hanging="357"/>
        <w:contextualSpacing w:val="0"/>
        <w:jc w:val="both"/>
        <w:rPr>
          <w:rFonts w:ascii="Times New Roman" w:eastAsia="Times New Roman" w:hAnsi="Times New Roman" w:cs="Times New Roman"/>
          <w:color w:val="000000" w:themeColor="text1"/>
          <w:lang w:val="es-ES" w:eastAsia="es-MX"/>
        </w:rPr>
      </w:pPr>
      <w:r w:rsidRPr="00A4283E">
        <w:rPr>
          <w:rFonts w:ascii="Times New Roman" w:eastAsia="Times New Roman" w:hAnsi="Times New Roman" w:cs="Times New Roman"/>
          <w:color w:val="000000" w:themeColor="text1"/>
          <w:lang w:val="es-ES" w:eastAsia="es-MX"/>
        </w:rPr>
        <w:t>Respecto a los hechos que sustentan su recurso, refiere que la denuncia presentada ante la Auditoría del CTP y la Junta Directiva, el 15 de febrero de 2021, no ha sido atendida en todos sus extremos. Indica que por artículo 9.1 de la Sesión Ordinaria 19-2021 del 09 de marzo de 2021, la Junta Directiva, suspendió el acuerdo de autorización de parada en tránsito, por las graves violaciones señaladas, ordenando además la apertura de una investigación, y que a la fecha no sean finalizado las investigaciones, no hay permisos Municipales, pero se autorizó la parada en tránsito con ingreso de unidades y espera de pasajeros.</w:t>
      </w:r>
    </w:p>
    <w:p w14:paraId="6063E415" w14:textId="77777777" w:rsidR="005866FA" w:rsidRPr="00A4283E" w:rsidRDefault="005866FA" w:rsidP="005866FA">
      <w:pPr>
        <w:pStyle w:val="Prrafodelista"/>
        <w:numPr>
          <w:ilvl w:val="0"/>
          <w:numId w:val="24"/>
        </w:numPr>
        <w:spacing w:after="0" w:line="240" w:lineRule="auto"/>
        <w:ind w:left="714" w:hanging="357"/>
        <w:contextualSpacing w:val="0"/>
        <w:jc w:val="both"/>
        <w:rPr>
          <w:rFonts w:ascii="Times New Roman" w:eastAsia="Times New Roman" w:hAnsi="Times New Roman" w:cs="Times New Roman"/>
          <w:color w:val="000000" w:themeColor="text1"/>
          <w:lang w:val="es-ES" w:eastAsia="es-MX"/>
        </w:rPr>
      </w:pPr>
      <w:r w:rsidRPr="00A4283E">
        <w:rPr>
          <w:rFonts w:ascii="Times New Roman" w:eastAsia="Times New Roman" w:hAnsi="Times New Roman" w:cs="Times New Roman"/>
          <w:color w:val="000000" w:themeColor="text1"/>
          <w:lang w:val="es-ES" w:eastAsia="es-MX"/>
        </w:rPr>
        <w:t>También refiere que el 06 de abril de 2021, la Auditoría Interna de la Municipalidad de Puntarenas, mediante oficio MP-DAI-OF-077-04-2021, advierte al Alcalde de la ilegalidad de los permisos otorgados por no estar la actividad contemplada en el Plan Regulador.</w:t>
      </w:r>
    </w:p>
    <w:p w14:paraId="7331F5DB" w14:textId="77777777" w:rsidR="005866FA" w:rsidRPr="00A4283E" w:rsidRDefault="005866FA" w:rsidP="005866FA">
      <w:pPr>
        <w:pStyle w:val="Prrafodelista"/>
        <w:numPr>
          <w:ilvl w:val="0"/>
          <w:numId w:val="24"/>
        </w:numPr>
        <w:spacing w:after="0" w:line="240" w:lineRule="auto"/>
        <w:ind w:left="714" w:hanging="357"/>
        <w:contextualSpacing w:val="0"/>
        <w:jc w:val="both"/>
        <w:rPr>
          <w:rFonts w:ascii="Times New Roman" w:eastAsia="Times New Roman" w:hAnsi="Times New Roman" w:cs="Times New Roman"/>
          <w:color w:val="000000" w:themeColor="text1"/>
          <w:lang w:val="es-ES" w:eastAsia="es-MX"/>
        </w:rPr>
      </w:pPr>
      <w:r w:rsidRPr="00A4283E">
        <w:rPr>
          <w:rFonts w:ascii="Times New Roman" w:eastAsia="Times New Roman" w:hAnsi="Times New Roman" w:cs="Times New Roman"/>
          <w:color w:val="000000" w:themeColor="text1"/>
          <w:lang w:val="es-ES" w:eastAsia="es-MX"/>
        </w:rPr>
        <w:t>Indica también que el 12 de abril de 2021 en acuerdo unánime del Consejo Municipal de la Municipalidad de Puntarenas, solicitan a la Auditoría Interna presentar denuncia ante la Fiscalía Adjunta de Probidad, Transparencia y Anticorrupción, contra los funcionarios responsables de autorizar y consentir el inicio de la construcción ubicada a 125 metros del muelle de Puntarenas sin los requisitos exigidos por ley. A su vez, refiere que el 10 de mayo de 2021, el Alcalde en Oficio MP-AM-OFIC-2700-05-2021, el Alcalde informa al Consejo sobre las ilegalidades que el INVU encontró en la tramitación del permiso concedido.</w:t>
      </w:r>
    </w:p>
    <w:p w14:paraId="5EB1D8E7" w14:textId="77777777" w:rsidR="005866FA" w:rsidRPr="00A4283E" w:rsidRDefault="005866FA" w:rsidP="005866FA">
      <w:pPr>
        <w:pStyle w:val="Prrafodelista"/>
        <w:numPr>
          <w:ilvl w:val="0"/>
          <w:numId w:val="24"/>
        </w:numPr>
        <w:spacing w:after="0" w:line="240" w:lineRule="auto"/>
        <w:ind w:left="714" w:hanging="357"/>
        <w:contextualSpacing w:val="0"/>
        <w:jc w:val="both"/>
        <w:rPr>
          <w:rFonts w:ascii="Times New Roman" w:eastAsia="Times New Roman" w:hAnsi="Times New Roman" w:cs="Times New Roman"/>
          <w:color w:val="000000" w:themeColor="text1"/>
          <w:lang w:val="es-ES" w:eastAsia="es-MX"/>
        </w:rPr>
      </w:pPr>
      <w:r w:rsidRPr="00A4283E">
        <w:rPr>
          <w:rFonts w:ascii="Times New Roman" w:eastAsia="Times New Roman" w:hAnsi="Times New Roman" w:cs="Times New Roman"/>
          <w:color w:val="000000" w:themeColor="text1"/>
          <w:lang w:val="es-ES" w:eastAsia="es-MX"/>
        </w:rPr>
        <w:lastRenderedPageBreak/>
        <w:t>Alega que sin que del expediente se desprenda acuerdo alguno en firme adoptado por parte de la Municipalidad de Puntarenas, el CTP aprueba el traslado de la parada en transito y hasta inventa un nuevo término, ya que dan un permiso a una parada en tránsito, pero con ingreso de autobuses a la terminal y derecho de espera de pasajeros en las instalaciones, afirmando que esto es finalmente una terminal de buses que no cuenta con los permisos requeridos.</w:t>
      </w:r>
    </w:p>
    <w:p w14:paraId="67DB09FB" w14:textId="77777777" w:rsidR="005866FA" w:rsidRPr="00A4283E" w:rsidRDefault="005866FA" w:rsidP="005866FA">
      <w:pPr>
        <w:pStyle w:val="Prrafodelista"/>
        <w:numPr>
          <w:ilvl w:val="0"/>
          <w:numId w:val="24"/>
        </w:numPr>
        <w:spacing w:after="0" w:line="240" w:lineRule="auto"/>
        <w:jc w:val="both"/>
        <w:rPr>
          <w:rFonts w:ascii="Times New Roman" w:eastAsia="Times New Roman" w:hAnsi="Times New Roman" w:cs="Times New Roman"/>
          <w:color w:val="000000" w:themeColor="text1"/>
          <w:lang w:val="es-ES" w:eastAsia="es-MX"/>
        </w:rPr>
      </w:pPr>
      <w:r w:rsidRPr="00A4283E">
        <w:rPr>
          <w:rFonts w:ascii="Times New Roman" w:eastAsia="Times New Roman" w:hAnsi="Times New Roman" w:cs="Times New Roman"/>
          <w:color w:val="000000" w:themeColor="text1"/>
          <w:lang w:val="es-ES" w:eastAsia="es-MX"/>
        </w:rPr>
        <w:t>Fundamenta su recurso en los artículos 27 y 41 de la Constitución Política, artículo 175 de la Ley General de la Administración Pública, artículo 153 del Código Municipal, artículo 5 y 6 de la Ley No. 8220 modificada por Ley No. 8990, el Decreto Ejecutivo No. 37045-MP-MEIC “Reglamento a la Ley de Protección al Ciudadano de exceso de requisitos y trámites administrativos” y sus artículos 8, 40, 46 y 47, el Considerando 7 y el Por Tanto del Artículo 9.1 de la Sesión Ordinaria 19-2021, relacionados con el caso, de ahí que estima que el acto recurrido no solo es ilegítimo por violación flagrante a las competencias del ente territorial, sino que supone extralimitación por parte del CTP, que vician de nulidad absoluta los elementos constitutivos del acto administrativo en el elemento subjetivo (competencia y legitimación) ya que invade competencias que no le son propias y autoriza la entrada en operación de una terminal disfrazada de parada en tránsito, pero con parqueo de unidades y espera de pasajeros (o sea Terminal Final en un punto de Puntarenas en donde no está permitido, sin que ni siquiera pidieran los permisos. En cuanto a los elementos materiales objetivos (motivo), alega el recurrente que no se cumple con los presupuestos y antecedentes jurídicos y fácticos en contravención a lo que ha venido señalando la misma Junta Directiva del Consejo, ya que el Departamento de Urbanismo de la Municipalidad Competente, mediante oficio DU-205-09-2022 emitido en San José, el 26 de setiembre de 2022, le indicó que la empresa señaló ante un juez de la república que ya contaba con los permisos y ni la Municipalidad los tiene, ni ha presentado la documentación necesaria para acreditar su cumplimiento, y aun así se le otorgó el permiso a una parada sin permisos.</w:t>
      </w:r>
    </w:p>
    <w:p w14:paraId="591AC9E2" w14:textId="77777777" w:rsidR="005866FA" w:rsidRPr="00A4283E" w:rsidRDefault="005866FA" w:rsidP="005866FA">
      <w:pPr>
        <w:pStyle w:val="Prrafodelista"/>
        <w:numPr>
          <w:ilvl w:val="0"/>
          <w:numId w:val="24"/>
        </w:numPr>
        <w:spacing w:after="0" w:line="240" w:lineRule="auto"/>
        <w:jc w:val="both"/>
        <w:rPr>
          <w:rFonts w:ascii="Times New Roman" w:eastAsia="Times New Roman" w:hAnsi="Times New Roman" w:cs="Times New Roman"/>
          <w:color w:val="000000" w:themeColor="text1"/>
          <w:lang w:val="es-ES" w:eastAsia="es-MX"/>
        </w:rPr>
      </w:pPr>
      <w:r w:rsidRPr="00A4283E">
        <w:rPr>
          <w:rFonts w:ascii="Times New Roman" w:eastAsia="Times New Roman" w:hAnsi="Times New Roman" w:cs="Times New Roman"/>
          <w:color w:val="000000" w:themeColor="text1"/>
          <w:lang w:val="es-ES" w:eastAsia="es-MX"/>
        </w:rPr>
        <w:t>En referencia a los elementos formales (motivación -procedimiento administrativo), expresa que el CTP debió al menos verificar que la infraestructura que está autorizando contara con todos los permisos requeridos, sin embargo no lo hicieron, e inducidos a error, la Junta Directiva autoriza una actividad que por disposición no puede ejecutarse en ese predio, lo cual es un vicio de nulidad absoluta en la motivación del acto, y constituye causal de anulación inmediata de acuerdo recurrido, así como la adopción de la medida cautelar de suspensión inmediata de la ejecución del acto administrativo.</w:t>
      </w:r>
    </w:p>
    <w:p w14:paraId="73BFCBEC" w14:textId="77777777" w:rsidR="005866FA" w:rsidRPr="00A4283E" w:rsidRDefault="005866FA" w:rsidP="005866FA">
      <w:pPr>
        <w:pStyle w:val="Prrafodelista"/>
        <w:numPr>
          <w:ilvl w:val="0"/>
          <w:numId w:val="24"/>
        </w:numPr>
        <w:kinsoku w:val="0"/>
        <w:overflowPunct w:val="0"/>
        <w:spacing w:after="0" w:line="276" w:lineRule="auto"/>
        <w:jc w:val="both"/>
        <w:textAlignment w:val="baseline"/>
        <w:rPr>
          <w:rFonts w:ascii="Times New Roman" w:eastAsia="Times New Roman" w:hAnsi="Times New Roman" w:cs="Times New Roman"/>
          <w:color w:val="000000" w:themeColor="text1"/>
          <w:lang w:val="es-ES" w:eastAsia="es-MX"/>
        </w:rPr>
      </w:pPr>
      <w:r w:rsidRPr="00A4283E">
        <w:rPr>
          <w:rFonts w:ascii="Times New Roman" w:eastAsia="Times New Roman" w:hAnsi="Times New Roman" w:cs="Times New Roman"/>
          <w:color w:val="000000" w:themeColor="text1"/>
          <w:lang w:val="es-ES" w:eastAsia="es-MX"/>
        </w:rPr>
        <w:t xml:space="preserve">Peticiona el recurrente se admita el incidente de nulidad absoluta y se suspenda de forma inmediata la ejecución del artículo 3.4 de la Sesión Ordinaria No. 38-2022 de la presente demanda, se revoque el acuerdo de cita y de no prosperar el recurso de revocatoria se eleve la apelación ante el TAT. </w:t>
      </w:r>
      <w:r w:rsidRPr="00A4283E">
        <w:rPr>
          <w:rFonts w:ascii="Times New Roman" w:hAnsi="Times New Roman" w:cs="Times New Roman"/>
          <w:color w:val="000000" w:themeColor="text1"/>
        </w:rPr>
        <w:t>(Léanse los folios del 18 al 107</w:t>
      </w:r>
      <w:r w:rsidRPr="00A4283E">
        <w:rPr>
          <w:rFonts w:ascii="Times New Roman" w:eastAsia="Times New Roman" w:hAnsi="Times New Roman" w:cs="Times New Roman"/>
          <w:color w:val="000000" w:themeColor="text1"/>
          <w:lang w:val="es-ES" w:eastAsia="es-MX"/>
        </w:rPr>
        <w:t xml:space="preserve"> del expediente administrativo TAT-002-23)</w:t>
      </w:r>
    </w:p>
    <w:p w14:paraId="1FFF215C" w14:textId="77777777" w:rsidR="005866FA" w:rsidRPr="00A4283E" w:rsidRDefault="005866FA" w:rsidP="005866FA">
      <w:pPr>
        <w:kinsoku w:val="0"/>
        <w:overflowPunct w:val="0"/>
        <w:spacing w:after="0" w:line="240" w:lineRule="auto"/>
        <w:jc w:val="both"/>
        <w:textAlignment w:val="baseline"/>
        <w:rPr>
          <w:rFonts w:ascii="Times New Roman" w:eastAsia="Times New Roman" w:hAnsi="Times New Roman" w:cs="Times New Roman"/>
          <w:b/>
          <w:bCs/>
          <w:color w:val="000000" w:themeColor="text1"/>
          <w:sz w:val="24"/>
          <w:szCs w:val="24"/>
          <w:lang w:val="es-ES" w:eastAsia="es-ES"/>
        </w:rPr>
      </w:pPr>
    </w:p>
    <w:p w14:paraId="19AF8D62" w14:textId="09E3A02D" w:rsidR="005866FA" w:rsidRPr="00A4283E" w:rsidRDefault="005866FA" w:rsidP="005866FA">
      <w:pPr>
        <w:kinsoku w:val="0"/>
        <w:overflowPunct w:val="0"/>
        <w:spacing w:after="0" w:line="276" w:lineRule="auto"/>
        <w:jc w:val="both"/>
        <w:textAlignment w:val="baseline"/>
        <w:rPr>
          <w:rFonts w:ascii="Times New Roman" w:eastAsia="Times New Roman" w:hAnsi="Times New Roman" w:cs="Times New Roman"/>
          <w:color w:val="000000" w:themeColor="text1"/>
          <w:sz w:val="24"/>
          <w:szCs w:val="24"/>
          <w:lang w:val="es-ES" w:eastAsia="es-ES"/>
        </w:rPr>
      </w:pPr>
      <w:r w:rsidRPr="00A4283E">
        <w:rPr>
          <w:rFonts w:ascii="Times New Roman" w:eastAsia="Times New Roman" w:hAnsi="Times New Roman" w:cs="Times New Roman"/>
          <w:b/>
          <w:bCs/>
          <w:color w:val="000000" w:themeColor="text1"/>
          <w:sz w:val="24"/>
          <w:szCs w:val="24"/>
          <w:lang w:val="es-ES" w:eastAsia="es-ES"/>
        </w:rPr>
        <w:t>TERCERO:</w:t>
      </w:r>
      <w:r w:rsidRPr="00A4283E">
        <w:rPr>
          <w:rFonts w:ascii="Times New Roman" w:eastAsia="Times New Roman" w:hAnsi="Times New Roman" w:cs="Times New Roman"/>
          <w:b/>
          <w:bCs/>
          <w:color w:val="000000" w:themeColor="text1"/>
          <w:sz w:val="24"/>
          <w:szCs w:val="24"/>
          <w:lang w:val="es-ES" w:eastAsia="es-ES"/>
        </w:rPr>
        <w:tab/>
      </w:r>
      <w:r w:rsidRPr="00A4283E">
        <w:rPr>
          <w:rFonts w:ascii="Times New Roman" w:eastAsia="Times New Roman" w:hAnsi="Times New Roman" w:cs="Times New Roman"/>
          <w:color w:val="000000" w:themeColor="text1"/>
          <w:sz w:val="24"/>
          <w:szCs w:val="24"/>
          <w:lang w:val="es-ES" w:eastAsia="es-ES"/>
        </w:rPr>
        <w:t xml:space="preserve">El Consejo de Transporte Público, mediante el Artículo 7.1 de la Sesión Ordinaria 61-2022 del 19 de diciembre de 2022, conoce el informe CTP-AJ-OF-1594-2022 de 06 de diciembre de 2022, y </w:t>
      </w:r>
      <w:r w:rsidR="0028243D">
        <w:rPr>
          <w:rFonts w:ascii="Times New Roman" w:eastAsia="Times New Roman" w:hAnsi="Times New Roman" w:cs="Times New Roman"/>
          <w:color w:val="000000" w:themeColor="text1"/>
          <w:sz w:val="24"/>
          <w:szCs w:val="24"/>
          <w:lang w:val="es-ES" w:eastAsia="es-ES"/>
        </w:rPr>
        <w:t>acuerda lo s</w:t>
      </w:r>
      <w:r w:rsidRPr="00A4283E">
        <w:rPr>
          <w:rFonts w:ascii="Times New Roman" w:eastAsia="Times New Roman" w:hAnsi="Times New Roman" w:cs="Times New Roman"/>
          <w:color w:val="000000" w:themeColor="text1"/>
          <w:sz w:val="24"/>
          <w:szCs w:val="24"/>
          <w:lang w:val="es-ES" w:eastAsia="es-ES"/>
        </w:rPr>
        <w:t>iguiente:</w:t>
      </w:r>
    </w:p>
    <w:p w14:paraId="7ECF9C99" w14:textId="77777777" w:rsidR="005866FA" w:rsidRPr="00A4283E" w:rsidRDefault="005866FA" w:rsidP="005866FA">
      <w:pPr>
        <w:kinsoku w:val="0"/>
        <w:overflowPunct w:val="0"/>
        <w:spacing w:after="0" w:line="276" w:lineRule="auto"/>
        <w:jc w:val="both"/>
        <w:textAlignment w:val="baseline"/>
        <w:rPr>
          <w:rFonts w:ascii="Times New Roman" w:eastAsia="Times New Roman" w:hAnsi="Times New Roman" w:cs="Times New Roman"/>
          <w:color w:val="000000" w:themeColor="text1"/>
          <w:sz w:val="24"/>
          <w:szCs w:val="24"/>
          <w:lang w:val="es-ES" w:eastAsia="es-ES"/>
        </w:rPr>
      </w:pPr>
    </w:p>
    <w:p w14:paraId="5FD5412C" w14:textId="77777777" w:rsidR="0085472E" w:rsidRPr="0085472E" w:rsidRDefault="005866FA" w:rsidP="0085472E">
      <w:pPr>
        <w:kinsoku w:val="0"/>
        <w:overflowPunct w:val="0"/>
        <w:spacing w:after="0" w:line="240" w:lineRule="auto"/>
        <w:ind w:left="851" w:right="567" w:hanging="284"/>
        <w:jc w:val="both"/>
        <w:textAlignment w:val="baseline"/>
        <w:rPr>
          <w:rFonts w:ascii="Times New Roman" w:hAnsi="Times New Roman" w:cs="Times New Roman"/>
          <w:color w:val="000000" w:themeColor="text1"/>
        </w:rPr>
      </w:pPr>
      <w:r w:rsidRPr="0085472E">
        <w:rPr>
          <w:rFonts w:ascii="Times New Roman" w:hAnsi="Times New Roman" w:cs="Times New Roman"/>
          <w:color w:val="000000" w:themeColor="text1"/>
        </w:rPr>
        <w:t>“(…)</w:t>
      </w:r>
    </w:p>
    <w:p w14:paraId="6D03F38F" w14:textId="2CD6792E" w:rsidR="0085472E" w:rsidRPr="0028243D" w:rsidRDefault="0085472E" w:rsidP="0085472E">
      <w:pPr>
        <w:kinsoku w:val="0"/>
        <w:overflowPunct w:val="0"/>
        <w:spacing w:after="0" w:line="240" w:lineRule="auto"/>
        <w:ind w:left="851" w:right="567" w:hanging="284"/>
        <w:jc w:val="both"/>
        <w:textAlignment w:val="baseline"/>
        <w:rPr>
          <w:rFonts w:ascii="Times New Roman" w:hAnsi="Times New Roman" w:cs="Times New Roman"/>
          <w:b/>
          <w:bCs/>
          <w:color w:val="000000" w:themeColor="text1"/>
        </w:rPr>
      </w:pPr>
      <w:r w:rsidRPr="0028243D">
        <w:rPr>
          <w:rFonts w:ascii="Times New Roman" w:hAnsi="Times New Roman" w:cs="Times New Roman"/>
          <w:b/>
          <w:bCs/>
          <w:color w:val="000000" w:themeColor="text1"/>
        </w:rPr>
        <w:t>POR TANTO, SE ACUERDA:</w:t>
      </w:r>
    </w:p>
    <w:p w14:paraId="329515E3" w14:textId="77777777" w:rsidR="0085472E" w:rsidRPr="0085472E" w:rsidRDefault="0085472E" w:rsidP="0085472E">
      <w:pPr>
        <w:kinsoku w:val="0"/>
        <w:overflowPunct w:val="0"/>
        <w:spacing w:after="0" w:line="240" w:lineRule="auto"/>
        <w:ind w:left="851" w:right="567" w:hanging="284"/>
        <w:jc w:val="both"/>
        <w:textAlignment w:val="baseline"/>
        <w:rPr>
          <w:rFonts w:ascii="Times New Roman" w:hAnsi="Times New Roman" w:cs="Times New Roman"/>
          <w:color w:val="000000" w:themeColor="text1"/>
        </w:rPr>
      </w:pPr>
    </w:p>
    <w:p w14:paraId="30E07A35" w14:textId="431837D8" w:rsidR="0085472E" w:rsidRPr="0028243D" w:rsidRDefault="0085472E" w:rsidP="00CE584F">
      <w:pPr>
        <w:pStyle w:val="Prrafodelista"/>
        <w:numPr>
          <w:ilvl w:val="0"/>
          <w:numId w:val="25"/>
        </w:numPr>
        <w:kinsoku w:val="0"/>
        <w:overflowPunct w:val="0"/>
        <w:spacing w:after="0" w:line="240" w:lineRule="auto"/>
        <w:ind w:left="851" w:right="567" w:hanging="284"/>
        <w:contextualSpacing w:val="0"/>
        <w:jc w:val="both"/>
        <w:textAlignment w:val="baseline"/>
        <w:rPr>
          <w:rFonts w:ascii="Times New Roman" w:hAnsi="Times New Roman" w:cs="Times New Roman"/>
          <w:color w:val="000000" w:themeColor="text1"/>
        </w:rPr>
      </w:pPr>
      <w:r w:rsidRPr="0028243D">
        <w:rPr>
          <w:rFonts w:ascii="Times New Roman" w:hAnsi="Times New Roman" w:cs="Times New Roman"/>
          <w:color w:val="000000" w:themeColor="text1"/>
        </w:rPr>
        <w:t xml:space="preserve">Aprobar todas las recomendaciones contenidas en el oficio </w:t>
      </w:r>
      <w:r w:rsidRPr="0028243D">
        <w:rPr>
          <w:rFonts w:ascii="Times New Roman" w:hAnsi="Times New Roman" w:cs="Times New Roman"/>
          <w:b/>
          <w:bCs/>
          <w:color w:val="000000" w:themeColor="text1"/>
        </w:rPr>
        <w:t>CTP-AJ-OF-1594-2022</w:t>
      </w:r>
      <w:r w:rsidRPr="0028243D">
        <w:rPr>
          <w:rFonts w:ascii="Times New Roman" w:hAnsi="Times New Roman" w:cs="Times New Roman"/>
          <w:color w:val="000000" w:themeColor="text1"/>
        </w:rPr>
        <w:t>, el cual forma parte integral de este acuerdo.</w:t>
      </w:r>
    </w:p>
    <w:p w14:paraId="0A591BEA" w14:textId="0AC8B3B8" w:rsidR="0028243D" w:rsidRDefault="0085472E" w:rsidP="0006736B">
      <w:pPr>
        <w:pStyle w:val="Prrafodelista"/>
        <w:numPr>
          <w:ilvl w:val="0"/>
          <w:numId w:val="25"/>
        </w:numPr>
        <w:kinsoku w:val="0"/>
        <w:overflowPunct w:val="0"/>
        <w:spacing w:after="0" w:line="240" w:lineRule="auto"/>
        <w:ind w:left="851" w:right="567" w:hanging="284"/>
        <w:contextualSpacing w:val="0"/>
        <w:jc w:val="both"/>
        <w:textAlignment w:val="baseline"/>
        <w:rPr>
          <w:rFonts w:ascii="Times New Roman" w:hAnsi="Times New Roman" w:cs="Times New Roman"/>
          <w:color w:val="000000" w:themeColor="text1"/>
        </w:rPr>
      </w:pPr>
      <w:r w:rsidRPr="0028243D">
        <w:rPr>
          <w:rFonts w:ascii="Times New Roman" w:hAnsi="Times New Roman" w:cs="Times New Roman"/>
          <w:color w:val="000000" w:themeColor="text1"/>
        </w:rPr>
        <w:lastRenderedPageBreak/>
        <w:t>Rechazar el recurso de revocatoria, los incidentes de nulidad absoluta y</w:t>
      </w:r>
      <w:r w:rsidR="0028243D" w:rsidRPr="0028243D">
        <w:rPr>
          <w:rFonts w:ascii="Times New Roman" w:hAnsi="Times New Roman" w:cs="Times New Roman"/>
          <w:color w:val="000000" w:themeColor="text1"/>
        </w:rPr>
        <w:t xml:space="preserve"> </w:t>
      </w:r>
      <w:r w:rsidRPr="0028243D">
        <w:rPr>
          <w:rFonts w:ascii="Times New Roman" w:hAnsi="Times New Roman" w:cs="Times New Roman"/>
          <w:color w:val="000000" w:themeColor="text1"/>
        </w:rPr>
        <w:t>suspensión contra el artículo 3.4 de la sesión ordinaria 38- 2022, presentados por</w:t>
      </w:r>
      <w:r w:rsidR="0028243D" w:rsidRPr="0028243D">
        <w:rPr>
          <w:rFonts w:ascii="Times New Roman" w:hAnsi="Times New Roman" w:cs="Times New Roman"/>
          <w:color w:val="000000" w:themeColor="text1"/>
        </w:rPr>
        <w:t xml:space="preserve"> </w:t>
      </w:r>
      <w:r w:rsidRPr="0028243D">
        <w:rPr>
          <w:rFonts w:ascii="Times New Roman" w:hAnsi="Times New Roman" w:cs="Times New Roman"/>
          <w:color w:val="000000" w:themeColor="text1"/>
        </w:rPr>
        <w:t xml:space="preserve">el señor </w:t>
      </w:r>
      <w:r w:rsidR="00202196">
        <w:rPr>
          <w:rFonts w:ascii="Times New Roman" w:hAnsi="Times New Roman" w:cs="Times New Roman"/>
          <w:b/>
          <w:bCs/>
          <w:color w:val="000000" w:themeColor="text1"/>
        </w:rPr>
        <w:t>FCC</w:t>
      </w:r>
      <w:r w:rsidRPr="0028243D">
        <w:rPr>
          <w:rFonts w:ascii="Times New Roman" w:hAnsi="Times New Roman" w:cs="Times New Roman"/>
          <w:color w:val="000000" w:themeColor="text1"/>
        </w:rPr>
        <w:t>, por carecer de legitimación para</w:t>
      </w:r>
      <w:r w:rsidR="0028243D" w:rsidRPr="0028243D">
        <w:rPr>
          <w:rFonts w:ascii="Times New Roman" w:hAnsi="Times New Roman" w:cs="Times New Roman"/>
          <w:color w:val="000000" w:themeColor="text1"/>
        </w:rPr>
        <w:t xml:space="preserve"> </w:t>
      </w:r>
      <w:r w:rsidRPr="0028243D">
        <w:rPr>
          <w:rFonts w:ascii="Times New Roman" w:hAnsi="Times New Roman" w:cs="Times New Roman"/>
          <w:color w:val="000000" w:themeColor="text1"/>
        </w:rPr>
        <w:t>impugnar, resultando improcedente.</w:t>
      </w:r>
    </w:p>
    <w:p w14:paraId="5764B306" w14:textId="77777777" w:rsidR="0028243D" w:rsidRDefault="0085472E" w:rsidP="008A6A56">
      <w:pPr>
        <w:pStyle w:val="Prrafodelista"/>
        <w:numPr>
          <w:ilvl w:val="0"/>
          <w:numId w:val="25"/>
        </w:numPr>
        <w:kinsoku w:val="0"/>
        <w:overflowPunct w:val="0"/>
        <w:spacing w:after="0" w:line="240" w:lineRule="auto"/>
        <w:ind w:left="851" w:right="567" w:hanging="284"/>
        <w:contextualSpacing w:val="0"/>
        <w:jc w:val="both"/>
        <w:textAlignment w:val="baseline"/>
        <w:rPr>
          <w:rFonts w:ascii="Times New Roman" w:hAnsi="Times New Roman" w:cs="Times New Roman"/>
          <w:color w:val="000000" w:themeColor="text1"/>
        </w:rPr>
      </w:pPr>
      <w:r w:rsidRPr="0028243D">
        <w:rPr>
          <w:rFonts w:ascii="Times New Roman" w:hAnsi="Times New Roman" w:cs="Times New Roman"/>
          <w:color w:val="000000" w:themeColor="text1"/>
        </w:rPr>
        <w:t>Elevar el recurso de apelación al Tribunal Administrativo de Transporte, por ser</w:t>
      </w:r>
      <w:r w:rsidR="0028243D" w:rsidRPr="0028243D">
        <w:rPr>
          <w:rFonts w:ascii="Times New Roman" w:hAnsi="Times New Roman" w:cs="Times New Roman"/>
          <w:color w:val="000000" w:themeColor="text1"/>
        </w:rPr>
        <w:t xml:space="preserve"> </w:t>
      </w:r>
      <w:r w:rsidRPr="0028243D">
        <w:rPr>
          <w:rFonts w:ascii="Times New Roman" w:hAnsi="Times New Roman" w:cs="Times New Roman"/>
          <w:color w:val="000000" w:themeColor="text1"/>
        </w:rPr>
        <w:t>de su competencia.</w:t>
      </w:r>
      <w:r w:rsidR="0028243D" w:rsidRPr="0028243D">
        <w:rPr>
          <w:rFonts w:ascii="Times New Roman" w:hAnsi="Times New Roman" w:cs="Times New Roman"/>
          <w:color w:val="000000" w:themeColor="text1"/>
        </w:rPr>
        <w:t xml:space="preserve"> </w:t>
      </w:r>
    </w:p>
    <w:p w14:paraId="0CCA9394" w14:textId="4D8A32F8" w:rsidR="0028243D" w:rsidRPr="0028243D" w:rsidRDefault="0028243D" w:rsidP="0028243D">
      <w:pPr>
        <w:pStyle w:val="Prrafodelista"/>
        <w:numPr>
          <w:ilvl w:val="0"/>
          <w:numId w:val="25"/>
        </w:numPr>
        <w:kinsoku w:val="0"/>
        <w:overflowPunct w:val="0"/>
        <w:spacing w:after="0" w:line="240" w:lineRule="auto"/>
        <w:ind w:left="851" w:right="567" w:hanging="284"/>
        <w:contextualSpacing w:val="0"/>
        <w:jc w:val="both"/>
        <w:textAlignment w:val="baseline"/>
        <w:rPr>
          <w:rFonts w:ascii="Times New Roman" w:hAnsi="Times New Roman" w:cs="Times New Roman"/>
          <w:b/>
          <w:bCs/>
          <w:color w:val="000000" w:themeColor="text1"/>
        </w:rPr>
      </w:pPr>
      <w:r w:rsidRPr="0028243D">
        <w:rPr>
          <w:rFonts w:ascii="Times New Roman" w:hAnsi="Times New Roman" w:cs="Times New Roman"/>
          <w:color w:val="000000" w:themeColor="text1"/>
        </w:rPr>
        <w:t>N</w:t>
      </w:r>
      <w:r w:rsidR="0085472E" w:rsidRPr="0028243D">
        <w:rPr>
          <w:rFonts w:ascii="Times New Roman" w:hAnsi="Times New Roman" w:cs="Times New Roman"/>
          <w:color w:val="000000" w:themeColor="text1"/>
        </w:rPr>
        <w:t xml:space="preserve">otifíquese: </w:t>
      </w:r>
      <w:r w:rsidR="00202196">
        <w:rPr>
          <w:rFonts w:ascii="Times New Roman" w:hAnsi="Times New Roman" w:cs="Times New Roman"/>
          <w:color w:val="000000" w:themeColor="text1"/>
        </w:rPr>
        <w:t>FCC</w:t>
      </w:r>
      <w:r w:rsidR="0085472E" w:rsidRPr="0028243D">
        <w:rPr>
          <w:rFonts w:ascii="Times New Roman" w:hAnsi="Times New Roman" w:cs="Times New Roman"/>
          <w:color w:val="000000" w:themeColor="text1"/>
        </w:rPr>
        <w:t xml:space="preserve"> al correo </w:t>
      </w:r>
      <w:hyperlink r:id="rId10" w:history="1">
        <w:r w:rsidR="00202196" w:rsidRPr="00F06412">
          <w:rPr>
            <w:rStyle w:val="Hipervnculo"/>
            <w:rFonts w:ascii="Times New Roman" w:hAnsi="Times New Roman" w:cs="Times New Roman"/>
          </w:rPr>
          <w:t>000@gmail.com</w:t>
        </w:r>
      </w:hyperlink>
      <w:r w:rsidRPr="0028243D">
        <w:rPr>
          <w:rFonts w:ascii="Times New Roman" w:hAnsi="Times New Roman" w:cs="Times New Roman"/>
          <w:color w:val="000000" w:themeColor="text1"/>
        </w:rPr>
        <w:t xml:space="preserve"> </w:t>
      </w:r>
      <w:r w:rsidR="0085472E" w:rsidRPr="0028243D">
        <w:rPr>
          <w:rFonts w:ascii="Times New Roman" w:hAnsi="Times New Roman" w:cs="Times New Roman"/>
          <w:b/>
          <w:bCs/>
          <w:color w:val="000000" w:themeColor="text1"/>
        </w:rPr>
        <w:t>(ADJUNTAR COPIA DEL OFICIO CTP-AJ-OF-1594-2022)</w:t>
      </w:r>
      <w:r w:rsidR="0085472E" w:rsidRPr="0028243D">
        <w:rPr>
          <w:rFonts w:ascii="Times New Roman" w:hAnsi="Times New Roman" w:cs="Times New Roman"/>
          <w:color w:val="000000" w:themeColor="text1"/>
        </w:rPr>
        <w:t xml:space="preserve"> / Departamento de</w:t>
      </w:r>
      <w:r w:rsidRPr="0028243D">
        <w:rPr>
          <w:rFonts w:ascii="Times New Roman" w:hAnsi="Times New Roman" w:cs="Times New Roman"/>
          <w:color w:val="000000" w:themeColor="text1"/>
        </w:rPr>
        <w:t xml:space="preserve"> </w:t>
      </w:r>
      <w:r w:rsidR="0085472E" w:rsidRPr="0028243D">
        <w:rPr>
          <w:rFonts w:ascii="Times New Roman" w:hAnsi="Times New Roman" w:cs="Times New Roman"/>
          <w:color w:val="000000" w:themeColor="text1"/>
        </w:rPr>
        <w:t>Administración de Concesiones y Permisos a los correos prosales@ctp.go.cr</w:t>
      </w:r>
      <w:r w:rsidR="005433F1">
        <w:rPr>
          <w:rFonts w:ascii="Times New Roman" w:hAnsi="Times New Roman" w:cs="Times New Roman"/>
          <w:color w:val="000000" w:themeColor="text1"/>
        </w:rPr>
        <w:t xml:space="preserve"> </w:t>
      </w:r>
      <w:r w:rsidR="0085472E" w:rsidRPr="0028243D">
        <w:rPr>
          <w:rFonts w:ascii="Times New Roman" w:hAnsi="Times New Roman" w:cs="Times New Roman"/>
          <w:color w:val="000000" w:themeColor="text1"/>
        </w:rPr>
        <w:t xml:space="preserve"> y</w:t>
      </w:r>
      <w:r w:rsidRPr="0028243D">
        <w:rPr>
          <w:rFonts w:ascii="Times New Roman" w:hAnsi="Times New Roman" w:cs="Times New Roman"/>
          <w:color w:val="000000" w:themeColor="text1"/>
        </w:rPr>
        <w:t xml:space="preserve"> </w:t>
      </w:r>
      <w:hyperlink r:id="rId11" w:history="1">
        <w:r w:rsidR="005433F1" w:rsidRPr="00A548E4">
          <w:rPr>
            <w:rStyle w:val="Hipervnculo"/>
            <w:rFonts w:ascii="Times New Roman" w:hAnsi="Times New Roman" w:cs="Times New Roman"/>
          </w:rPr>
          <w:t>daguilarr@ctp.go.cr</w:t>
        </w:r>
      </w:hyperlink>
      <w:r w:rsidR="005433F1">
        <w:rPr>
          <w:rFonts w:ascii="Times New Roman" w:hAnsi="Times New Roman" w:cs="Times New Roman"/>
          <w:color w:val="000000" w:themeColor="text1"/>
        </w:rPr>
        <w:t xml:space="preserve"> </w:t>
      </w:r>
      <w:r w:rsidR="0085472E" w:rsidRPr="0028243D">
        <w:rPr>
          <w:rFonts w:ascii="Times New Roman" w:hAnsi="Times New Roman" w:cs="Times New Roman"/>
          <w:b/>
          <w:bCs/>
          <w:color w:val="000000" w:themeColor="text1"/>
        </w:rPr>
        <w:t>(ADJUNTAR COPIA DEL OFICIO CTP-AJ-OF-1594-2022)</w:t>
      </w:r>
      <w:r w:rsidR="0085472E" w:rsidRPr="0028243D">
        <w:rPr>
          <w:rFonts w:ascii="Times New Roman" w:hAnsi="Times New Roman" w:cs="Times New Roman"/>
          <w:color w:val="000000" w:themeColor="text1"/>
        </w:rPr>
        <w:t xml:space="preserve"> /</w:t>
      </w:r>
      <w:r w:rsidRPr="0028243D">
        <w:rPr>
          <w:rFonts w:ascii="Times New Roman" w:hAnsi="Times New Roman" w:cs="Times New Roman"/>
          <w:color w:val="000000" w:themeColor="text1"/>
        </w:rPr>
        <w:t xml:space="preserve"> </w:t>
      </w:r>
      <w:r w:rsidR="0085472E" w:rsidRPr="0028243D">
        <w:rPr>
          <w:rFonts w:ascii="Times New Roman" w:hAnsi="Times New Roman" w:cs="Times New Roman"/>
          <w:color w:val="000000" w:themeColor="text1"/>
        </w:rPr>
        <w:t xml:space="preserve">Departamento de Asuntos Jurídicos al correo </w:t>
      </w:r>
      <w:hyperlink r:id="rId12" w:history="1">
        <w:r w:rsidR="005433F1" w:rsidRPr="00A548E4">
          <w:rPr>
            <w:rStyle w:val="Hipervnculo"/>
            <w:rFonts w:ascii="Times New Roman" w:hAnsi="Times New Roman" w:cs="Times New Roman"/>
          </w:rPr>
          <w:t>jgonzalez@ctp.go.cr</w:t>
        </w:r>
      </w:hyperlink>
      <w:r w:rsidR="005433F1">
        <w:rPr>
          <w:rFonts w:ascii="Times New Roman" w:hAnsi="Times New Roman" w:cs="Times New Roman"/>
          <w:color w:val="000000" w:themeColor="text1"/>
        </w:rPr>
        <w:t xml:space="preserve"> </w:t>
      </w:r>
      <w:r w:rsidR="0085472E" w:rsidRPr="0028243D">
        <w:rPr>
          <w:rFonts w:ascii="Times New Roman" w:hAnsi="Times New Roman" w:cs="Times New Roman"/>
          <w:color w:val="000000" w:themeColor="text1"/>
        </w:rPr>
        <w:t>(ADJUNTAR</w:t>
      </w:r>
      <w:r w:rsidRPr="0028243D">
        <w:rPr>
          <w:rFonts w:ascii="Times New Roman" w:hAnsi="Times New Roman" w:cs="Times New Roman"/>
          <w:color w:val="000000" w:themeColor="text1"/>
        </w:rPr>
        <w:t xml:space="preserve"> </w:t>
      </w:r>
      <w:r w:rsidR="0085472E" w:rsidRPr="0028243D">
        <w:rPr>
          <w:rFonts w:ascii="Times New Roman" w:hAnsi="Times New Roman" w:cs="Times New Roman"/>
          <w:b/>
          <w:bCs/>
          <w:color w:val="000000" w:themeColor="text1"/>
        </w:rPr>
        <w:t>COPIA DEL OFICIO CTP-AJ-OF-1594-2022)</w:t>
      </w:r>
      <w:r w:rsidR="0085472E" w:rsidRPr="0028243D">
        <w:rPr>
          <w:rFonts w:ascii="Times New Roman" w:hAnsi="Times New Roman" w:cs="Times New Roman"/>
          <w:color w:val="000000" w:themeColor="text1"/>
        </w:rPr>
        <w:t xml:space="preserve"> / Tribunal Administrativo de</w:t>
      </w:r>
      <w:r w:rsidRPr="0028243D">
        <w:rPr>
          <w:rFonts w:ascii="Times New Roman" w:hAnsi="Times New Roman" w:cs="Times New Roman"/>
          <w:color w:val="000000" w:themeColor="text1"/>
        </w:rPr>
        <w:t xml:space="preserve"> </w:t>
      </w:r>
      <w:r w:rsidR="0085472E" w:rsidRPr="0028243D">
        <w:rPr>
          <w:rFonts w:ascii="Times New Roman" w:hAnsi="Times New Roman" w:cs="Times New Roman"/>
          <w:color w:val="000000" w:themeColor="text1"/>
        </w:rPr>
        <w:t xml:space="preserve">Transportes (adjuntar el expediente) </w:t>
      </w:r>
      <w:r w:rsidR="0085472E" w:rsidRPr="0028243D">
        <w:rPr>
          <w:rFonts w:ascii="Times New Roman" w:hAnsi="Times New Roman" w:cs="Times New Roman"/>
          <w:b/>
          <w:bCs/>
          <w:color w:val="000000" w:themeColor="text1"/>
        </w:rPr>
        <w:t>(ADJUNTAR COPIA DEL OFICIO CTP-AJ-OF-</w:t>
      </w:r>
      <w:r w:rsidRPr="0028243D">
        <w:rPr>
          <w:rFonts w:ascii="Times New Roman" w:hAnsi="Times New Roman" w:cs="Times New Roman"/>
          <w:b/>
          <w:bCs/>
          <w:color w:val="000000" w:themeColor="text1"/>
        </w:rPr>
        <w:t xml:space="preserve"> </w:t>
      </w:r>
      <w:r w:rsidR="0085472E" w:rsidRPr="0028243D">
        <w:rPr>
          <w:rFonts w:ascii="Times New Roman" w:hAnsi="Times New Roman" w:cs="Times New Roman"/>
          <w:b/>
          <w:bCs/>
          <w:color w:val="000000" w:themeColor="text1"/>
        </w:rPr>
        <w:t>1594-2022).</w:t>
      </w:r>
    </w:p>
    <w:p w14:paraId="5024B1F5" w14:textId="5E30AF86" w:rsidR="005866FA" w:rsidRPr="0028243D" w:rsidRDefault="0085472E" w:rsidP="0028243D">
      <w:pPr>
        <w:pStyle w:val="Prrafodelista"/>
        <w:numPr>
          <w:ilvl w:val="0"/>
          <w:numId w:val="25"/>
        </w:numPr>
        <w:kinsoku w:val="0"/>
        <w:overflowPunct w:val="0"/>
        <w:spacing w:after="0" w:line="240" w:lineRule="auto"/>
        <w:ind w:left="851" w:right="567" w:hanging="284"/>
        <w:contextualSpacing w:val="0"/>
        <w:jc w:val="both"/>
        <w:textAlignment w:val="baseline"/>
        <w:rPr>
          <w:rFonts w:ascii="Times New Roman" w:hAnsi="Times New Roman" w:cs="Times New Roman"/>
          <w:color w:val="000000" w:themeColor="text1"/>
        </w:rPr>
      </w:pPr>
      <w:r w:rsidRPr="0028243D">
        <w:rPr>
          <w:rFonts w:ascii="Times New Roman" w:hAnsi="Times New Roman" w:cs="Times New Roman"/>
          <w:b/>
          <w:bCs/>
          <w:color w:val="000000" w:themeColor="text1"/>
        </w:rPr>
        <w:t>Se declara firme</w:t>
      </w:r>
      <w:r w:rsidR="005866FA" w:rsidRPr="0028243D">
        <w:rPr>
          <w:rFonts w:ascii="Times New Roman" w:hAnsi="Times New Roman" w:cs="Times New Roman"/>
          <w:color w:val="000000" w:themeColor="text1"/>
          <w:sz w:val="20"/>
          <w:szCs w:val="20"/>
        </w:rPr>
        <w:t xml:space="preserve"> (…)” (Léase el folio 109 del expediente administrativo TAT-002-23)</w:t>
      </w:r>
    </w:p>
    <w:p w14:paraId="645D7657" w14:textId="77777777" w:rsidR="0028243D" w:rsidRPr="0028243D" w:rsidRDefault="0028243D" w:rsidP="0028243D">
      <w:pPr>
        <w:pStyle w:val="Prrafodelista"/>
        <w:kinsoku w:val="0"/>
        <w:overflowPunct w:val="0"/>
        <w:spacing w:after="0" w:line="240" w:lineRule="auto"/>
        <w:ind w:left="567" w:right="567"/>
        <w:contextualSpacing w:val="0"/>
        <w:jc w:val="both"/>
        <w:textAlignment w:val="baseline"/>
        <w:rPr>
          <w:rFonts w:ascii="Times New Roman" w:hAnsi="Times New Roman" w:cs="Times New Roman"/>
          <w:color w:val="000000" w:themeColor="text1"/>
          <w:sz w:val="20"/>
          <w:szCs w:val="20"/>
        </w:rPr>
      </w:pPr>
    </w:p>
    <w:p w14:paraId="2ACBEEDA" w14:textId="07171581" w:rsidR="005866FA" w:rsidRPr="00A4283E" w:rsidRDefault="005866FA" w:rsidP="005866FA">
      <w:pPr>
        <w:kinsoku w:val="0"/>
        <w:overflowPunct w:val="0"/>
        <w:spacing w:after="0" w:line="276" w:lineRule="auto"/>
        <w:ind w:right="567"/>
        <w:jc w:val="both"/>
        <w:textAlignment w:val="baseline"/>
        <w:rPr>
          <w:rFonts w:ascii="Times New Roman" w:eastAsia="Times New Roman" w:hAnsi="Times New Roman" w:cs="Times New Roman"/>
          <w:color w:val="000000" w:themeColor="text1"/>
          <w:sz w:val="24"/>
          <w:szCs w:val="24"/>
          <w:lang w:val="es-ES" w:eastAsia="es-ES"/>
        </w:rPr>
      </w:pPr>
      <w:r w:rsidRPr="00A4283E">
        <w:rPr>
          <w:rFonts w:ascii="Times New Roman" w:eastAsia="Times New Roman" w:hAnsi="Times New Roman" w:cs="Times New Roman"/>
          <w:color w:val="000000" w:themeColor="text1"/>
          <w:sz w:val="24"/>
          <w:szCs w:val="24"/>
          <w:lang w:val="es-ES" w:eastAsia="es-ES"/>
        </w:rPr>
        <w:t xml:space="preserve">En virtud de lo anterior, la Junta Directiva del Consejo de Transporte Público, acuerda aprobar todas las recomendaciones contenidas en el oficio CTP-AJ-OF-1594- 2022, rechazar el recurso de revocatoria, los incidentes de nulidad absoluta y suspensión contra el Artículo 3.4 de la Sesión Ordinaria 38- 2022, presentados por el señor </w:t>
      </w:r>
      <w:r w:rsidR="00202196">
        <w:rPr>
          <w:rFonts w:ascii="Times New Roman" w:eastAsia="Times New Roman" w:hAnsi="Times New Roman" w:cs="Times New Roman"/>
          <w:b/>
          <w:bCs/>
          <w:color w:val="000000" w:themeColor="text1"/>
          <w:sz w:val="24"/>
          <w:szCs w:val="24"/>
          <w:lang w:val="es-ES" w:eastAsia="es-ES"/>
        </w:rPr>
        <w:t>FCC</w:t>
      </w:r>
      <w:r w:rsidRPr="00A4283E">
        <w:rPr>
          <w:rFonts w:ascii="Times New Roman" w:eastAsia="Times New Roman" w:hAnsi="Times New Roman" w:cs="Times New Roman"/>
          <w:color w:val="000000" w:themeColor="text1"/>
          <w:sz w:val="24"/>
          <w:szCs w:val="24"/>
          <w:lang w:val="es-ES" w:eastAsia="es-ES"/>
        </w:rPr>
        <w:t>, por carecer de legitimación para impugnar, resultando improcedente y elevar el recurso de apelación al Tribunal Administrativo de Transporte.</w:t>
      </w:r>
      <w:r w:rsidRPr="00A4283E">
        <w:rPr>
          <w:rFonts w:ascii="Times New Roman" w:hAnsi="Times New Roman" w:cs="Times New Roman"/>
          <w:color w:val="000000" w:themeColor="text1"/>
          <w:sz w:val="20"/>
          <w:szCs w:val="20"/>
        </w:rPr>
        <w:t>(Léase el folio 109 del expediente administrativo TAT-002-23)</w:t>
      </w:r>
    </w:p>
    <w:p w14:paraId="6C96FBC8" w14:textId="77777777" w:rsidR="005866FA" w:rsidRPr="00A4283E" w:rsidRDefault="005866FA" w:rsidP="005866FA">
      <w:pPr>
        <w:kinsoku w:val="0"/>
        <w:overflowPunct w:val="0"/>
        <w:spacing w:after="0" w:line="276" w:lineRule="auto"/>
        <w:jc w:val="both"/>
        <w:textAlignment w:val="baseline"/>
        <w:rPr>
          <w:rFonts w:ascii="Times New Roman" w:eastAsia="Times New Roman" w:hAnsi="Times New Roman" w:cs="Times New Roman"/>
          <w:b/>
          <w:bCs/>
          <w:color w:val="000000" w:themeColor="text1"/>
          <w:sz w:val="24"/>
          <w:szCs w:val="24"/>
          <w:lang w:val="es-ES" w:eastAsia="es-ES"/>
        </w:rPr>
      </w:pPr>
      <w:bookmarkStart w:id="1" w:name="_Hlk116294379"/>
      <w:bookmarkStart w:id="2" w:name="_Hlk116299851"/>
    </w:p>
    <w:p w14:paraId="774618A5" w14:textId="77777777" w:rsidR="005866FA" w:rsidRPr="00A4283E" w:rsidRDefault="005866FA" w:rsidP="005866FA">
      <w:pPr>
        <w:shd w:val="clear" w:color="auto" w:fill="FFFFFF"/>
        <w:spacing w:after="0" w:line="276" w:lineRule="auto"/>
        <w:jc w:val="both"/>
        <w:rPr>
          <w:rFonts w:ascii="Times New Roman" w:eastAsia="SimSun" w:hAnsi="Times New Roman" w:cs="Times New Roman"/>
          <w:color w:val="000000" w:themeColor="text1"/>
          <w:sz w:val="24"/>
          <w:szCs w:val="24"/>
          <w:lang w:eastAsia="es-CR"/>
        </w:rPr>
      </w:pPr>
      <w:r w:rsidRPr="00A4283E">
        <w:rPr>
          <w:rFonts w:ascii="Times New Roman" w:eastAsia="SimSun" w:hAnsi="Times New Roman" w:cs="Times New Roman"/>
          <w:color w:val="000000" w:themeColor="text1"/>
          <w:sz w:val="24"/>
          <w:szCs w:val="24"/>
          <w:lang w:eastAsia="es-CR"/>
        </w:rPr>
        <w:t xml:space="preserve">El acuerdo fue notificado al interesado el </w:t>
      </w:r>
      <w:r w:rsidRPr="00A4283E">
        <w:rPr>
          <w:rFonts w:ascii="Times New Roman" w:eastAsia="SimSun" w:hAnsi="Times New Roman" w:cs="Times New Roman"/>
          <w:b/>
          <w:bCs/>
          <w:color w:val="000000" w:themeColor="text1"/>
          <w:sz w:val="24"/>
          <w:szCs w:val="24"/>
          <w:lang w:eastAsia="es-CR"/>
        </w:rPr>
        <w:t>13 de enero de 2023</w:t>
      </w:r>
      <w:r w:rsidRPr="00A4283E">
        <w:rPr>
          <w:rFonts w:ascii="Times New Roman" w:eastAsia="SimSun" w:hAnsi="Times New Roman" w:cs="Times New Roman"/>
          <w:color w:val="000000" w:themeColor="text1"/>
          <w:sz w:val="24"/>
          <w:szCs w:val="24"/>
          <w:lang w:eastAsia="es-CR"/>
        </w:rPr>
        <w:t>, vía correo electrónico. (Léase el folio 110 del expediente TAT-002-23)</w:t>
      </w:r>
    </w:p>
    <w:p w14:paraId="572C6ED9" w14:textId="77777777" w:rsidR="005866FA" w:rsidRPr="00A4283E" w:rsidRDefault="005866FA" w:rsidP="005866FA">
      <w:pPr>
        <w:kinsoku w:val="0"/>
        <w:overflowPunct w:val="0"/>
        <w:spacing w:after="0" w:line="276" w:lineRule="auto"/>
        <w:jc w:val="both"/>
        <w:textAlignment w:val="baseline"/>
        <w:rPr>
          <w:rFonts w:ascii="Times New Roman" w:eastAsia="Times New Roman" w:hAnsi="Times New Roman" w:cs="Times New Roman"/>
          <w:b/>
          <w:bCs/>
          <w:color w:val="000000" w:themeColor="text1"/>
          <w:sz w:val="24"/>
          <w:szCs w:val="24"/>
          <w:lang w:val="es-ES" w:eastAsia="es-ES"/>
        </w:rPr>
      </w:pPr>
    </w:p>
    <w:p w14:paraId="5EA54CE1" w14:textId="62027F9D" w:rsidR="005866FA" w:rsidRPr="00A4283E" w:rsidRDefault="005866FA" w:rsidP="005866FA">
      <w:pPr>
        <w:kinsoku w:val="0"/>
        <w:overflowPunct w:val="0"/>
        <w:spacing w:after="0" w:line="276" w:lineRule="auto"/>
        <w:jc w:val="both"/>
        <w:textAlignment w:val="baseline"/>
        <w:rPr>
          <w:rFonts w:ascii="Times New Roman" w:eastAsia="Times New Roman" w:hAnsi="Times New Roman" w:cs="Times New Roman"/>
          <w:color w:val="000000" w:themeColor="text1"/>
          <w:sz w:val="24"/>
          <w:szCs w:val="24"/>
          <w:lang w:val="es-ES" w:eastAsia="es-MX"/>
        </w:rPr>
      </w:pPr>
      <w:r w:rsidRPr="00A4283E">
        <w:rPr>
          <w:rFonts w:ascii="Times New Roman" w:eastAsia="Times New Roman" w:hAnsi="Times New Roman" w:cs="Times New Roman"/>
          <w:b/>
          <w:bCs/>
          <w:color w:val="000000" w:themeColor="text1"/>
          <w:sz w:val="24"/>
          <w:szCs w:val="24"/>
          <w:lang w:val="es-ES" w:eastAsia="es-ES"/>
        </w:rPr>
        <w:t>CUARTO:</w:t>
      </w:r>
      <w:r w:rsidRPr="00A4283E">
        <w:rPr>
          <w:rFonts w:ascii="Times New Roman" w:eastAsia="Times New Roman" w:hAnsi="Times New Roman" w:cs="Times New Roman"/>
          <w:b/>
          <w:bCs/>
          <w:color w:val="000000" w:themeColor="text1"/>
          <w:sz w:val="24"/>
          <w:szCs w:val="24"/>
          <w:lang w:val="es-ES" w:eastAsia="es-ES"/>
        </w:rPr>
        <w:tab/>
      </w:r>
      <w:r w:rsidRPr="00A4283E">
        <w:rPr>
          <w:rFonts w:ascii="Times New Roman" w:eastAsia="Times New Roman" w:hAnsi="Times New Roman" w:cs="Times New Roman"/>
          <w:color w:val="000000" w:themeColor="text1"/>
          <w:sz w:val="24"/>
          <w:szCs w:val="24"/>
          <w:lang w:val="es-ES" w:eastAsia="es-ES"/>
        </w:rPr>
        <w:t xml:space="preserve">El </w:t>
      </w:r>
      <w:r w:rsidRPr="00A4283E">
        <w:rPr>
          <w:rFonts w:ascii="Times New Roman" w:eastAsia="Times New Roman" w:hAnsi="Times New Roman" w:cs="Times New Roman"/>
          <w:b/>
          <w:bCs/>
          <w:color w:val="000000" w:themeColor="text1"/>
          <w:sz w:val="24"/>
          <w:szCs w:val="24"/>
          <w:lang w:val="es-ES" w:eastAsia="es-MX"/>
        </w:rPr>
        <w:t>17 de enero de 2023</w:t>
      </w:r>
      <w:r w:rsidRPr="00A4283E">
        <w:rPr>
          <w:rFonts w:ascii="Times New Roman" w:eastAsia="Times New Roman" w:hAnsi="Times New Roman" w:cs="Times New Roman"/>
          <w:color w:val="000000" w:themeColor="text1"/>
          <w:sz w:val="24"/>
          <w:szCs w:val="24"/>
          <w:lang w:val="es-ES" w:eastAsia="es-MX"/>
        </w:rPr>
        <w:t xml:space="preserve">, el señor </w:t>
      </w:r>
      <w:r w:rsidRPr="00A4283E">
        <w:rPr>
          <w:rFonts w:ascii="Times New Roman" w:hAnsi="Times New Roman" w:cs="Times New Roman"/>
          <w:color w:val="000000" w:themeColor="text1"/>
          <w:sz w:val="24"/>
          <w:szCs w:val="24"/>
        </w:rPr>
        <w:t xml:space="preserve">por </w:t>
      </w:r>
      <w:r w:rsidR="00202196">
        <w:rPr>
          <w:rFonts w:ascii="Times New Roman" w:hAnsi="Times New Roman" w:cs="Times New Roman"/>
          <w:b/>
          <w:color w:val="000000" w:themeColor="text1"/>
          <w:sz w:val="24"/>
          <w:szCs w:val="24"/>
        </w:rPr>
        <w:t>FACC</w:t>
      </w:r>
      <w:r w:rsidRPr="00A4283E">
        <w:rPr>
          <w:rFonts w:ascii="Times New Roman" w:hAnsi="Times New Roman" w:cs="Times New Roman"/>
          <w:smallCaps/>
          <w:color w:val="000000" w:themeColor="text1"/>
          <w:sz w:val="24"/>
          <w:szCs w:val="24"/>
        </w:rPr>
        <w:t>,</w:t>
      </w:r>
      <w:r w:rsidRPr="00A4283E">
        <w:rPr>
          <w:rFonts w:ascii="Times New Roman" w:hAnsi="Times New Roman" w:cs="Times New Roman"/>
          <w:b/>
          <w:smallCaps/>
          <w:color w:val="000000" w:themeColor="text1"/>
          <w:sz w:val="24"/>
          <w:szCs w:val="24"/>
        </w:rPr>
        <w:t xml:space="preserve"> </w:t>
      </w:r>
      <w:r w:rsidRPr="00A4283E">
        <w:rPr>
          <w:rFonts w:ascii="Times New Roman" w:hAnsi="Times New Roman" w:cs="Times New Roman"/>
          <w:color w:val="000000" w:themeColor="text1"/>
          <w:sz w:val="24"/>
          <w:szCs w:val="24"/>
        </w:rPr>
        <w:t xml:space="preserve">presenta ante el Tribunal Administrativo de Transporte, </w:t>
      </w:r>
      <w:r w:rsidRPr="00A4283E">
        <w:rPr>
          <w:rFonts w:ascii="Times New Roman" w:hAnsi="Times New Roman" w:cs="Times New Roman"/>
          <w:b/>
          <w:smallCaps/>
          <w:color w:val="000000" w:themeColor="text1"/>
          <w:sz w:val="24"/>
          <w:szCs w:val="24"/>
        </w:rPr>
        <w:t>ampliación de alegatos al recurso de apelación en subsidio e incidentes previos de nulidad y suspensión de efectos del acto</w:t>
      </w:r>
      <w:r w:rsidRPr="00A4283E">
        <w:rPr>
          <w:rFonts w:ascii="Times New Roman" w:hAnsi="Times New Roman" w:cs="Times New Roman"/>
          <w:color w:val="000000" w:themeColor="text1"/>
          <w:sz w:val="24"/>
          <w:szCs w:val="24"/>
        </w:rPr>
        <w:t xml:space="preserve">, en contra del </w:t>
      </w:r>
      <w:r w:rsidRPr="00A4283E">
        <w:rPr>
          <w:rFonts w:ascii="Times New Roman" w:hAnsi="Times New Roman" w:cs="Times New Roman"/>
          <w:b/>
          <w:color w:val="000000" w:themeColor="text1"/>
          <w:sz w:val="24"/>
          <w:szCs w:val="24"/>
        </w:rPr>
        <w:t>Artículo 3.4 de la Sesión Ordinaria 38-2022 de 31 de agosto de 2022</w:t>
      </w:r>
      <w:r w:rsidRPr="00A4283E">
        <w:rPr>
          <w:rFonts w:ascii="Times New Roman" w:hAnsi="Times New Roman" w:cs="Times New Roman"/>
          <w:color w:val="000000" w:themeColor="text1"/>
          <w:sz w:val="24"/>
          <w:szCs w:val="24"/>
        </w:rPr>
        <w:t>, adoptado por la Junta Directiva del Consejo de Transporte,</w:t>
      </w:r>
      <w:r w:rsidRPr="00A4283E">
        <w:rPr>
          <w:rFonts w:ascii="Times New Roman" w:eastAsia="Times New Roman" w:hAnsi="Times New Roman" w:cs="Times New Roman"/>
          <w:color w:val="000000" w:themeColor="text1"/>
          <w:sz w:val="24"/>
          <w:szCs w:val="24"/>
          <w:lang w:val="es-ES" w:eastAsia="es-MX"/>
        </w:rPr>
        <w:t xml:space="preserve"> reiterando también los alegatos del recurso y ampliando su recurso al introducir la mención de algunos hechos relacionados con su gestión de anulación del permiso otorgado por la Municipalidad de Puntarenas, el amparo de legalidad por falta de respuesta del ente territorial, así como la indicación de la existencia de una medida cautelar de suspensión de la construcción de la Terminal, dictada a las 19:14 horas del veinte de julio del año 2021 por el Juez Orozco Solano del Tribunal Contencioso Administrativo.</w:t>
      </w:r>
    </w:p>
    <w:p w14:paraId="0683299C" w14:textId="77777777" w:rsidR="005866FA" w:rsidRPr="00A4283E" w:rsidRDefault="005866FA" w:rsidP="005866FA">
      <w:pPr>
        <w:kinsoku w:val="0"/>
        <w:overflowPunct w:val="0"/>
        <w:spacing w:after="0" w:line="276" w:lineRule="auto"/>
        <w:jc w:val="both"/>
        <w:textAlignment w:val="baseline"/>
        <w:rPr>
          <w:rFonts w:ascii="Times New Roman" w:eastAsia="Times New Roman" w:hAnsi="Times New Roman" w:cs="Times New Roman"/>
          <w:color w:val="000000" w:themeColor="text1"/>
          <w:sz w:val="24"/>
          <w:szCs w:val="24"/>
          <w:lang w:val="es-ES" w:eastAsia="es-MX"/>
        </w:rPr>
      </w:pPr>
    </w:p>
    <w:p w14:paraId="70DFFF4A" w14:textId="77777777" w:rsidR="005866FA" w:rsidRPr="00A4283E" w:rsidRDefault="005866FA" w:rsidP="005866FA">
      <w:pPr>
        <w:kinsoku w:val="0"/>
        <w:overflowPunct w:val="0"/>
        <w:spacing w:after="0" w:line="276" w:lineRule="auto"/>
        <w:jc w:val="both"/>
        <w:textAlignment w:val="baseline"/>
        <w:rPr>
          <w:rFonts w:ascii="Times New Roman" w:eastAsia="Times New Roman" w:hAnsi="Times New Roman" w:cs="Times New Roman"/>
          <w:color w:val="000000" w:themeColor="text1"/>
          <w:sz w:val="24"/>
          <w:szCs w:val="24"/>
          <w:lang w:val="es-ES" w:eastAsia="es-ES"/>
        </w:rPr>
      </w:pPr>
      <w:r w:rsidRPr="00A4283E">
        <w:rPr>
          <w:rFonts w:ascii="Times New Roman" w:eastAsia="Times New Roman" w:hAnsi="Times New Roman" w:cs="Times New Roman"/>
          <w:color w:val="000000" w:themeColor="text1"/>
          <w:sz w:val="24"/>
          <w:szCs w:val="24"/>
          <w:lang w:val="es-ES" w:eastAsia="es-MX"/>
        </w:rPr>
        <w:t xml:space="preserve">Amplia también sus alegatos en cuanto al acuerdo contenido en el </w:t>
      </w:r>
      <w:r w:rsidRPr="00A4283E">
        <w:rPr>
          <w:rFonts w:ascii="Times New Roman" w:hAnsi="Times New Roman" w:cs="Times New Roman"/>
          <w:b/>
          <w:color w:val="000000" w:themeColor="text1"/>
          <w:sz w:val="24"/>
          <w:szCs w:val="24"/>
        </w:rPr>
        <w:t>Artículo 7.1 de la Sesión Ordinaria 61-2022 de 19 de diciembre de 2022</w:t>
      </w:r>
      <w:r w:rsidRPr="00A4283E">
        <w:rPr>
          <w:rFonts w:ascii="Times New Roman" w:hAnsi="Times New Roman" w:cs="Times New Roman"/>
          <w:color w:val="000000" w:themeColor="text1"/>
          <w:sz w:val="24"/>
          <w:szCs w:val="24"/>
        </w:rPr>
        <w:t>, adoptado por la Junta Directiva del Consejo de Transporte, en la cual el Consejo rechaza su recurso de revocatoria por falta de legitimación activa, a pesar de que estima el apersonamiento y la presentación de escritos lo legitiman para ello.</w:t>
      </w:r>
    </w:p>
    <w:p w14:paraId="5C51ADDF" w14:textId="77777777" w:rsidR="005866FA" w:rsidRPr="00A4283E" w:rsidRDefault="005866FA" w:rsidP="005866FA">
      <w:pPr>
        <w:kinsoku w:val="0"/>
        <w:overflowPunct w:val="0"/>
        <w:spacing w:after="0" w:line="276" w:lineRule="auto"/>
        <w:jc w:val="both"/>
        <w:textAlignment w:val="baseline"/>
        <w:rPr>
          <w:rFonts w:ascii="Times New Roman" w:eastAsia="Times New Roman" w:hAnsi="Times New Roman" w:cs="Times New Roman"/>
          <w:color w:val="000000" w:themeColor="text1"/>
          <w:sz w:val="24"/>
          <w:szCs w:val="24"/>
          <w:lang w:val="es-ES" w:eastAsia="es-ES"/>
        </w:rPr>
      </w:pPr>
    </w:p>
    <w:p w14:paraId="448824BF" w14:textId="13B3F555" w:rsidR="005866FA" w:rsidRPr="00A4283E" w:rsidRDefault="005866FA" w:rsidP="005866FA">
      <w:pPr>
        <w:kinsoku w:val="0"/>
        <w:overflowPunct w:val="0"/>
        <w:spacing w:after="0" w:line="276" w:lineRule="auto"/>
        <w:jc w:val="both"/>
        <w:textAlignment w:val="baseline"/>
        <w:rPr>
          <w:rFonts w:ascii="Times New Roman" w:eastAsia="Times New Roman" w:hAnsi="Times New Roman" w:cs="Times New Roman"/>
          <w:color w:val="000000" w:themeColor="text1"/>
          <w:sz w:val="24"/>
          <w:szCs w:val="24"/>
          <w:lang w:val="es-ES" w:eastAsia="es-ES"/>
        </w:rPr>
      </w:pPr>
      <w:r w:rsidRPr="00A4283E">
        <w:rPr>
          <w:rFonts w:ascii="Times New Roman" w:eastAsia="Times New Roman" w:hAnsi="Times New Roman" w:cs="Times New Roman"/>
          <w:color w:val="000000" w:themeColor="text1"/>
          <w:sz w:val="24"/>
          <w:szCs w:val="24"/>
          <w:lang w:val="es-ES" w:eastAsia="es-ES"/>
        </w:rPr>
        <w:lastRenderedPageBreak/>
        <w:t xml:space="preserve">Refiere también que, en el artículo de cita, existía una </w:t>
      </w:r>
      <w:r w:rsidR="008D136C" w:rsidRPr="00A4283E">
        <w:rPr>
          <w:rFonts w:ascii="Times New Roman" w:eastAsia="Times New Roman" w:hAnsi="Times New Roman" w:cs="Times New Roman"/>
          <w:color w:val="000000" w:themeColor="text1"/>
          <w:sz w:val="24"/>
          <w:szCs w:val="24"/>
          <w:lang w:val="es-ES" w:eastAsia="es-ES"/>
        </w:rPr>
        <w:t>cláusula</w:t>
      </w:r>
      <w:r w:rsidRPr="00A4283E">
        <w:rPr>
          <w:rFonts w:ascii="Times New Roman" w:eastAsia="Times New Roman" w:hAnsi="Times New Roman" w:cs="Times New Roman"/>
          <w:color w:val="000000" w:themeColor="text1"/>
          <w:sz w:val="24"/>
          <w:szCs w:val="24"/>
          <w:lang w:val="es-ES" w:eastAsia="es-ES"/>
        </w:rPr>
        <w:t xml:space="preserve"> suspensiva en relación con la autorización final de la parada, ya que a la fecha no hay permiso para esa actividad. Señala que no hay permiso de Salud como terminal por ser de Oficina Turística y una Soda, como tampoco se le ha dado patente comercial, por parte de la Municipalidad para una parada terminal, ni cuenta con el requisito de viabilidad ambiental.</w:t>
      </w:r>
    </w:p>
    <w:p w14:paraId="35F679F8" w14:textId="77777777" w:rsidR="005866FA" w:rsidRPr="00A4283E" w:rsidRDefault="005866FA" w:rsidP="005866FA">
      <w:pPr>
        <w:kinsoku w:val="0"/>
        <w:overflowPunct w:val="0"/>
        <w:spacing w:after="0" w:line="276" w:lineRule="auto"/>
        <w:jc w:val="both"/>
        <w:textAlignment w:val="baseline"/>
        <w:rPr>
          <w:rFonts w:ascii="Times New Roman" w:eastAsia="Times New Roman" w:hAnsi="Times New Roman" w:cs="Times New Roman"/>
          <w:color w:val="000000" w:themeColor="text1"/>
          <w:sz w:val="24"/>
          <w:szCs w:val="24"/>
          <w:lang w:val="es-ES" w:eastAsia="es-ES"/>
        </w:rPr>
      </w:pPr>
    </w:p>
    <w:p w14:paraId="4BB1FCFA" w14:textId="77777777" w:rsidR="005866FA" w:rsidRPr="00A4283E" w:rsidRDefault="005866FA" w:rsidP="005866FA">
      <w:pPr>
        <w:kinsoku w:val="0"/>
        <w:overflowPunct w:val="0"/>
        <w:spacing w:after="0" w:line="276" w:lineRule="auto"/>
        <w:jc w:val="both"/>
        <w:textAlignment w:val="baseline"/>
        <w:rPr>
          <w:rFonts w:ascii="Times New Roman" w:eastAsia="Times New Roman" w:hAnsi="Times New Roman" w:cs="Times New Roman"/>
          <w:color w:val="000000" w:themeColor="text1"/>
          <w:sz w:val="24"/>
          <w:szCs w:val="24"/>
          <w:lang w:val="es-ES" w:eastAsia="es-ES"/>
        </w:rPr>
      </w:pPr>
      <w:r w:rsidRPr="00A4283E">
        <w:rPr>
          <w:rFonts w:ascii="Times New Roman" w:eastAsia="Times New Roman" w:hAnsi="Times New Roman" w:cs="Times New Roman"/>
          <w:color w:val="000000" w:themeColor="text1"/>
          <w:sz w:val="24"/>
          <w:szCs w:val="24"/>
          <w:lang w:val="es-ES" w:eastAsia="es-ES"/>
        </w:rPr>
        <w:t>Solicita se pida al Departamento de Auditoría Interna el informe No. CTP-AI-OF-0100-2021, que no le fue notificado y declarado confidencial, se le entregue las resultas del proceso de auditoría generado por su denuncia interpuesta. (Léanse los folios del 1 al 16 del expediente administrativo TAT-002-23)</w:t>
      </w:r>
    </w:p>
    <w:p w14:paraId="0642F384" w14:textId="77777777" w:rsidR="005866FA" w:rsidRPr="00A4283E" w:rsidRDefault="005866FA" w:rsidP="005866FA">
      <w:pPr>
        <w:kinsoku w:val="0"/>
        <w:overflowPunct w:val="0"/>
        <w:spacing w:after="0" w:line="276" w:lineRule="auto"/>
        <w:jc w:val="both"/>
        <w:textAlignment w:val="baseline"/>
        <w:rPr>
          <w:rFonts w:ascii="Times New Roman" w:eastAsia="Times New Roman" w:hAnsi="Times New Roman" w:cs="Times New Roman"/>
          <w:color w:val="000000" w:themeColor="text1"/>
          <w:sz w:val="24"/>
          <w:szCs w:val="24"/>
          <w:lang w:val="es-ES" w:eastAsia="es-ES"/>
        </w:rPr>
      </w:pPr>
    </w:p>
    <w:p w14:paraId="5184C99F" w14:textId="4E52096D" w:rsidR="005866FA" w:rsidRPr="00A4283E" w:rsidRDefault="005866FA" w:rsidP="005866FA">
      <w:pPr>
        <w:kinsoku w:val="0"/>
        <w:overflowPunct w:val="0"/>
        <w:spacing w:after="0" w:line="276" w:lineRule="auto"/>
        <w:jc w:val="both"/>
        <w:textAlignment w:val="baseline"/>
        <w:rPr>
          <w:rFonts w:ascii="Times New Roman" w:eastAsia="Times New Roman" w:hAnsi="Times New Roman" w:cs="Times New Roman"/>
          <w:color w:val="000000" w:themeColor="text1"/>
          <w:sz w:val="24"/>
          <w:szCs w:val="24"/>
          <w:lang w:val="es-ES" w:eastAsia="es-ES"/>
        </w:rPr>
      </w:pPr>
      <w:r w:rsidRPr="00A4283E">
        <w:rPr>
          <w:rFonts w:ascii="Times New Roman" w:eastAsia="Times New Roman" w:hAnsi="Times New Roman" w:cs="Times New Roman"/>
          <w:b/>
          <w:bCs/>
          <w:color w:val="000000" w:themeColor="text1"/>
          <w:sz w:val="24"/>
          <w:szCs w:val="24"/>
          <w:lang w:val="es-ES" w:eastAsia="es-ES"/>
        </w:rPr>
        <w:t>QUINTO:</w:t>
      </w:r>
      <w:r w:rsidRPr="00A4283E">
        <w:rPr>
          <w:rFonts w:ascii="Times New Roman" w:eastAsia="Times New Roman" w:hAnsi="Times New Roman" w:cs="Times New Roman"/>
          <w:b/>
          <w:bCs/>
          <w:color w:val="000000" w:themeColor="text1"/>
          <w:sz w:val="24"/>
          <w:szCs w:val="24"/>
          <w:lang w:val="es-ES" w:eastAsia="es-ES"/>
        </w:rPr>
        <w:tab/>
      </w:r>
      <w:r w:rsidRPr="00A4283E">
        <w:rPr>
          <w:rFonts w:ascii="Times New Roman" w:eastAsia="Times New Roman" w:hAnsi="Times New Roman" w:cs="Times New Roman"/>
          <w:color w:val="000000" w:themeColor="text1"/>
          <w:sz w:val="24"/>
          <w:szCs w:val="24"/>
          <w:lang w:val="es-ES" w:eastAsia="es-ES"/>
        </w:rPr>
        <w:t xml:space="preserve">El Tribunal Administrativo de Transporte emite la Prevención </w:t>
      </w:r>
      <w:r w:rsidRPr="00A4283E">
        <w:rPr>
          <w:rFonts w:ascii="Times New Roman" w:eastAsia="Times New Roman" w:hAnsi="Times New Roman" w:cs="Times New Roman"/>
          <w:b/>
          <w:bCs/>
          <w:color w:val="000000" w:themeColor="text1"/>
          <w:sz w:val="24"/>
          <w:szCs w:val="24"/>
          <w:lang w:val="es-ES" w:eastAsia="es-ES"/>
        </w:rPr>
        <w:t>No. 1 de las 08:15 horas del 22 de febrero de 2023</w:t>
      </w:r>
      <w:r w:rsidRPr="00A4283E">
        <w:rPr>
          <w:rFonts w:ascii="Times New Roman" w:eastAsia="Times New Roman" w:hAnsi="Times New Roman" w:cs="Times New Roman"/>
          <w:color w:val="000000" w:themeColor="text1"/>
          <w:sz w:val="24"/>
          <w:szCs w:val="24"/>
          <w:lang w:val="es-ES" w:eastAsia="es-ES"/>
        </w:rPr>
        <w:t xml:space="preserve">, mediante la cual se otorga </w:t>
      </w:r>
      <w:r w:rsidRPr="00A4283E">
        <w:rPr>
          <w:rFonts w:ascii="Times New Roman" w:hAnsi="Times New Roman"/>
          <w:b/>
          <w:bCs/>
          <w:color w:val="000000" w:themeColor="text1"/>
          <w:sz w:val="24"/>
          <w:szCs w:val="24"/>
        </w:rPr>
        <w:t>AUDIENCIA ESCRITA</w:t>
      </w:r>
      <w:r w:rsidRPr="00A4283E">
        <w:rPr>
          <w:rFonts w:ascii="Times New Roman" w:hAnsi="Times New Roman"/>
          <w:color w:val="000000" w:themeColor="text1"/>
          <w:sz w:val="24"/>
          <w:szCs w:val="24"/>
        </w:rPr>
        <w:t xml:space="preserve"> a la empresa </w:t>
      </w:r>
      <w:r w:rsidR="00202196">
        <w:rPr>
          <w:rFonts w:ascii="Times New Roman" w:hAnsi="Times New Roman"/>
          <w:b/>
          <w:bCs/>
          <w:color w:val="000000" w:themeColor="text1"/>
          <w:sz w:val="24"/>
          <w:szCs w:val="24"/>
        </w:rPr>
        <w:t>TQP</w:t>
      </w:r>
      <w:r w:rsidRPr="00A4283E">
        <w:rPr>
          <w:rFonts w:ascii="Times New Roman" w:hAnsi="Times New Roman"/>
          <w:b/>
          <w:bCs/>
          <w:color w:val="000000" w:themeColor="text1"/>
          <w:sz w:val="24"/>
          <w:szCs w:val="24"/>
        </w:rPr>
        <w:t xml:space="preserve"> S.A</w:t>
      </w:r>
      <w:r w:rsidRPr="00A4283E">
        <w:rPr>
          <w:rFonts w:ascii="Times New Roman" w:hAnsi="Times New Roman"/>
          <w:color w:val="000000" w:themeColor="text1"/>
          <w:sz w:val="24"/>
          <w:szCs w:val="24"/>
        </w:rPr>
        <w:t xml:space="preserve">; para que, por medio de su representante legal debidamente acreditado, se apersone si lo considera oportuno en el plazo perentorio de </w:t>
      </w:r>
      <w:r w:rsidRPr="00A4283E">
        <w:rPr>
          <w:rFonts w:ascii="Times New Roman" w:hAnsi="Times New Roman"/>
          <w:b/>
          <w:bCs/>
          <w:color w:val="000000" w:themeColor="text1"/>
          <w:sz w:val="24"/>
          <w:szCs w:val="24"/>
        </w:rPr>
        <w:t>DIEZ DÍAS HÁBILES</w:t>
      </w:r>
      <w:r w:rsidRPr="00A4283E">
        <w:rPr>
          <w:rFonts w:ascii="Times New Roman" w:hAnsi="Times New Roman"/>
          <w:color w:val="000000" w:themeColor="text1"/>
          <w:sz w:val="24"/>
          <w:szCs w:val="24"/>
        </w:rPr>
        <w:t>, y se manifieste respecto del recurso de apelación indicado, la suspensión de los efectos del acto impugnado y la ampliación de alegatos.</w:t>
      </w:r>
      <w:bookmarkEnd w:id="1"/>
      <w:bookmarkEnd w:id="2"/>
      <w:r w:rsidRPr="00A4283E">
        <w:rPr>
          <w:rFonts w:ascii="Times New Roman" w:eastAsia="Times New Roman" w:hAnsi="Times New Roman" w:cs="Times New Roman"/>
          <w:color w:val="000000" w:themeColor="text1"/>
          <w:sz w:val="24"/>
          <w:szCs w:val="24"/>
          <w:lang w:val="es-ES" w:eastAsia="es-ES"/>
        </w:rPr>
        <w:t xml:space="preserve"> (Léanse los folios 129 al 133 del expediente TAT-002-23) </w:t>
      </w:r>
    </w:p>
    <w:p w14:paraId="6E37BB37" w14:textId="77777777" w:rsidR="005866FA" w:rsidRPr="00A4283E" w:rsidRDefault="005866FA" w:rsidP="005866FA">
      <w:pPr>
        <w:kinsoku w:val="0"/>
        <w:overflowPunct w:val="0"/>
        <w:spacing w:after="0" w:line="276" w:lineRule="auto"/>
        <w:ind w:right="72"/>
        <w:jc w:val="both"/>
        <w:textAlignment w:val="baseline"/>
        <w:rPr>
          <w:rFonts w:ascii="Times New Roman" w:eastAsia="Times New Roman" w:hAnsi="Times New Roman" w:cs="Times New Roman"/>
          <w:b/>
          <w:bCs/>
          <w:color w:val="000000" w:themeColor="text1"/>
          <w:sz w:val="24"/>
          <w:szCs w:val="24"/>
          <w:lang w:val="es-ES" w:eastAsia="es-ES"/>
        </w:rPr>
      </w:pPr>
    </w:p>
    <w:p w14:paraId="6B1620BE" w14:textId="487A6813" w:rsidR="005866FA" w:rsidRPr="00A4283E" w:rsidRDefault="005866FA" w:rsidP="005866FA">
      <w:pPr>
        <w:spacing w:after="0" w:line="276" w:lineRule="auto"/>
        <w:jc w:val="both"/>
        <w:rPr>
          <w:rFonts w:ascii="Times New Roman" w:eastAsia="Times New Roman" w:hAnsi="Times New Roman" w:cs="Times New Roman"/>
          <w:color w:val="000000" w:themeColor="text1"/>
          <w:sz w:val="24"/>
          <w:szCs w:val="24"/>
          <w:lang w:val="es-ES" w:eastAsia="es-MX"/>
        </w:rPr>
      </w:pPr>
      <w:bookmarkStart w:id="3" w:name="_Hlk102987789"/>
      <w:bookmarkStart w:id="4" w:name="_Hlk99702480"/>
      <w:r w:rsidRPr="00A4283E">
        <w:rPr>
          <w:rFonts w:ascii="Times New Roman" w:eastAsia="Times New Roman" w:hAnsi="Times New Roman" w:cs="Times New Roman"/>
          <w:b/>
          <w:bCs/>
          <w:color w:val="000000" w:themeColor="text1"/>
          <w:sz w:val="24"/>
          <w:szCs w:val="24"/>
          <w:lang w:val="es-ES" w:eastAsia="es-MX"/>
        </w:rPr>
        <w:t>SEXTO:</w:t>
      </w:r>
      <w:r w:rsidRPr="00A4283E">
        <w:rPr>
          <w:rFonts w:ascii="Times New Roman" w:eastAsia="Times New Roman" w:hAnsi="Times New Roman" w:cs="Times New Roman"/>
          <w:b/>
          <w:bCs/>
          <w:color w:val="000000" w:themeColor="text1"/>
          <w:sz w:val="24"/>
          <w:szCs w:val="24"/>
          <w:lang w:val="es-ES" w:eastAsia="es-MX"/>
        </w:rPr>
        <w:tab/>
      </w:r>
      <w:r w:rsidRPr="00A4283E">
        <w:rPr>
          <w:rFonts w:ascii="Times New Roman" w:eastAsia="Times New Roman" w:hAnsi="Times New Roman" w:cs="Times New Roman"/>
          <w:color w:val="000000" w:themeColor="text1"/>
          <w:sz w:val="24"/>
          <w:szCs w:val="24"/>
          <w:lang w:val="es-ES" w:eastAsia="es-MX"/>
        </w:rPr>
        <w:t xml:space="preserve">El </w:t>
      </w:r>
      <w:r w:rsidRPr="00A4283E">
        <w:rPr>
          <w:rFonts w:ascii="Times New Roman" w:eastAsia="Times New Roman" w:hAnsi="Times New Roman" w:cs="Times New Roman"/>
          <w:b/>
          <w:bCs/>
          <w:color w:val="000000" w:themeColor="text1"/>
          <w:sz w:val="24"/>
          <w:szCs w:val="24"/>
          <w:lang w:val="es-ES" w:eastAsia="es-MX"/>
        </w:rPr>
        <w:t>9 de marzo de 2023</w:t>
      </w:r>
      <w:r w:rsidRPr="00A4283E">
        <w:rPr>
          <w:rFonts w:ascii="Times New Roman" w:eastAsia="Times New Roman" w:hAnsi="Times New Roman" w:cs="Times New Roman"/>
          <w:color w:val="000000" w:themeColor="text1"/>
          <w:sz w:val="24"/>
          <w:szCs w:val="24"/>
          <w:lang w:val="es-ES" w:eastAsia="es-MX"/>
        </w:rPr>
        <w:t xml:space="preserve">, la empresa </w:t>
      </w:r>
      <w:r w:rsidR="00202196">
        <w:rPr>
          <w:rFonts w:ascii="Times New Roman" w:eastAsia="Times New Roman" w:hAnsi="Times New Roman" w:cs="Times New Roman"/>
          <w:color w:val="000000" w:themeColor="text1"/>
          <w:sz w:val="24"/>
          <w:szCs w:val="24"/>
          <w:lang w:val="es-ES" w:eastAsia="es-MX"/>
        </w:rPr>
        <w:t>TQP</w:t>
      </w:r>
      <w:r w:rsidRPr="00A4283E">
        <w:rPr>
          <w:rFonts w:ascii="Times New Roman" w:eastAsia="Times New Roman" w:hAnsi="Times New Roman" w:cs="Times New Roman"/>
          <w:color w:val="000000" w:themeColor="text1"/>
          <w:sz w:val="24"/>
          <w:szCs w:val="24"/>
          <w:lang w:val="es-ES" w:eastAsia="es-MX"/>
        </w:rPr>
        <w:t xml:space="preserve"> S.A., por intermedio de su representante el señor </w:t>
      </w:r>
      <w:r w:rsidR="00202196">
        <w:rPr>
          <w:rFonts w:ascii="Times New Roman" w:eastAsia="Times New Roman" w:hAnsi="Times New Roman" w:cs="Times New Roman"/>
          <w:color w:val="000000" w:themeColor="text1"/>
          <w:sz w:val="24"/>
          <w:szCs w:val="24"/>
          <w:lang w:val="es-ES" w:eastAsia="es-MX"/>
        </w:rPr>
        <w:t>RSSK</w:t>
      </w:r>
      <w:r w:rsidRPr="00A4283E">
        <w:rPr>
          <w:rFonts w:ascii="Times New Roman" w:eastAsia="Times New Roman" w:hAnsi="Times New Roman" w:cs="Times New Roman"/>
          <w:color w:val="000000" w:themeColor="text1"/>
          <w:sz w:val="24"/>
          <w:szCs w:val="24"/>
          <w:lang w:val="es-ES" w:eastAsia="es-MX"/>
        </w:rPr>
        <w:t>, contesta la audiencia escrita conferida por este Tribunal, indicando lo que en resumen de seguido se indica:</w:t>
      </w:r>
    </w:p>
    <w:p w14:paraId="4AF30B4A" w14:textId="77777777" w:rsidR="005866FA" w:rsidRPr="00A4283E" w:rsidRDefault="005866FA" w:rsidP="005866FA">
      <w:pPr>
        <w:spacing w:after="0" w:line="276" w:lineRule="auto"/>
        <w:jc w:val="both"/>
        <w:rPr>
          <w:rFonts w:ascii="Times New Roman" w:eastAsia="Times New Roman" w:hAnsi="Times New Roman" w:cs="Times New Roman"/>
          <w:color w:val="000000" w:themeColor="text1"/>
          <w:sz w:val="24"/>
          <w:szCs w:val="24"/>
          <w:lang w:val="es-ES" w:eastAsia="es-MX"/>
        </w:rPr>
      </w:pPr>
    </w:p>
    <w:p w14:paraId="6904EFDF" w14:textId="77777777" w:rsidR="005866FA" w:rsidRPr="00A4283E" w:rsidRDefault="005866FA" w:rsidP="005866FA">
      <w:pPr>
        <w:pStyle w:val="Prrafodelista"/>
        <w:numPr>
          <w:ilvl w:val="0"/>
          <w:numId w:val="24"/>
        </w:numPr>
        <w:spacing w:after="0" w:line="276" w:lineRule="auto"/>
        <w:jc w:val="both"/>
        <w:rPr>
          <w:rFonts w:ascii="Times New Roman" w:eastAsia="Times New Roman" w:hAnsi="Times New Roman" w:cs="Times New Roman"/>
          <w:color w:val="000000" w:themeColor="text1"/>
          <w:lang w:val="es-ES" w:eastAsia="es-MX"/>
        </w:rPr>
      </w:pPr>
      <w:r w:rsidRPr="00A4283E">
        <w:rPr>
          <w:rFonts w:ascii="Times New Roman" w:eastAsia="Times New Roman" w:hAnsi="Times New Roman" w:cs="Times New Roman"/>
          <w:color w:val="000000" w:themeColor="text1"/>
          <w:lang w:val="es-ES" w:eastAsia="es-MX"/>
        </w:rPr>
        <w:t>Refiere que el recurso falta a la verdad pues indica que el permiso de construcción fue anulado, lo que es totalmente falso, y se cumplió con todos los requisitos de rigor, cancelándose los derechos y obligaciones, visto que el destino de la construcción no define la misma, ya que puede tener una vez concluida cualquiera de las que son viables y desarrollables.</w:t>
      </w:r>
    </w:p>
    <w:p w14:paraId="7D731D9E" w14:textId="77777777" w:rsidR="005866FA" w:rsidRPr="00A4283E" w:rsidRDefault="005866FA" w:rsidP="005866FA">
      <w:pPr>
        <w:pStyle w:val="Prrafodelista"/>
        <w:numPr>
          <w:ilvl w:val="0"/>
          <w:numId w:val="24"/>
        </w:numPr>
        <w:spacing w:after="0" w:line="276" w:lineRule="auto"/>
        <w:jc w:val="both"/>
        <w:rPr>
          <w:rFonts w:ascii="Times New Roman" w:eastAsia="Times New Roman" w:hAnsi="Times New Roman" w:cs="Times New Roman"/>
          <w:color w:val="000000" w:themeColor="text1"/>
          <w:lang w:val="es-ES" w:eastAsia="es-MX"/>
        </w:rPr>
      </w:pPr>
      <w:r w:rsidRPr="00A4283E">
        <w:rPr>
          <w:rFonts w:ascii="Times New Roman" w:eastAsia="Times New Roman" w:hAnsi="Times New Roman" w:cs="Times New Roman"/>
          <w:color w:val="000000" w:themeColor="text1"/>
          <w:lang w:val="es-ES" w:eastAsia="es-MX"/>
        </w:rPr>
        <w:t>Alega que el recurrente quiere condicionar la construcción de una terminal, no siendo así el fin último de la misma.</w:t>
      </w:r>
    </w:p>
    <w:p w14:paraId="44442DE9" w14:textId="77777777" w:rsidR="005866FA" w:rsidRPr="00A4283E" w:rsidRDefault="005866FA" w:rsidP="005866FA">
      <w:pPr>
        <w:pStyle w:val="Prrafodelista"/>
        <w:numPr>
          <w:ilvl w:val="0"/>
          <w:numId w:val="24"/>
        </w:numPr>
        <w:spacing w:after="0" w:line="276" w:lineRule="auto"/>
        <w:jc w:val="both"/>
        <w:rPr>
          <w:rFonts w:ascii="Times New Roman" w:eastAsia="Times New Roman" w:hAnsi="Times New Roman" w:cs="Times New Roman"/>
          <w:color w:val="000000" w:themeColor="text1"/>
          <w:lang w:val="es-ES" w:eastAsia="es-MX"/>
        </w:rPr>
      </w:pPr>
      <w:r w:rsidRPr="00A4283E">
        <w:rPr>
          <w:rFonts w:ascii="Times New Roman" w:eastAsia="Times New Roman" w:hAnsi="Times New Roman" w:cs="Times New Roman"/>
          <w:color w:val="000000" w:themeColor="text1"/>
          <w:lang w:val="es-ES" w:eastAsia="es-MX"/>
        </w:rPr>
        <w:t>Indica que de la observación de los detalles constructivos y la misma no cumple con los lineamientos de una terminal de buses, ya que siempre se ha visto como una parada en tránsito, tal y como opera, esto en beneficio d ellos usuarios, porque de lo contrario en su mayoría deberían esperar a la intemperie.</w:t>
      </w:r>
    </w:p>
    <w:p w14:paraId="06A212B3" w14:textId="77777777" w:rsidR="005866FA" w:rsidRPr="00A4283E" w:rsidRDefault="005866FA" w:rsidP="005866FA">
      <w:pPr>
        <w:pStyle w:val="Prrafodelista"/>
        <w:numPr>
          <w:ilvl w:val="0"/>
          <w:numId w:val="24"/>
        </w:numPr>
        <w:spacing w:after="0" w:line="276" w:lineRule="auto"/>
        <w:jc w:val="both"/>
        <w:rPr>
          <w:rFonts w:ascii="Times New Roman" w:eastAsia="Times New Roman" w:hAnsi="Times New Roman" w:cs="Times New Roman"/>
          <w:color w:val="000000" w:themeColor="text1"/>
          <w:lang w:val="es-ES" w:eastAsia="es-MX"/>
        </w:rPr>
      </w:pPr>
      <w:r w:rsidRPr="00A4283E">
        <w:rPr>
          <w:rFonts w:ascii="Times New Roman" w:eastAsia="Times New Roman" w:hAnsi="Times New Roman" w:cs="Times New Roman"/>
          <w:color w:val="000000" w:themeColor="text1"/>
          <w:lang w:val="es-ES" w:eastAsia="es-MX"/>
        </w:rPr>
        <w:t>Refiere que para la operación de la parada en tránsito no se requiere permiso alguno poque no hay parada final en ese punto, no existe venta de tiquetes, por lo que los pasajeros pueden esperar en el establecimiento.</w:t>
      </w:r>
    </w:p>
    <w:p w14:paraId="12B40258" w14:textId="5921A1DC" w:rsidR="005866FA" w:rsidRPr="00A4283E" w:rsidRDefault="005866FA" w:rsidP="005866FA">
      <w:pPr>
        <w:pStyle w:val="Prrafodelista"/>
        <w:numPr>
          <w:ilvl w:val="0"/>
          <w:numId w:val="24"/>
        </w:numPr>
        <w:spacing w:after="0" w:line="276" w:lineRule="auto"/>
        <w:jc w:val="both"/>
        <w:rPr>
          <w:rFonts w:ascii="Times New Roman" w:eastAsia="Times New Roman" w:hAnsi="Times New Roman" w:cs="Times New Roman"/>
          <w:color w:val="000000" w:themeColor="text1"/>
          <w:lang w:val="es-ES" w:eastAsia="es-MX"/>
        </w:rPr>
      </w:pPr>
      <w:r w:rsidRPr="00A4283E">
        <w:rPr>
          <w:rFonts w:ascii="Times New Roman" w:eastAsia="Times New Roman" w:hAnsi="Times New Roman" w:cs="Times New Roman"/>
          <w:color w:val="000000" w:themeColor="text1"/>
          <w:lang w:val="es-ES" w:eastAsia="es-MX"/>
        </w:rPr>
        <w:t xml:space="preserve">El recurrente no es usuario, primeramente, su papel es mas de dirigente sindical, que pesa </w:t>
      </w:r>
      <w:r w:rsidR="008D136C" w:rsidRPr="00A4283E">
        <w:rPr>
          <w:rFonts w:ascii="Times New Roman" w:eastAsia="Times New Roman" w:hAnsi="Times New Roman" w:cs="Times New Roman"/>
          <w:color w:val="000000" w:themeColor="text1"/>
          <w:lang w:val="es-ES" w:eastAsia="es-MX"/>
        </w:rPr>
        <w:t>más</w:t>
      </w:r>
      <w:r w:rsidRPr="00A4283E">
        <w:rPr>
          <w:rFonts w:ascii="Times New Roman" w:eastAsia="Times New Roman" w:hAnsi="Times New Roman" w:cs="Times New Roman"/>
          <w:color w:val="000000" w:themeColor="text1"/>
          <w:lang w:val="es-ES" w:eastAsia="es-MX"/>
        </w:rPr>
        <w:t xml:space="preserve"> un problema personal que social.</w:t>
      </w:r>
    </w:p>
    <w:p w14:paraId="1ECAAEFB" w14:textId="77777777" w:rsidR="005866FA" w:rsidRPr="00A4283E" w:rsidRDefault="005866FA" w:rsidP="005866FA">
      <w:pPr>
        <w:pStyle w:val="Prrafodelista"/>
        <w:numPr>
          <w:ilvl w:val="0"/>
          <w:numId w:val="24"/>
        </w:numPr>
        <w:spacing w:after="0" w:line="276" w:lineRule="auto"/>
        <w:jc w:val="both"/>
        <w:rPr>
          <w:rFonts w:ascii="Times New Roman" w:eastAsia="Times New Roman" w:hAnsi="Times New Roman" w:cs="Times New Roman"/>
          <w:color w:val="000000" w:themeColor="text1"/>
          <w:lang w:val="es-ES" w:eastAsia="es-MX"/>
        </w:rPr>
      </w:pPr>
      <w:r w:rsidRPr="00A4283E">
        <w:rPr>
          <w:rFonts w:ascii="Times New Roman" w:eastAsia="Times New Roman" w:hAnsi="Times New Roman" w:cs="Times New Roman"/>
          <w:color w:val="000000" w:themeColor="text1"/>
          <w:lang w:val="es-ES" w:eastAsia="es-MX"/>
        </w:rPr>
        <w:t xml:space="preserve">Aclara que presentó recursos ante el </w:t>
      </w:r>
      <w:r w:rsidRPr="00A4283E">
        <w:rPr>
          <w:rFonts w:ascii="Times New Roman" w:eastAsia="Times New Roman" w:hAnsi="Times New Roman" w:cs="Times New Roman"/>
          <w:caps/>
          <w:color w:val="000000" w:themeColor="text1"/>
          <w:lang w:val="es-ES" w:eastAsia="es-MX"/>
        </w:rPr>
        <w:t>setena</w:t>
      </w:r>
      <w:r w:rsidRPr="00A4283E">
        <w:rPr>
          <w:rFonts w:ascii="Times New Roman" w:eastAsia="Times New Roman" w:hAnsi="Times New Roman" w:cs="Times New Roman"/>
          <w:color w:val="000000" w:themeColor="text1"/>
          <w:lang w:val="es-ES" w:eastAsia="es-MX"/>
        </w:rPr>
        <w:t xml:space="preserve"> y el Tribunal Ambiental, resueltos con una sanción de cinco basureros por haber aportado la viabilidad ambiental una vez iniciada las obras, pero la viabilidad se otorgó sin reparos.</w:t>
      </w:r>
    </w:p>
    <w:p w14:paraId="60A791D2" w14:textId="3F4D3458" w:rsidR="005866FA" w:rsidRPr="00A4283E" w:rsidRDefault="005866FA" w:rsidP="005866FA">
      <w:pPr>
        <w:pStyle w:val="Prrafodelista"/>
        <w:numPr>
          <w:ilvl w:val="0"/>
          <w:numId w:val="24"/>
        </w:numPr>
        <w:spacing w:after="0" w:line="276" w:lineRule="auto"/>
        <w:jc w:val="both"/>
        <w:rPr>
          <w:rFonts w:ascii="Times New Roman" w:eastAsia="Times New Roman" w:hAnsi="Times New Roman" w:cs="Times New Roman"/>
          <w:color w:val="000000" w:themeColor="text1"/>
          <w:lang w:val="es-ES" w:eastAsia="es-MX"/>
        </w:rPr>
      </w:pPr>
      <w:r w:rsidRPr="00A4283E">
        <w:rPr>
          <w:rFonts w:ascii="Times New Roman" w:eastAsia="Times New Roman" w:hAnsi="Times New Roman" w:cs="Times New Roman"/>
          <w:color w:val="000000" w:themeColor="text1"/>
          <w:lang w:val="es-ES" w:eastAsia="es-MX"/>
        </w:rPr>
        <w:lastRenderedPageBreak/>
        <w:t xml:space="preserve">Alega que el recurrente falta a la verdad ya que no indica al Tribunal que la parada en tránsito otorgada se dio mediante acuerdo judicial en el proceso contencioso administrativo tramitado en expediente </w:t>
      </w:r>
      <w:bookmarkStart w:id="5" w:name="_Hlk134516613"/>
      <w:r w:rsidRPr="00A4283E">
        <w:rPr>
          <w:rFonts w:ascii="Times New Roman" w:eastAsia="Times New Roman" w:hAnsi="Times New Roman" w:cs="Times New Roman"/>
          <w:color w:val="000000" w:themeColor="text1"/>
          <w:lang w:val="es-ES" w:eastAsia="es-MX"/>
        </w:rPr>
        <w:t xml:space="preserve">número </w:t>
      </w:r>
      <w:r w:rsidRPr="00A4283E">
        <w:rPr>
          <w:rFonts w:ascii="Times New Roman" w:eastAsia="Times New Roman" w:hAnsi="Times New Roman" w:cs="Times New Roman"/>
          <w:b/>
          <w:bCs/>
          <w:color w:val="000000" w:themeColor="text1"/>
          <w:lang w:val="es-ES" w:eastAsia="es-MX"/>
        </w:rPr>
        <w:t>21-008201-1027-CA</w:t>
      </w:r>
      <w:r w:rsidRPr="00A4283E">
        <w:rPr>
          <w:rFonts w:ascii="Times New Roman" w:eastAsia="Times New Roman" w:hAnsi="Times New Roman" w:cs="Times New Roman"/>
          <w:color w:val="000000" w:themeColor="text1"/>
          <w:lang w:val="es-ES" w:eastAsia="es-MX"/>
        </w:rPr>
        <w:t xml:space="preserve">, </w:t>
      </w:r>
      <w:bookmarkEnd w:id="5"/>
      <w:r w:rsidRPr="00A4283E">
        <w:rPr>
          <w:rFonts w:ascii="Times New Roman" w:eastAsia="Times New Roman" w:hAnsi="Times New Roman" w:cs="Times New Roman"/>
          <w:color w:val="000000" w:themeColor="text1"/>
          <w:lang w:val="es-ES" w:eastAsia="es-MX"/>
        </w:rPr>
        <w:t xml:space="preserve">que se llevó a cabo con la parte Actora con el Concejo de Transporte Público, que se puso en conocimiento en la audiencia preliminar realizada el 13 de setiembre de 2022, conciliación que fue homologada por parte del Tribunal Contencioso Administrativo y Civil de Hacienda, el cual quedó en firma entre las partes resultando en Cosa Juzgada, y en virtud de las recomendaciones de la Dirección de Asuntos Jurídicos culminó con el acuerdo tomado en la Sesión Ordinaria del 31 de agosto de 2022. Sin embargo, aclara que se mantiene el proceso contencioso bajo expediente número </w:t>
      </w:r>
      <w:r w:rsidRPr="00A4283E">
        <w:rPr>
          <w:rFonts w:ascii="Times New Roman" w:eastAsia="Times New Roman" w:hAnsi="Times New Roman" w:cs="Times New Roman"/>
          <w:b/>
          <w:bCs/>
          <w:color w:val="000000" w:themeColor="text1"/>
          <w:lang w:val="es-ES" w:eastAsia="es-MX"/>
        </w:rPr>
        <w:t>21-00</w:t>
      </w:r>
      <w:r w:rsidR="00360FAA">
        <w:rPr>
          <w:rFonts w:ascii="Times New Roman" w:eastAsia="Times New Roman" w:hAnsi="Times New Roman" w:cs="Times New Roman"/>
          <w:b/>
          <w:bCs/>
          <w:color w:val="000000" w:themeColor="text1"/>
          <w:lang w:val="es-ES" w:eastAsia="es-MX"/>
        </w:rPr>
        <w:t>0000</w:t>
      </w:r>
      <w:r w:rsidRPr="00A4283E">
        <w:rPr>
          <w:rFonts w:ascii="Times New Roman" w:eastAsia="Times New Roman" w:hAnsi="Times New Roman" w:cs="Times New Roman"/>
          <w:b/>
          <w:bCs/>
          <w:color w:val="000000" w:themeColor="text1"/>
          <w:lang w:val="es-ES" w:eastAsia="es-MX"/>
        </w:rPr>
        <w:t>-1027-CA</w:t>
      </w:r>
      <w:r w:rsidRPr="00A4283E">
        <w:rPr>
          <w:rFonts w:ascii="Times New Roman" w:eastAsia="Times New Roman" w:hAnsi="Times New Roman" w:cs="Times New Roman"/>
          <w:color w:val="000000" w:themeColor="text1"/>
          <w:lang w:val="es-ES" w:eastAsia="es-MX"/>
        </w:rPr>
        <w:t>.</w:t>
      </w:r>
    </w:p>
    <w:p w14:paraId="17921FCD" w14:textId="77777777" w:rsidR="005866FA" w:rsidRPr="00A4283E" w:rsidRDefault="005866FA" w:rsidP="005866FA">
      <w:pPr>
        <w:pStyle w:val="Prrafodelista"/>
        <w:numPr>
          <w:ilvl w:val="0"/>
          <w:numId w:val="24"/>
        </w:numPr>
        <w:spacing w:after="0" w:line="276" w:lineRule="auto"/>
        <w:jc w:val="both"/>
        <w:rPr>
          <w:rFonts w:ascii="Times New Roman" w:eastAsia="Times New Roman" w:hAnsi="Times New Roman" w:cs="Times New Roman"/>
          <w:color w:val="000000" w:themeColor="text1"/>
          <w:lang w:val="es-ES" w:eastAsia="es-MX"/>
        </w:rPr>
      </w:pPr>
      <w:r w:rsidRPr="00A4283E">
        <w:rPr>
          <w:rFonts w:ascii="Times New Roman" w:eastAsia="Times New Roman" w:hAnsi="Times New Roman" w:cs="Times New Roman"/>
          <w:color w:val="000000" w:themeColor="text1"/>
          <w:lang w:val="es-ES" w:eastAsia="es-MX"/>
        </w:rPr>
        <w:t>Indica que se está ante un Plan Regulador de Puntarenas que no existe porque no cumplió con lo establecido en el artículo 51 de la Ley de Planificación Urbana No. 4240, no cumple el debido proceso de constitución o aprobación sino más que como propuesta.</w:t>
      </w:r>
    </w:p>
    <w:p w14:paraId="5BDAAE46" w14:textId="77777777" w:rsidR="005866FA" w:rsidRPr="00A4283E" w:rsidRDefault="005866FA" w:rsidP="005866FA">
      <w:pPr>
        <w:pStyle w:val="Prrafodelista"/>
        <w:numPr>
          <w:ilvl w:val="0"/>
          <w:numId w:val="24"/>
        </w:numPr>
        <w:spacing w:after="0" w:line="276" w:lineRule="auto"/>
        <w:jc w:val="both"/>
        <w:rPr>
          <w:rFonts w:ascii="Times New Roman" w:eastAsia="Times New Roman" w:hAnsi="Times New Roman" w:cs="Times New Roman"/>
          <w:color w:val="000000" w:themeColor="text1"/>
          <w:lang w:val="es-ES" w:eastAsia="es-MX"/>
        </w:rPr>
      </w:pPr>
      <w:r w:rsidRPr="00A4283E">
        <w:rPr>
          <w:rFonts w:ascii="Times New Roman" w:eastAsia="Times New Roman" w:hAnsi="Times New Roman" w:cs="Times New Roman"/>
          <w:color w:val="000000" w:themeColor="text1"/>
          <w:lang w:val="es-ES" w:eastAsia="es-MX"/>
        </w:rPr>
        <w:t>Peticiona se declare sin lugar el recurso planteado. (Léanse los folios del 134 al 140 del expediente TAT-002-23)</w:t>
      </w:r>
    </w:p>
    <w:bookmarkEnd w:id="3"/>
    <w:bookmarkEnd w:id="4"/>
    <w:p w14:paraId="6F5C931C" w14:textId="77777777" w:rsidR="005866FA" w:rsidRPr="00A4283E" w:rsidRDefault="005866FA" w:rsidP="005866FA">
      <w:pPr>
        <w:kinsoku w:val="0"/>
        <w:overflowPunct w:val="0"/>
        <w:spacing w:after="0" w:line="276" w:lineRule="auto"/>
        <w:ind w:right="72"/>
        <w:jc w:val="both"/>
        <w:textAlignment w:val="baseline"/>
        <w:rPr>
          <w:rFonts w:ascii="Times New Roman" w:eastAsia="Times New Roman" w:hAnsi="Times New Roman" w:cs="Times New Roman"/>
          <w:b/>
          <w:bCs/>
          <w:color w:val="000000" w:themeColor="text1"/>
          <w:sz w:val="24"/>
          <w:szCs w:val="24"/>
          <w:lang w:val="es-ES" w:eastAsia="es-ES"/>
        </w:rPr>
      </w:pPr>
    </w:p>
    <w:p w14:paraId="4D8497A6" w14:textId="77777777" w:rsidR="005866FA" w:rsidRPr="00A4283E" w:rsidRDefault="005866FA" w:rsidP="005866FA">
      <w:pPr>
        <w:kinsoku w:val="0"/>
        <w:overflowPunct w:val="0"/>
        <w:spacing w:after="0" w:line="276" w:lineRule="auto"/>
        <w:ind w:right="72"/>
        <w:jc w:val="both"/>
        <w:textAlignment w:val="baseline"/>
        <w:rPr>
          <w:rFonts w:ascii="Times New Roman" w:eastAsia="Times New Roman" w:hAnsi="Times New Roman" w:cs="Times New Roman"/>
          <w:color w:val="000000" w:themeColor="text1"/>
          <w:sz w:val="24"/>
          <w:szCs w:val="24"/>
          <w:lang w:val="es-ES" w:eastAsia="es-MX"/>
        </w:rPr>
      </w:pPr>
      <w:r w:rsidRPr="00A4283E">
        <w:rPr>
          <w:rFonts w:ascii="Times New Roman" w:eastAsia="Times New Roman" w:hAnsi="Times New Roman" w:cs="Times New Roman"/>
          <w:b/>
          <w:bCs/>
          <w:color w:val="000000" w:themeColor="text1"/>
          <w:sz w:val="24"/>
          <w:szCs w:val="24"/>
          <w:lang w:val="es-ES" w:eastAsia="es-ES"/>
        </w:rPr>
        <w:t>SÉTIMO:</w:t>
      </w:r>
      <w:r w:rsidRPr="00A4283E">
        <w:rPr>
          <w:rFonts w:ascii="Times New Roman" w:eastAsia="Times New Roman" w:hAnsi="Times New Roman" w:cs="Times New Roman"/>
          <w:b/>
          <w:bCs/>
          <w:color w:val="000000" w:themeColor="text1"/>
          <w:sz w:val="24"/>
          <w:szCs w:val="24"/>
          <w:lang w:val="es-ES" w:eastAsia="es-ES"/>
        </w:rPr>
        <w:tab/>
      </w:r>
      <w:bookmarkEnd w:id="0"/>
      <w:r w:rsidRPr="00A4283E">
        <w:rPr>
          <w:rFonts w:ascii="Times New Roman" w:eastAsia="Times New Roman" w:hAnsi="Times New Roman" w:cs="Times New Roman"/>
          <w:color w:val="000000" w:themeColor="text1"/>
          <w:sz w:val="24"/>
          <w:szCs w:val="24"/>
          <w:lang w:val="es-ES" w:eastAsia="es-MX"/>
        </w:rPr>
        <w:t>En los procedimientos seguidos se han observado las prescripciones legales.</w:t>
      </w:r>
    </w:p>
    <w:p w14:paraId="72BAAC85" w14:textId="77777777" w:rsidR="005866FA" w:rsidRPr="00A4283E" w:rsidRDefault="005866FA" w:rsidP="005866FA">
      <w:pPr>
        <w:spacing w:after="0" w:line="276" w:lineRule="auto"/>
        <w:jc w:val="both"/>
        <w:rPr>
          <w:rFonts w:ascii="Times New Roman" w:eastAsia="Times New Roman" w:hAnsi="Times New Roman" w:cs="Times New Roman"/>
          <w:color w:val="000000" w:themeColor="text1"/>
          <w:sz w:val="24"/>
          <w:szCs w:val="24"/>
          <w:lang w:val="es-ES" w:eastAsia="es-MX"/>
        </w:rPr>
      </w:pPr>
    </w:p>
    <w:p w14:paraId="7E7955C3" w14:textId="77777777" w:rsidR="005866FA" w:rsidRPr="00A4283E" w:rsidRDefault="005866FA" w:rsidP="005866FA">
      <w:pPr>
        <w:spacing w:after="0" w:line="276" w:lineRule="auto"/>
        <w:jc w:val="both"/>
        <w:rPr>
          <w:rFonts w:ascii="Times New Roman" w:eastAsia="Times New Roman" w:hAnsi="Times New Roman" w:cs="Times New Roman"/>
          <w:b/>
          <w:color w:val="000000" w:themeColor="text1"/>
          <w:sz w:val="24"/>
          <w:szCs w:val="24"/>
          <w:lang w:val="es-ES" w:eastAsia="es-MX"/>
        </w:rPr>
      </w:pPr>
      <w:r w:rsidRPr="00A4283E">
        <w:rPr>
          <w:rFonts w:ascii="Times New Roman" w:eastAsia="Times New Roman" w:hAnsi="Times New Roman" w:cs="Times New Roman"/>
          <w:b/>
          <w:color w:val="000000" w:themeColor="text1"/>
          <w:sz w:val="24"/>
          <w:szCs w:val="24"/>
          <w:lang w:val="es-ES" w:eastAsia="es-MX"/>
        </w:rPr>
        <w:t>Redacta la Jueza Villegas Herrera.</w:t>
      </w:r>
    </w:p>
    <w:p w14:paraId="0FDC05F7" w14:textId="77777777" w:rsidR="005866FA" w:rsidRDefault="005866FA" w:rsidP="005866FA">
      <w:pPr>
        <w:spacing w:after="0" w:line="276" w:lineRule="auto"/>
        <w:jc w:val="both"/>
        <w:rPr>
          <w:rFonts w:ascii="Times New Roman" w:eastAsia="Times New Roman" w:hAnsi="Times New Roman" w:cs="Times New Roman"/>
          <w:b/>
          <w:bCs/>
          <w:color w:val="000000" w:themeColor="text1"/>
          <w:sz w:val="24"/>
          <w:szCs w:val="24"/>
          <w:lang w:val="es-ES" w:eastAsia="es-MX"/>
        </w:rPr>
      </w:pPr>
    </w:p>
    <w:p w14:paraId="09046748" w14:textId="77777777" w:rsidR="00A4283E" w:rsidRPr="00A4283E" w:rsidRDefault="00A4283E" w:rsidP="005866FA">
      <w:pPr>
        <w:spacing w:after="0" w:line="276" w:lineRule="auto"/>
        <w:jc w:val="both"/>
        <w:rPr>
          <w:rFonts w:ascii="Times New Roman" w:eastAsia="Times New Roman" w:hAnsi="Times New Roman" w:cs="Times New Roman"/>
          <w:b/>
          <w:bCs/>
          <w:color w:val="000000" w:themeColor="text1"/>
          <w:sz w:val="24"/>
          <w:szCs w:val="24"/>
          <w:lang w:val="es-ES" w:eastAsia="es-MX"/>
        </w:rPr>
      </w:pPr>
    </w:p>
    <w:p w14:paraId="06DD8C68" w14:textId="77777777" w:rsidR="005866FA" w:rsidRPr="00A4283E" w:rsidRDefault="005866FA" w:rsidP="005866FA">
      <w:pPr>
        <w:spacing w:after="0" w:line="240" w:lineRule="auto"/>
        <w:jc w:val="center"/>
        <w:rPr>
          <w:rFonts w:ascii="Times New Roman" w:eastAsia="Times New Roman" w:hAnsi="Times New Roman" w:cs="Times New Roman"/>
          <w:b/>
          <w:bCs/>
          <w:color w:val="000000" w:themeColor="text1"/>
          <w:sz w:val="24"/>
          <w:szCs w:val="24"/>
          <w:lang w:val="es-ES" w:eastAsia="es-MX"/>
        </w:rPr>
      </w:pPr>
      <w:r w:rsidRPr="00A4283E">
        <w:rPr>
          <w:rFonts w:ascii="Times New Roman" w:eastAsia="Times New Roman" w:hAnsi="Times New Roman" w:cs="Times New Roman"/>
          <w:b/>
          <w:bCs/>
          <w:color w:val="000000" w:themeColor="text1"/>
          <w:sz w:val="24"/>
          <w:szCs w:val="24"/>
          <w:lang w:val="es-ES" w:eastAsia="es-MX"/>
        </w:rPr>
        <w:t>CONSIDERANDO</w:t>
      </w:r>
    </w:p>
    <w:p w14:paraId="7C6023AE" w14:textId="77777777" w:rsidR="005866FA" w:rsidRPr="00A4283E" w:rsidRDefault="005866FA" w:rsidP="005866FA">
      <w:pPr>
        <w:spacing w:after="0" w:line="240" w:lineRule="auto"/>
        <w:ind w:right="510"/>
        <w:jc w:val="both"/>
        <w:rPr>
          <w:rFonts w:ascii="Times New Roman" w:eastAsia="Times New Roman" w:hAnsi="Times New Roman" w:cs="Times New Roman"/>
          <w:b/>
          <w:bCs/>
          <w:color w:val="000000" w:themeColor="text1"/>
          <w:sz w:val="24"/>
          <w:szCs w:val="24"/>
          <w:lang w:val="es-ES" w:eastAsia="es-MX"/>
        </w:rPr>
      </w:pPr>
    </w:p>
    <w:p w14:paraId="0F45C95E" w14:textId="77777777" w:rsidR="005866FA" w:rsidRPr="00A4283E" w:rsidRDefault="005866FA" w:rsidP="005866FA">
      <w:pPr>
        <w:pStyle w:val="Prrafodelista"/>
        <w:numPr>
          <w:ilvl w:val="0"/>
          <w:numId w:val="7"/>
        </w:numPr>
        <w:spacing w:after="0" w:line="276" w:lineRule="auto"/>
        <w:ind w:left="0" w:firstLine="0"/>
        <w:contextualSpacing w:val="0"/>
        <w:jc w:val="both"/>
        <w:rPr>
          <w:rFonts w:ascii="Times New Roman" w:hAnsi="Times New Roman" w:cs="Times New Roman"/>
          <w:color w:val="000000" w:themeColor="text1"/>
          <w:sz w:val="24"/>
          <w:szCs w:val="24"/>
          <w:lang w:val="es-ES"/>
        </w:rPr>
      </w:pPr>
      <w:r w:rsidRPr="00A4283E">
        <w:rPr>
          <w:rFonts w:ascii="Times New Roman" w:eastAsia="Times New Roman" w:hAnsi="Times New Roman" w:cs="Times New Roman"/>
          <w:b/>
          <w:bCs/>
          <w:color w:val="000000" w:themeColor="text1"/>
          <w:sz w:val="24"/>
          <w:szCs w:val="24"/>
          <w:lang w:eastAsia="es-MX"/>
        </w:rPr>
        <w:t>SOBRE LA COMPETENCIA.</w:t>
      </w:r>
      <w:r w:rsidRPr="00A4283E">
        <w:rPr>
          <w:rFonts w:ascii="Times New Roman" w:eastAsia="Times New Roman" w:hAnsi="Times New Roman" w:cs="Times New Roman"/>
          <w:b/>
          <w:bCs/>
          <w:color w:val="000000" w:themeColor="text1"/>
          <w:sz w:val="24"/>
          <w:szCs w:val="24"/>
          <w:lang w:eastAsia="es-MX"/>
        </w:rPr>
        <w:tab/>
      </w:r>
      <w:r w:rsidRPr="00A4283E">
        <w:rPr>
          <w:rFonts w:ascii="Times New Roman" w:hAnsi="Times New Roman" w:cs="Times New Roman"/>
          <w:color w:val="000000" w:themeColor="text1"/>
          <w:sz w:val="24"/>
          <w:szCs w:val="24"/>
        </w:rPr>
        <w:t xml:space="preserve">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 </w:t>
      </w:r>
    </w:p>
    <w:p w14:paraId="034AD812" w14:textId="77777777" w:rsidR="005866FA" w:rsidRPr="00A4283E" w:rsidRDefault="005866FA" w:rsidP="005866FA">
      <w:pPr>
        <w:pStyle w:val="Prrafodelista"/>
        <w:spacing w:after="0" w:line="276" w:lineRule="auto"/>
        <w:ind w:left="0"/>
        <w:contextualSpacing w:val="0"/>
        <w:jc w:val="both"/>
        <w:rPr>
          <w:rFonts w:ascii="Times New Roman" w:hAnsi="Times New Roman" w:cs="Times New Roman"/>
          <w:color w:val="000000" w:themeColor="text1"/>
          <w:sz w:val="24"/>
          <w:szCs w:val="24"/>
          <w:lang w:val="es-ES"/>
        </w:rPr>
      </w:pPr>
    </w:p>
    <w:p w14:paraId="4AE0A9C6" w14:textId="72ADCA9E" w:rsidR="005866FA" w:rsidRPr="00A4283E" w:rsidRDefault="005866FA" w:rsidP="005866FA">
      <w:pPr>
        <w:spacing w:after="0" w:line="276" w:lineRule="auto"/>
        <w:jc w:val="both"/>
        <w:rPr>
          <w:rFonts w:ascii="Times New Roman" w:eastAsia="Times New Roman" w:hAnsi="Times New Roman" w:cs="Times New Roman"/>
          <w:color w:val="000000" w:themeColor="text1"/>
          <w:sz w:val="24"/>
          <w:szCs w:val="24"/>
          <w:lang w:val="es-ES" w:eastAsia="es-MX"/>
        </w:rPr>
      </w:pPr>
      <w:r w:rsidRPr="00A4283E">
        <w:rPr>
          <w:rFonts w:ascii="Times New Roman" w:hAnsi="Times New Roman" w:cs="Times New Roman"/>
          <w:b/>
          <w:bCs/>
          <w:color w:val="000000" w:themeColor="text1"/>
          <w:sz w:val="24"/>
          <w:szCs w:val="24"/>
        </w:rPr>
        <w:t>ADMISIBILIDAD DEL RECURSO. -</w:t>
      </w:r>
      <w:r w:rsidRPr="00A4283E">
        <w:rPr>
          <w:rFonts w:ascii="Times New Roman" w:hAnsi="Times New Roman" w:cs="Times New Roman"/>
          <w:b/>
          <w:bCs/>
          <w:color w:val="000000" w:themeColor="text1"/>
          <w:sz w:val="24"/>
          <w:szCs w:val="24"/>
        </w:rPr>
        <w:tab/>
      </w:r>
      <w:r w:rsidRPr="00A4283E">
        <w:rPr>
          <w:rFonts w:ascii="Times New Roman" w:hAnsi="Times New Roman" w:cs="Times New Roman"/>
          <w:b/>
          <w:bCs/>
          <w:color w:val="000000" w:themeColor="text1"/>
          <w:sz w:val="24"/>
          <w:szCs w:val="24"/>
          <w:u w:val="single"/>
        </w:rPr>
        <w:t>En cuanto al plazo para impugnar</w:t>
      </w:r>
      <w:r w:rsidRPr="00A4283E">
        <w:rPr>
          <w:rFonts w:ascii="Times New Roman" w:hAnsi="Times New Roman" w:cs="Times New Roman"/>
          <w:color w:val="000000" w:themeColor="text1"/>
          <w:sz w:val="24"/>
          <w:szCs w:val="24"/>
        </w:rPr>
        <w:t xml:space="preserve">: El </w:t>
      </w:r>
      <w:r w:rsidRPr="00A4283E">
        <w:rPr>
          <w:rFonts w:ascii="Times New Roman" w:hAnsi="Times New Roman" w:cs="Times New Roman"/>
          <w:b/>
          <w:color w:val="000000" w:themeColor="text1"/>
          <w:sz w:val="24"/>
          <w:szCs w:val="24"/>
        </w:rPr>
        <w:t>Artículo 3.4 de la Sesión Ordinaria 38-2022 de 31 de agosto de 2022</w:t>
      </w:r>
      <w:r w:rsidRPr="00A4283E">
        <w:rPr>
          <w:rFonts w:ascii="Times New Roman" w:hAnsi="Times New Roman" w:cs="Times New Roman"/>
          <w:bCs/>
          <w:color w:val="000000" w:themeColor="text1"/>
          <w:sz w:val="24"/>
          <w:szCs w:val="24"/>
        </w:rPr>
        <w:t xml:space="preserve">, fue notificado el </w:t>
      </w:r>
      <w:r w:rsidRPr="00A4283E">
        <w:rPr>
          <w:rFonts w:ascii="Times New Roman" w:hAnsi="Times New Roman" w:cs="Times New Roman"/>
          <w:b/>
          <w:color w:val="000000" w:themeColor="text1"/>
          <w:sz w:val="24"/>
          <w:szCs w:val="24"/>
        </w:rPr>
        <w:t>8 de setiembre de 2022</w:t>
      </w:r>
      <w:r w:rsidRPr="00A4283E">
        <w:rPr>
          <w:rFonts w:ascii="Times New Roman" w:hAnsi="Times New Roman" w:cs="Times New Roman"/>
          <w:bCs/>
          <w:color w:val="000000" w:themeColor="text1"/>
          <w:sz w:val="24"/>
          <w:szCs w:val="24"/>
        </w:rPr>
        <w:t xml:space="preserve">, sin que conste que le fuera comunicado al recurrente en el comprobante respectivo (ver folio 118 del expediente administrativo TAT-002-23). El </w:t>
      </w:r>
      <w:r w:rsidRPr="00A4283E">
        <w:rPr>
          <w:rFonts w:ascii="Times New Roman" w:hAnsi="Times New Roman" w:cs="Times New Roman"/>
          <w:b/>
          <w:smallCaps/>
          <w:color w:val="000000" w:themeColor="text1"/>
          <w:sz w:val="24"/>
          <w:szCs w:val="24"/>
        </w:rPr>
        <w:t>recurso de apelación en subsidio e incidentes previos de nulidad y suspensión de efectos del acto</w:t>
      </w:r>
      <w:r w:rsidRPr="00A4283E">
        <w:rPr>
          <w:rFonts w:ascii="Times New Roman" w:hAnsi="Times New Roman" w:cs="Times New Roman"/>
          <w:bCs/>
          <w:smallCaps/>
          <w:color w:val="000000" w:themeColor="text1"/>
          <w:sz w:val="24"/>
          <w:szCs w:val="24"/>
        </w:rPr>
        <w:t>,</w:t>
      </w:r>
      <w:r w:rsidRPr="00A4283E">
        <w:rPr>
          <w:rFonts w:ascii="Times New Roman" w:hAnsi="Times New Roman" w:cs="Times New Roman"/>
          <w:b/>
          <w:smallCaps/>
          <w:color w:val="000000" w:themeColor="text1"/>
          <w:sz w:val="24"/>
          <w:szCs w:val="24"/>
        </w:rPr>
        <w:t xml:space="preserve"> </w:t>
      </w:r>
      <w:r w:rsidRPr="00A4283E">
        <w:rPr>
          <w:rFonts w:ascii="Times New Roman" w:hAnsi="Times New Roman" w:cs="Times New Roman"/>
          <w:color w:val="000000" w:themeColor="text1"/>
          <w:sz w:val="24"/>
          <w:szCs w:val="24"/>
        </w:rPr>
        <w:t xml:space="preserve">se interpone el </w:t>
      </w:r>
      <w:r w:rsidRPr="00A4283E">
        <w:rPr>
          <w:rFonts w:ascii="Times New Roman" w:hAnsi="Times New Roman" w:cs="Times New Roman"/>
          <w:b/>
          <w:bCs/>
          <w:color w:val="000000" w:themeColor="text1"/>
          <w:sz w:val="24"/>
          <w:szCs w:val="24"/>
        </w:rPr>
        <w:t>29 de setiembre de 2022</w:t>
      </w:r>
      <w:r w:rsidRPr="00A4283E">
        <w:rPr>
          <w:rFonts w:ascii="Times New Roman" w:hAnsi="Times New Roman" w:cs="Times New Roman"/>
          <w:color w:val="000000" w:themeColor="text1"/>
          <w:sz w:val="24"/>
          <w:szCs w:val="24"/>
        </w:rPr>
        <w:t xml:space="preserve">, y al no figurar el recurrente como interesado en el acuerdo ni habérsele comunicado, se tiene presentado el recurso de apelación en subsidio </w:t>
      </w:r>
      <w:r w:rsidRPr="00A4283E">
        <w:rPr>
          <w:rFonts w:ascii="Times New Roman" w:hAnsi="Times New Roman" w:cs="Times New Roman"/>
          <w:bCs/>
          <w:color w:val="000000" w:themeColor="text1"/>
          <w:sz w:val="24"/>
          <w:szCs w:val="24"/>
        </w:rPr>
        <w:t>e incidentes previos de nulidad y suspensión de efectos del acto,</w:t>
      </w:r>
      <w:r w:rsidRPr="00A4283E">
        <w:rPr>
          <w:rFonts w:ascii="Times New Roman" w:hAnsi="Times New Roman" w:cs="Times New Roman"/>
          <w:b/>
          <w:smallCaps/>
          <w:color w:val="000000" w:themeColor="text1"/>
          <w:sz w:val="24"/>
          <w:szCs w:val="24"/>
        </w:rPr>
        <w:t xml:space="preserve"> </w:t>
      </w:r>
      <w:r w:rsidRPr="00A4283E">
        <w:rPr>
          <w:rFonts w:ascii="Times New Roman" w:hAnsi="Times New Roman" w:cs="Times New Roman"/>
          <w:color w:val="000000" w:themeColor="text1"/>
          <w:sz w:val="24"/>
          <w:szCs w:val="24"/>
        </w:rPr>
        <w:t>dentro del plazo dispuesto por el Ordenamiento Jurídico para tales efectos.</w:t>
      </w:r>
      <w:r w:rsidRPr="00A4283E">
        <w:rPr>
          <w:rFonts w:ascii="Times New Roman" w:hAnsi="Times New Roman" w:cs="Times New Roman"/>
          <w:b/>
          <w:bCs/>
          <w:color w:val="000000" w:themeColor="text1"/>
          <w:sz w:val="24"/>
          <w:szCs w:val="24"/>
          <w:u w:val="single"/>
        </w:rPr>
        <w:t xml:space="preserve"> En cuanto a la Legitimación</w:t>
      </w:r>
      <w:r w:rsidRPr="00A4283E">
        <w:rPr>
          <w:rFonts w:ascii="Times New Roman" w:hAnsi="Times New Roman" w:cs="Times New Roman"/>
          <w:b/>
          <w:bCs/>
          <w:color w:val="000000" w:themeColor="text1"/>
          <w:sz w:val="24"/>
          <w:szCs w:val="24"/>
        </w:rPr>
        <w:t xml:space="preserve">: </w:t>
      </w:r>
      <w:r w:rsidRPr="00A4283E">
        <w:rPr>
          <w:rFonts w:ascii="Times New Roman" w:eastAsia="Times New Roman" w:hAnsi="Times New Roman" w:cs="Times New Roman"/>
          <w:bCs/>
          <w:color w:val="000000" w:themeColor="text1"/>
          <w:sz w:val="24"/>
          <w:szCs w:val="24"/>
          <w:lang w:eastAsia="es-MX"/>
        </w:rPr>
        <w:t xml:space="preserve">El recurrente plantea su acción recursiva estimando que ostenta su legitimación </w:t>
      </w:r>
      <w:r w:rsidRPr="00A4283E">
        <w:rPr>
          <w:rFonts w:ascii="Times New Roman" w:eastAsia="Times New Roman" w:hAnsi="Times New Roman" w:cs="Times New Roman"/>
          <w:color w:val="000000" w:themeColor="text1"/>
          <w:sz w:val="24"/>
          <w:szCs w:val="24"/>
          <w:lang w:val="es-ES" w:eastAsia="es-MX"/>
        </w:rPr>
        <w:t>en su condición de ciudadano, usuario</w:t>
      </w:r>
      <w:r w:rsidR="002D40CB" w:rsidRPr="00A4283E">
        <w:rPr>
          <w:rFonts w:ascii="Times New Roman" w:eastAsia="Times New Roman" w:hAnsi="Times New Roman" w:cs="Times New Roman"/>
          <w:color w:val="000000" w:themeColor="text1"/>
          <w:sz w:val="24"/>
          <w:szCs w:val="24"/>
          <w:lang w:val="es-ES" w:eastAsia="es-MX"/>
        </w:rPr>
        <w:t xml:space="preserve"> más regular en algunas </w:t>
      </w:r>
      <w:r w:rsidR="00973754" w:rsidRPr="00A4283E">
        <w:rPr>
          <w:rFonts w:ascii="Times New Roman" w:eastAsia="Times New Roman" w:hAnsi="Times New Roman" w:cs="Times New Roman"/>
          <w:color w:val="000000" w:themeColor="text1"/>
          <w:sz w:val="24"/>
          <w:szCs w:val="24"/>
          <w:lang w:val="es-ES" w:eastAsia="es-MX"/>
        </w:rPr>
        <w:t>ocasiones</w:t>
      </w:r>
      <w:r w:rsidR="002D40CB" w:rsidRPr="00A4283E">
        <w:rPr>
          <w:rFonts w:ascii="Times New Roman" w:eastAsia="Times New Roman" w:hAnsi="Times New Roman" w:cs="Times New Roman"/>
          <w:color w:val="000000" w:themeColor="text1"/>
          <w:sz w:val="24"/>
          <w:szCs w:val="24"/>
          <w:lang w:val="es-ES" w:eastAsia="es-MX"/>
        </w:rPr>
        <w:t xml:space="preserve">, y en otras más esporádico, </w:t>
      </w:r>
      <w:r w:rsidRPr="00A4283E">
        <w:rPr>
          <w:rFonts w:ascii="Times New Roman" w:eastAsia="Times New Roman" w:hAnsi="Times New Roman" w:cs="Times New Roman"/>
          <w:color w:val="000000" w:themeColor="text1"/>
          <w:sz w:val="24"/>
          <w:szCs w:val="24"/>
          <w:lang w:val="es-ES" w:eastAsia="es-MX"/>
        </w:rPr>
        <w:t xml:space="preserve">del servicio de transporte público de la ruta </w:t>
      </w:r>
      <w:r w:rsidR="000D5DED">
        <w:rPr>
          <w:rFonts w:ascii="Times New Roman" w:eastAsia="Times New Roman" w:hAnsi="Times New Roman" w:cs="Times New Roman"/>
          <w:color w:val="000000" w:themeColor="text1"/>
          <w:sz w:val="24"/>
          <w:szCs w:val="24"/>
          <w:lang w:val="es-ES" w:eastAsia="es-MX"/>
        </w:rPr>
        <w:t>000</w:t>
      </w:r>
      <w:r w:rsidRPr="00A4283E">
        <w:rPr>
          <w:rFonts w:ascii="Times New Roman" w:eastAsia="Times New Roman" w:hAnsi="Times New Roman" w:cs="Times New Roman"/>
          <w:color w:val="000000" w:themeColor="text1"/>
          <w:sz w:val="24"/>
          <w:szCs w:val="24"/>
          <w:lang w:val="es-ES" w:eastAsia="es-MX"/>
        </w:rPr>
        <w:t xml:space="preserve">, en que presentó recursos administrativos ante la Municipalidad de Puntarenas en contra del otorgamiento de </w:t>
      </w:r>
      <w:r w:rsidRPr="00A4283E">
        <w:rPr>
          <w:rFonts w:ascii="Times New Roman" w:eastAsia="Times New Roman" w:hAnsi="Times New Roman" w:cs="Times New Roman"/>
          <w:color w:val="000000" w:themeColor="text1"/>
          <w:sz w:val="24"/>
          <w:szCs w:val="24"/>
          <w:lang w:val="es-ES" w:eastAsia="es-MX"/>
        </w:rPr>
        <w:lastRenderedPageBreak/>
        <w:t>los permisos de construcción y patentes, presuntamente aprobados de manera irregular, logrando la anulación del oficio MP-DPUC-RES-1002-2018 de 26 de noviembre de 2018, debido a que el Plan Regulador de Puntarenas no permite este tipo de actividades, en la zona donde indica se construyó ilegítimamente</w:t>
      </w:r>
      <w:r w:rsidR="002D40CB" w:rsidRPr="00A4283E">
        <w:rPr>
          <w:rFonts w:ascii="Times New Roman" w:eastAsia="Times New Roman" w:hAnsi="Times New Roman" w:cs="Times New Roman"/>
          <w:color w:val="000000" w:themeColor="text1"/>
          <w:sz w:val="24"/>
          <w:szCs w:val="24"/>
          <w:lang w:val="es-ES" w:eastAsia="es-MX"/>
        </w:rPr>
        <w:t>, así como las denuncias que ha presentado ante el Consejo de Transporte Público</w:t>
      </w:r>
      <w:r w:rsidRPr="00A4283E">
        <w:rPr>
          <w:rFonts w:ascii="Times New Roman" w:eastAsia="Times New Roman" w:hAnsi="Times New Roman" w:cs="Times New Roman"/>
          <w:color w:val="000000" w:themeColor="text1"/>
          <w:sz w:val="24"/>
          <w:szCs w:val="24"/>
          <w:lang w:val="es-ES" w:eastAsia="es-MX"/>
        </w:rPr>
        <w:t>.</w:t>
      </w:r>
    </w:p>
    <w:p w14:paraId="27DDF795" w14:textId="77777777" w:rsidR="005866FA" w:rsidRPr="00A4283E" w:rsidRDefault="005866FA" w:rsidP="005866FA">
      <w:pPr>
        <w:spacing w:after="0" w:line="276" w:lineRule="auto"/>
        <w:jc w:val="both"/>
        <w:rPr>
          <w:rFonts w:ascii="Times New Roman" w:eastAsia="Times New Roman" w:hAnsi="Times New Roman" w:cs="Times New Roman"/>
          <w:color w:val="000000" w:themeColor="text1"/>
          <w:sz w:val="24"/>
          <w:szCs w:val="24"/>
          <w:lang w:val="es-ES" w:eastAsia="es-MX"/>
        </w:rPr>
      </w:pPr>
    </w:p>
    <w:p w14:paraId="7C72F6EB" w14:textId="3FD1595D" w:rsidR="002D40CB" w:rsidRPr="00A4283E" w:rsidRDefault="005866FA" w:rsidP="002D40CB">
      <w:pPr>
        <w:spacing w:after="0" w:line="276" w:lineRule="auto"/>
        <w:jc w:val="both"/>
        <w:rPr>
          <w:rFonts w:ascii="Times New Roman" w:eastAsia="Times New Roman" w:hAnsi="Times New Roman" w:cs="Times New Roman"/>
          <w:bCs/>
          <w:color w:val="000000" w:themeColor="text1"/>
          <w:sz w:val="24"/>
          <w:szCs w:val="24"/>
          <w:lang w:eastAsia="es-MX"/>
        </w:rPr>
      </w:pPr>
      <w:r w:rsidRPr="00A4283E">
        <w:rPr>
          <w:rFonts w:ascii="Times New Roman" w:eastAsia="Times New Roman" w:hAnsi="Times New Roman" w:cs="Times New Roman"/>
          <w:color w:val="000000" w:themeColor="text1"/>
          <w:sz w:val="24"/>
          <w:szCs w:val="24"/>
          <w:lang w:val="es-ES" w:eastAsia="es-MX"/>
        </w:rPr>
        <w:t xml:space="preserve">También refiere que su legitimación deriva </w:t>
      </w:r>
      <w:r w:rsidRPr="00A4283E">
        <w:rPr>
          <w:rFonts w:ascii="Times New Roman" w:eastAsia="Times New Roman" w:hAnsi="Times New Roman" w:cs="Times New Roman"/>
          <w:color w:val="000000" w:themeColor="text1"/>
          <w:sz w:val="24"/>
          <w:szCs w:val="24"/>
          <w:lang w:eastAsia="es-MX"/>
        </w:rPr>
        <w:t>del artículo 275 de la LGAP, pues ha sido vehemente en cuanto a la revisión de la legalidad del procedimiento señalado, en distintas instancias y especialmente por el nivel de afectación que la entrada en operación de instalaciones sin permiso supone para el colectivo</w:t>
      </w:r>
      <w:r w:rsidR="002D40CB" w:rsidRPr="00A4283E">
        <w:rPr>
          <w:rFonts w:ascii="Times New Roman" w:eastAsia="Times New Roman" w:hAnsi="Times New Roman" w:cs="Times New Roman"/>
          <w:color w:val="000000" w:themeColor="text1"/>
          <w:sz w:val="24"/>
          <w:szCs w:val="24"/>
          <w:lang w:eastAsia="es-MX"/>
        </w:rPr>
        <w:t xml:space="preserve">. También señala que </w:t>
      </w:r>
      <w:r w:rsidR="002D40CB" w:rsidRPr="00A4283E">
        <w:rPr>
          <w:rFonts w:ascii="Times New Roman" w:eastAsia="Times New Roman" w:hAnsi="Times New Roman" w:cs="Times New Roman"/>
          <w:bCs/>
          <w:color w:val="000000" w:themeColor="text1"/>
          <w:sz w:val="24"/>
          <w:szCs w:val="24"/>
          <w:lang w:eastAsia="es-MX"/>
        </w:rPr>
        <w:t>su condición de denunciante directo del presente asunto, le genera expectativa, derivando su legitimación en un interés actual, propio, y legítimo.</w:t>
      </w:r>
    </w:p>
    <w:p w14:paraId="6177981F" w14:textId="77777777" w:rsidR="002D40CB" w:rsidRPr="00A4283E" w:rsidRDefault="002D40CB" w:rsidP="002D40CB">
      <w:pPr>
        <w:shd w:val="clear" w:color="auto" w:fill="FFFFFF"/>
        <w:spacing w:after="0" w:line="315" w:lineRule="atLeast"/>
        <w:jc w:val="both"/>
        <w:rPr>
          <w:rFonts w:ascii="Times New Roman" w:hAnsi="Times New Roman" w:cs="Times New Roman"/>
          <w:color w:val="000000" w:themeColor="text1"/>
          <w:sz w:val="24"/>
          <w:szCs w:val="24"/>
        </w:rPr>
      </w:pPr>
    </w:p>
    <w:p w14:paraId="6D454C1E" w14:textId="77777777" w:rsidR="005866FA" w:rsidRPr="00A4283E" w:rsidRDefault="005866FA" w:rsidP="005866FA">
      <w:pPr>
        <w:spacing w:after="0" w:line="276" w:lineRule="auto"/>
        <w:jc w:val="both"/>
        <w:rPr>
          <w:rFonts w:ascii="Times New Roman" w:eastAsia="Times New Roman" w:hAnsi="Times New Roman" w:cs="Times New Roman"/>
          <w:bCs/>
          <w:color w:val="000000" w:themeColor="text1"/>
          <w:sz w:val="24"/>
          <w:szCs w:val="24"/>
          <w:lang w:eastAsia="es-MX"/>
        </w:rPr>
      </w:pPr>
      <w:r w:rsidRPr="00A4283E">
        <w:rPr>
          <w:rFonts w:ascii="Times New Roman" w:eastAsia="Times New Roman" w:hAnsi="Times New Roman" w:cs="Times New Roman"/>
          <w:bCs/>
          <w:color w:val="000000" w:themeColor="text1"/>
          <w:sz w:val="24"/>
          <w:szCs w:val="24"/>
          <w:lang w:eastAsia="es-MX"/>
        </w:rPr>
        <w:t>Es importante recalcar, que la actuación del Tribunal Administrativo de Transporte es en la fase recursiva y agotamiento de vía administrativa, donde puede entrar a conocer los argumentos y pruebas que se hayan presentado dentro del procedimiento administrativo, sea ordinario o sumario, así como las que se aporten junto al recurso de apelación como en el presente caso, circunscribiéndose a la materia de transporte público, sin poder entrar a conocer de la materia municipal o urbanística.</w:t>
      </w:r>
    </w:p>
    <w:p w14:paraId="168618A2" w14:textId="77777777" w:rsidR="005866FA" w:rsidRPr="00A4283E" w:rsidRDefault="005866FA" w:rsidP="005866FA">
      <w:pPr>
        <w:spacing w:after="0" w:line="276" w:lineRule="auto"/>
        <w:jc w:val="both"/>
        <w:rPr>
          <w:rFonts w:ascii="Times New Roman" w:eastAsia="Times New Roman" w:hAnsi="Times New Roman" w:cs="Times New Roman"/>
          <w:bCs/>
          <w:color w:val="000000" w:themeColor="text1"/>
          <w:sz w:val="24"/>
          <w:szCs w:val="24"/>
          <w:lang w:eastAsia="es-MX"/>
        </w:rPr>
      </w:pPr>
    </w:p>
    <w:p w14:paraId="3D20E051" w14:textId="7BA8E8FF" w:rsidR="002D40CB" w:rsidRPr="00A4283E" w:rsidRDefault="002D40CB" w:rsidP="002D40CB">
      <w:pPr>
        <w:shd w:val="clear" w:color="auto" w:fill="FFFFFF"/>
        <w:spacing w:after="0" w:line="315" w:lineRule="atLeast"/>
        <w:jc w:val="both"/>
        <w:rPr>
          <w:rFonts w:ascii="Times New Roman" w:eastAsia="Times New Roman" w:hAnsi="Times New Roman" w:cs="Times New Roman"/>
          <w:color w:val="000000" w:themeColor="text1"/>
          <w:sz w:val="24"/>
          <w:szCs w:val="24"/>
          <w:shd w:val="clear" w:color="auto" w:fill="FFFFFF"/>
          <w:lang w:eastAsia="es-CR"/>
        </w:rPr>
      </w:pPr>
      <w:r w:rsidRPr="00A4283E">
        <w:rPr>
          <w:rFonts w:ascii="Times New Roman" w:hAnsi="Times New Roman" w:cs="Times New Roman"/>
          <w:color w:val="000000" w:themeColor="text1"/>
          <w:sz w:val="24"/>
          <w:szCs w:val="24"/>
        </w:rPr>
        <w:t xml:space="preserve">De conformidad con el artículo 275 de la Ley General de la Administración Pública, cualquier persona física o jurídica que ostente un interés podrá ser moral, científico, religioso, económico o de cualquier otra naturaleza, puede constituirse en parte del procedimiento, pero esto no implica una acción popular, ni mucho menos el actuar en la fase recursiva. Esto es que con el dictado del acto final de un procedimiento -en este caso el tendiente a obtener el permiso de una parada en tránsito- </w:t>
      </w:r>
      <w:r w:rsidRPr="00A4283E">
        <w:rPr>
          <w:rFonts w:ascii="Times New Roman" w:eastAsia="Times New Roman" w:hAnsi="Times New Roman" w:cs="Times New Roman"/>
          <w:color w:val="000000" w:themeColor="text1"/>
          <w:sz w:val="24"/>
          <w:szCs w:val="24"/>
          <w:shd w:val="clear" w:color="auto" w:fill="FFFFFF"/>
          <w:lang w:eastAsia="es-CR"/>
        </w:rPr>
        <w:t>la legitimación a dilucidar es la de la etapa de la impugnación. El artículo 342 de la Ley General de la Administración Pública fija la facultad impugnatoria a las partes del procedimiento, esto es, los destinatarios de la decisión administrativa dentro de su esfera jurídica. Ahora bien, el artículo 65.2 del Código Procesal Civil, -de aplicación supletoria por disposición del artículo 220 del Código Procesal Contencioso Administrativo en concordancia con el artículo 19 de la Ley No. 7969- admite la tesis de que tendría igual legitimación recursiva, toda aquella persona que se vea perjudicada en su esfera jurídica por el acto administrativo dictado, para lo cual debe acreditar las situaciones que comprueben la acaecimiento negativo en su esfera jurídica del acto administrativo, de forma entonces que pueda haber un nexo causal con ese acto administrativo, en los términos del artículo 21.1 del Código Procesal Civil, de lo contrario no sería posible reconocer legitimación para recurrir la el acto administrativo.</w:t>
      </w:r>
    </w:p>
    <w:p w14:paraId="314A65CF" w14:textId="77777777" w:rsidR="002D40CB" w:rsidRPr="00A4283E" w:rsidRDefault="002D40CB" w:rsidP="002D40CB">
      <w:pPr>
        <w:shd w:val="clear" w:color="auto" w:fill="FFFFFF"/>
        <w:spacing w:after="0" w:line="315" w:lineRule="atLeast"/>
        <w:jc w:val="both"/>
        <w:rPr>
          <w:rFonts w:ascii="Times New Roman" w:eastAsia="Times New Roman" w:hAnsi="Times New Roman" w:cs="Times New Roman"/>
          <w:color w:val="000000" w:themeColor="text1"/>
          <w:sz w:val="24"/>
          <w:szCs w:val="24"/>
          <w:shd w:val="clear" w:color="auto" w:fill="FFFFFF"/>
          <w:lang w:eastAsia="es-CR"/>
        </w:rPr>
      </w:pPr>
    </w:p>
    <w:p w14:paraId="0E307CA3" w14:textId="105DB890" w:rsidR="002D40CB" w:rsidRPr="00A4283E" w:rsidRDefault="002D40CB" w:rsidP="0051452E">
      <w:pPr>
        <w:pStyle w:val="Prrafodelista"/>
        <w:spacing w:after="0" w:line="276" w:lineRule="auto"/>
        <w:ind w:left="0"/>
        <w:contextualSpacing w:val="0"/>
        <w:jc w:val="both"/>
        <w:rPr>
          <w:rFonts w:ascii="Times New Roman" w:hAnsi="Times New Roman" w:cs="Times New Roman"/>
          <w:color w:val="000000" w:themeColor="text1"/>
          <w:sz w:val="24"/>
          <w:szCs w:val="24"/>
        </w:rPr>
      </w:pPr>
      <w:r w:rsidRPr="00A4283E">
        <w:rPr>
          <w:rFonts w:ascii="Times New Roman" w:hAnsi="Times New Roman" w:cs="Times New Roman"/>
          <w:color w:val="000000" w:themeColor="text1"/>
          <w:sz w:val="24"/>
          <w:szCs w:val="24"/>
        </w:rPr>
        <w:t xml:space="preserve">Ahora bien, el </w:t>
      </w:r>
      <w:r w:rsidRPr="00A4283E">
        <w:rPr>
          <w:rFonts w:ascii="Times New Roman" w:hAnsi="Times New Roman" w:cs="Times New Roman"/>
          <w:b/>
          <w:color w:val="000000" w:themeColor="text1"/>
          <w:sz w:val="24"/>
          <w:szCs w:val="24"/>
        </w:rPr>
        <w:t>Artículo 3.4 de la Sesión Ordinaria 38-2022 de 31 de agosto de 2022</w:t>
      </w:r>
      <w:r w:rsidRPr="00A4283E">
        <w:rPr>
          <w:rFonts w:ascii="Times New Roman" w:hAnsi="Times New Roman" w:cs="Times New Roman"/>
          <w:bCs/>
          <w:color w:val="000000" w:themeColor="text1"/>
          <w:sz w:val="24"/>
          <w:szCs w:val="24"/>
        </w:rPr>
        <w:t>, es un acto administrativo de autorización de</w:t>
      </w:r>
      <w:r w:rsidRPr="00A4283E">
        <w:rPr>
          <w:rFonts w:ascii="Times New Roman" w:hAnsi="Times New Roman" w:cs="Times New Roman"/>
          <w:color w:val="000000" w:themeColor="text1"/>
          <w:sz w:val="20"/>
          <w:szCs w:val="20"/>
        </w:rPr>
        <w:t xml:space="preserve"> </w:t>
      </w:r>
      <w:r w:rsidRPr="00A4283E">
        <w:rPr>
          <w:rFonts w:ascii="Times New Roman" w:hAnsi="Times New Roman" w:cs="Times New Roman"/>
          <w:bCs/>
          <w:color w:val="000000" w:themeColor="text1"/>
          <w:sz w:val="24"/>
          <w:szCs w:val="24"/>
        </w:rPr>
        <w:t xml:space="preserve">la parada en tránsito para ingreso de unidades y espera de pasajeros en las instalaciones ubicadas en el centro de Puntarenas, en la intersección de </w:t>
      </w:r>
      <w:r w:rsidRPr="00A4283E">
        <w:rPr>
          <w:rFonts w:ascii="Times New Roman" w:hAnsi="Times New Roman" w:cs="Times New Roman"/>
          <w:bCs/>
          <w:color w:val="000000" w:themeColor="text1"/>
          <w:sz w:val="24"/>
          <w:szCs w:val="24"/>
        </w:rPr>
        <w:lastRenderedPageBreak/>
        <w:t xml:space="preserve">Calle Central con Avenida 2, para las Rutas No </w:t>
      </w:r>
      <w:r w:rsidR="00202196">
        <w:rPr>
          <w:rFonts w:ascii="Times New Roman" w:hAnsi="Times New Roman" w:cs="Times New Roman"/>
          <w:bCs/>
          <w:color w:val="000000" w:themeColor="text1"/>
          <w:sz w:val="24"/>
          <w:szCs w:val="24"/>
        </w:rPr>
        <w:t>000</w:t>
      </w:r>
      <w:r w:rsidRPr="00A4283E">
        <w:rPr>
          <w:rFonts w:ascii="Times New Roman" w:hAnsi="Times New Roman" w:cs="Times New Roman"/>
          <w:bCs/>
          <w:color w:val="000000" w:themeColor="text1"/>
          <w:sz w:val="24"/>
          <w:szCs w:val="24"/>
        </w:rPr>
        <w:t xml:space="preserve"> descrita como: </w:t>
      </w:r>
      <w:r w:rsidR="0051452E">
        <w:rPr>
          <w:rFonts w:ascii="Times New Roman" w:hAnsi="Times New Roman" w:cs="Times New Roman"/>
          <w:bCs/>
          <w:color w:val="000000" w:themeColor="text1"/>
          <w:sz w:val="24"/>
          <w:szCs w:val="24"/>
        </w:rPr>
        <w:t>000</w:t>
      </w:r>
      <w:r w:rsidRPr="00A4283E">
        <w:rPr>
          <w:rFonts w:ascii="Times New Roman" w:hAnsi="Times New Roman" w:cs="Times New Roman"/>
          <w:bCs/>
          <w:color w:val="000000" w:themeColor="text1"/>
          <w:sz w:val="24"/>
          <w:szCs w:val="24"/>
        </w:rPr>
        <w:t xml:space="preserve">; y </w:t>
      </w:r>
      <w:r w:rsidR="00202196">
        <w:rPr>
          <w:rFonts w:ascii="Times New Roman" w:hAnsi="Times New Roman" w:cs="Times New Roman"/>
          <w:bCs/>
          <w:color w:val="000000" w:themeColor="text1"/>
          <w:sz w:val="24"/>
          <w:szCs w:val="24"/>
        </w:rPr>
        <w:t>No. 000</w:t>
      </w:r>
      <w:r w:rsidRPr="00A4283E">
        <w:rPr>
          <w:rFonts w:ascii="Times New Roman" w:hAnsi="Times New Roman" w:cs="Times New Roman"/>
          <w:bCs/>
          <w:color w:val="000000" w:themeColor="text1"/>
          <w:sz w:val="24"/>
          <w:szCs w:val="24"/>
        </w:rPr>
        <w:t xml:space="preserve"> descrita como: </w:t>
      </w:r>
      <w:r w:rsidR="0051452E">
        <w:rPr>
          <w:rFonts w:ascii="Times New Roman" w:hAnsi="Times New Roman" w:cs="Times New Roman"/>
          <w:bCs/>
          <w:color w:val="000000" w:themeColor="text1"/>
          <w:sz w:val="24"/>
          <w:szCs w:val="24"/>
        </w:rPr>
        <w:t>000</w:t>
      </w:r>
      <w:r w:rsidRPr="00A4283E">
        <w:rPr>
          <w:rFonts w:ascii="Times New Roman" w:hAnsi="Times New Roman" w:cs="Times New Roman"/>
          <w:bCs/>
          <w:color w:val="000000" w:themeColor="text1"/>
          <w:sz w:val="24"/>
          <w:szCs w:val="24"/>
        </w:rPr>
        <w:t xml:space="preserve"> (</w:t>
      </w:r>
      <w:r w:rsidR="000D5DED">
        <w:rPr>
          <w:rFonts w:ascii="Times New Roman" w:hAnsi="Times New Roman" w:cs="Times New Roman"/>
          <w:bCs/>
          <w:color w:val="000000" w:themeColor="text1"/>
          <w:sz w:val="24"/>
          <w:szCs w:val="24"/>
        </w:rPr>
        <w:t>000</w:t>
      </w:r>
      <w:r w:rsidRPr="00A4283E">
        <w:rPr>
          <w:rFonts w:ascii="Times New Roman" w:hAnsi="Times New Roman" w:cs="Times New Roman"/>
          <w:bCs/>
          <w:color w:val="000000" w:themeColor="text1"/>
          <w:sz w:val="24"/>
          <w:szCs w:val="24"/>
        </w:rPr>
        <w:t xml:space="preserve">) </w:t>
      </w:r>
      <w:r w:rsidR="0051452E">
        <w:rPr>
          <w:rFonts w:ascii="Times New Roman" w:hAnsi="Times New Roman" w:cs="Times New Roman"/>
          <w:bCs/>
          <w:color w:val="000000" w:themeColor="text1"/>
          <w:sz w:val="24"/>
          <w:szCs w:val="24"/>
        </w:rPr>
        <w:t>000</w:t>
      </w:r>
      <w:r w:rsidRPr="00A4283E">
        <w:rPr>
          <w:rFonts w:ascii="Times New Roman" w:hAnsi="Times New Roman" w:cs="Times New Roman"/>
          <w:bCs/>
          <w:color w:val="000000" w:themeColor="text1"/>
          <w:sz w:val="24"/>
          <w:szCs w:val="24"/>
        </w:rPr>
        <w:t>, ambas operadas por la empresa</w:t>
      </w:r>
      <w:r w:rsidRPr="00A4283E">
        <w:rPr>
          <w:rFonts w:ascii="Times New Roman" w:hAnsi="Times New Roman" w:cs="Times New Roman"/>
          <w:color w:val="000000" w:themeColor="text1"/>
          <w:sz w:val="20"/>
          <w:szCs w:val="20"/>
        </w:rPr>
        <w:t xml:space="preserve"> </w:t>
      </w:r>
      <w:r w:rsidR="00202196">
        <w:rPr>
          <w:rFonts w:ascii="Times New Roman" w:hAnsi="Times New Roman" w:cs="Times New Roman"/>
          <w:b/>
          <w:color w:val="000000" w:themeColor="text1"/>
          <w:sz w:val="24"/>
          <w:szCs w:val="24"/>
        </w:rPr>
        <w:t>TQP</w:t>
      </w:r>
      <w:r w:rsidRPr="00A4283E">
        <w:rPr>
          <w:rFonts w:ascii="Times New Roman" w:hAnsi="Times New Roman" w:cs="Times New Roman"/>
          <w:b/>
          <w:color w:val="000000" w:themeColor="text1"/>
          <w:sz w:val="24"/>
          <w:szCs w:val="24"/>
        </w:rPr>
        <w:t xml:space="preserve"> S.A</w:t>
      </w:r>
      <w:r w:rsidRPr="00A4283E">
        <w:rPr>
          <w:rFonts w:ascii="Times New Roman" w:hAnsi="Times New Roman" w:cs="Times New Roman"/>
          <w:bCs/>
          <w:color w:val="000000" w:themeColor="text1"/>
          <w:sz w:val="24"/>
          <w:szCs w:val="24"/>
        </w:rPr>
        <w:t>.</w:t>
      </w:r>
      <w:r w:rsidR="00A4283E" w:rsidRPr="00A4283E">
        <w:rPr>
          <w:rFonts w:ascii="Times New Roman" w:hAnsi="Times New Roman" w:cs="Times New Roman"/>
          <w:bCs/>
          <w:color w:val="000000" w:themeColor="text1"/>
          <w:sz w:val="24"/>
          <w:szCs w:val="24"/>
        </w:rPr>
        <w:t>, siendo que en el expediente no se constata que el recurrente – denunciante se haya constituido como parte, d</w:t>
      </w:r>
      <w:r w:rsidRPr="00A4283E">
        <w:rPr>
          <w:rFonts w:ascii="Times New Roman" w:hAnsi="Times New Roman" w:cs="Times New Roman"/>
          <w:bCs/>
          <w:color w:val="000000" w:themeColor="text1"/>
          <w:sz w:val="24"/>
          <w:szCs w:val="24"/>
        </w:rPr>
        <w:t xml:space="preserve">entro del procedimiento seguido, </w:t>
      </w:r>
      <w:r w:rsidR="00A4283E" w:rsidRPr="00A4283E">
        <w:rPr>
          <w:rFonts w:ascii="Times New Roman" w:hAnsi="Times New Roman" w:cs="Times New Roman"/>
          <w:bCs/>
          <w:color w:val="000000" w:themeColor="text1"/>
          <w:sz w:val="24"/>
          <w:szCs w:val="24"/>
        </w:rPr>
        <w:t xml:space="preserve">sino como denunciante, esta condición jurídica no le alcanza para ostentar </w:t>
      </w:r>
      <w:r w:rsidRPr="00A4283E">
        <w:rPr>
          <w:rFonts w:ascii="Times New Roman" w:hAnsi="Times New Roman" w:cs="Times New Roman"/>
          <w:bCs/>
          <w:color w:val="000000" w:themeColor="text1"/>
          <w:sz w:val="24"/>
          <w:szCs w:val="24"/>
        </w:rPr>
        <w:t xml:space="preserve">legitimación </w:t>
      </w:r>
      <w:r w:rsidR="00A4283E" w:rsidRPr="00A4283E">
        <w:rPr>
          <w:rFonts w:ascii="Times New Roman" w:hAnsi="Times New Roman" w:cs="Times New Roman"/>
          <w:bCs/>
          <w:color w:val="000000" w:themeColor="text1"/>
          <w:sz w:val="24"/>
          <w:szCs w:val="24"/>
        </w:rPr>
        <w:t>en fase recursiva y así debe declararse</w:t>
      </w:r>
      <w:r w:rsidRPr="00A4283E">
        <w:rPr>
          <w:rFonts w:ascii="Times New Roman" w:hAnsi="Times New Roman" w:cs="Times New Roman"/>
          <w:bCs/>
          <w:color w:val="000000" w:themeColor="text1"/>
          <w:sz w:val="24"/>
          <w:szCs w:val="24"/>
        </w:rPr>
        <w:t>.</w:t>
      </w:r>
    </w:p>
    <w:p w14:paraId="478464EE" w14:textId="77777777" w:rsidR="002D40CB" w:rsidRPr="00A4283E" w:rsidRDefault="002D40CB" w:rsidP="005866FA">
      <w:pPr>
        <w:spacing w:after="0" w:line="276" w:lineRule="auto"/>
        <w:jc w:val="both"/>
        <w:rPr>
          <w:rFonts w:ascii="Times New Roman" w:eastAsia="Times New Roman" w:hAnsi="Times New Roman" w:cs="Times New Roman"/>
          <w:bCs/>
          <w:color w:val="000000" w:themeColor="text1"/>
          <w:sz w:val="24"/>
          <w:szCs w:val="24"/>
          <w:lang w:eastAsia="es-MX"/>
        </w:rPr>
      </w:pPr>
    </w:p>
    <w:p w14:paraId="6B22AD41" w14:textId="77777777" w:rsidR="005866FA" w:rsidRPr="00A4283E" w:rsidRDefault="005866FA" w:rsidP="005866FA">
      <w:pPr>
        <w:spacing w:after="0" w:line="276" w:lineRule="auto"/>
        <w:jc w:val="center"/>
        <w:rPr>
          <w:rFonts w:ascii="Times New Roman" w:eastAsia="Times New Roman" w:hAnsi="Times New Roman" w:cs="Times New Roman"/>
          <w:b/>
          <w:bCs/>
          <w:color w:val="000000" w:themeColor="text1"/>
          <w:sz w:val="24"/>
          <w:szCs w:val="24"/>
          <w:lang w:val="es-ES" w:eastAsia="es-MX"/>
        </w:rPr>
      </w:pPr>
    </w:p>
    <w:p w14:paraId="2C5D9851" w14:textId="77777777" w:rsidR="005866FA" w:rsidRPr="00A4283E" w:rsidRDefault="005866FA" w:rsidP="005866FA">
      <w:pPr>
        <w:spacing w:after="0" w:line="276" w:lineRule="auto"/>
        <w:jc w:val="center"/>
        <w:rPr>
          <w:rFonts w:ascii="Times New Roman" w:eastAsia="Times New Roman" w:hAnsi="Times New Roman" w:cs="Times New Roman"/>
          <w:b/>
          <w:bCs/>
          <w:color w:val="000000" w:themeColor="text1"/>
          <w:sz w:val="24"/>
          <w:szCs w:val="24"/>
          <w:lang w:val="es-ES" w:eastAsia="es-MX"/>
        </w:rPr>
      </w:pPr>
      <w:r w:rsidRPr="00A4283E">
        <w:rPr>
          <w:rFonts w:ascii="Times New Roman" w:eastAsia="Times New Roman" w:hAnsi="Times New Roman" w:cs="Times New Roman"/>
          <w:b/>
          <w:bCs/>
          <w:color w:val="000000" w:themeColor="text1"/>
          <w:sz w:val="24"/>
          <w:szCs w:val="24"/>
          <w:lang w:val="es-ES" w:eastAsia="es-MX"/>
        </w:rPr>
        <w:t xml:space="preserve">POR TANTO </w:t>
      </w:r>
    </w:p>
    <w:p w14:paraId="1DA91F17" w14:textId="77777777" w:rsidR="005866FA" w:rsidRPr="00A4283E" w:rsidRDefault="005866FA" w:rsidP="005866FA">
      <w:pPr>
        <w:spacing w:after="0" w:line="276" w:lineRule="auto"/>
        <w:jc w:val="both"/>
        <w:rPr>
          <w:rFonts w:ascii="Times New Roman" w:eastAsia="Times New Roman" w:hAnsi="Times New Roman" w:cs="Times New Roman"/>
          <w:b/>
          <w:bCs/>
          <w:color w:val="000000" w:themeColor="text1"/>
          <w:sz w:val="24"/>
          <w:szCs w:val="24"/>
          <w:lang w:val="es-ES" w:eastAsia="es-MX"/>
        </w:rPr>
      </w:pPr>
    </w:p>
    <w:p w14:paraId="6393BEAB" w14:textId="0A04186C" w:rsidR="00193714" w:rsidRDefault="005866FA" w:rsidP="00193714">
      <w:pPr>
        <w:numPr>
          <w:ilvl w:val="0"/>
          <w:numId w:val="3"/>
        </w:numPr>
        <w:tabs>
          <w:tab w:val="left" w:pos="851"/>
        </w:tabs>
        <w:spacing w:after="0" w:line="276" w:lineRule="auto"/>
        <w:ind w:left="426" w:hanging="426"/>
        <w:jc w:val="both"/>
        <w:rPr>
          <w:rFonts w:ascii="Times New Roman" w:hAnsi="Times New Roman" w:cs="Times New Roman"/>
          <w:bCs/>
          <w:color w:val="000000" w:themeColor="text1"/>
          <w:sz w:val="24"/>
          <w:szCs w:val="24"/>
          <w:lang w:val="es-ES"/>
        </w:rPr>
      </w:pPr>
      <w:r w:rsidRPr="00A4283E">
        <w:rPr>
          <w:rFonts w:ascii="Times New Roman" w:hAnsi="Times New Roman" w:cs="Times New Roman"/>
          <w:color w:val="000000" w:themeColor="text1"/>
          <w:sz w:val="24"/>
          <w:szCs w:val="24"/>
          <w:lang w:val="es-ES"/>
        </w:rPr>
        <w:t>Se</w:t>
      </w:r>
      <w:r w:rsidR="00A4283E" w:rsidRPr="00A4283E">
        <w:rPr>
          <w:rFonts w:ascii="Times New Roman" w:hAnsi="Times New Roman" w:cs="Times New Roman"/>
          <w:color w:val="000000" w:themeColor="text1"/>
          <w:sz w:val="24"/>
          <w:szCs w:val="24"/>
          <w:lang w:val="es-ES"/>
        </w:rPr>
        <w:t xml:space="preserve"> </w:t>
      </w:r>
      <w:r w:rsidR="008D136C">
        <w:rPr>
          <w:rFonts w:ascii="Times New Roman" w:hAnsi="Times New Roman" w:cs="Times New Roman"/>
          <w:color w:val="000000" w:themeColor="text1"/>
          <w:sz w:val="24"/>
          <w:szCs w:val="24"/>
          <w:lang w:val="es-ES"/>
        </w:rPr>
        <w:t xml:space="preserve">rechaza </w:t>
      </w:r>
      <w:r w:rsidR="008D136C">
        <w:rPr>
          <w:rFonts w:ascii="Times New Roman" w:hAnsi="Times New Roman" w:cs="Times New Roman"/>
          <w:b/>
          <w:bCs/>
          <w:color w:val="000000" w:themeColor="text1"/>
          <w:sz w:val="24"/>
          <w:szCs w:val="24"/>
          <w:lang w:val="es-ES"/>
        </w:rPr>
        <w:t>por</w:t>
      </w:r>
      <w:r w:rsidR="00A4283E" w:rsidRPr="00A4283E">
        <w:rPr>
          <w:rFonts w:ascii="Times New Roman" w:hAnsi="Times New Roman" w:cs="Times New Roman"/>
          <w:b/>
          <w:bCs/>
          <w:smallCaps/>
          <w:color w:val="000000" w:themeColor="text1"/>
          <w:sz w:val="24"/>
          <w:szCs w:val="24"/>
          <w:lang w:val="es-ES"/>
        </w:rPr>
        <w:t xml:space="preserve"> </w:t>
      </w:r>
      <w:r w:rsidR="008D136C" w:rsidRPr="008D136C">
        <w:rPr>
          <w:rFonts w:ascii="Times New Roman" w:hAnsi="Times New Roman" w:cs="Times New Roman"/>
          <w:b/>
          <w:bCs/>
          <w:color w:val="000000" w:themeColor="text1"/>
          <w:sz w:val="24"/>
          <w:szCs w:val="24"/>
          <w:lang w:val="es-ES"/>
        </w:rPr>
        <w:t xml:space="preserve">Falta </w:t>
      </w:r>
      <w:r w:rsidR="008D136C">
        <w:rPr>
          <w:rFonts w:ascii="Times New Roman" w:hAnsi="Times New Roman" w:cs="Times New Roman"/>
          <w:b/>
          <w:bCs/>
          <w:color w:val="000000" w:themeColor="text1"/>
          <w:sz w:val="24"/>
          <w:szCs w:val="24"/>
          <w:lang w:val="es-ES"/>
        </w:rPr>
        <w:t>d</w:t>
      </w:r>
      <w:r w:rsidR="008D136C" w:rsidRPr="008D136C">
        <w:rPr>
          <w:rFonts w:ascii="Times New Roman" w:hAnsi="Times New Roman" w:cs="Times New Roman"/>
          <w:b/>
          <w:bCs/>
          <w:color w:val="000000" w:themeColor="text1"/>
          <w:sz w:val="24"/>
          <w:szCs w:val="24"/>
          <w:lang w:val="es-ES"/>
        </w:rPr>
        <w:t>e Legitimación</w:t>
      </w:r>
      <w:r w:rsidR="008D136C">
        <w:rPr>
          <w:rFonts w:ascii="Times New Roman" w:hAnsi="Times New Roman" w:cs="Times New Roman"/>
          <w:b/>
          <w:bCs/>
          <w:color w:val="000000" w:themeColor="text1"/>
          <w:sz w:val="24"/>
          <w:szCs w:val="24"/>
          <w:lang w:val="es-ES"/>
        </w:rPr>
        <w:t xml:space="preserve"> el</w:t>
      </w:r>
      <w:r w:rsidR="008D136C" w:rsidRPr="008D136C">
        <w:rPr>
          <w:rFonts w:ascii="Times New Roman" w:hAnsi="Times New Roman" w:cs="Times New Roman"/>
          <w:b/>
          <w:bCs/>
          <w:color w:val="000000" w:themeColor="text1"/>
          <w:sz w:val="24"/>
          <w:szCs w:val="24"/>
          <w:lang w:val="es-ES"/>
        </w:rPr>
        <w:t xml:space="preserve"> </w:t>
      </w:r>
      <w:r w:rsidR="008D136C" w:rsidRPr="008D136C">
        <w:rPr>
          <w:rFonts w:ascii="Times New Roman" w:hAnsi="Times New Roman" w:cs="Times New Roman"/>
          <w:b/>
          <w:color w:val="000000" w:themeColor="text1"/>
          <w:sz w:val="24"/>
          <w:szCs w:val="24"/>
        </w:rPr>
        <w:t xml:space="preserve">Recurso </w:t>
      </w:r>
      <w:r w:rsidR="008D136C">
        <w:rPr>
          <w:rFonts w:ascii="Times New Roman" w:hAnsi="Times New Roman" w:cs="Times New Roman"/>
          <w:b/>
          <w:color w:val="000000" w:themeColor="text1"/>
          <w:sz w:val="24"/>
          <w:szCs w:val="24"/>
        </w:rPr>
        <w:t>d</w:t>
      </w:r>
      <w:r w:rsidR="008D136C" w:rsidRPr="008D136C">
        <w:rPr>
          <w:rFonts w:ascii="Times New Roman" w:hAnsi="Times New Roman" w:cs="Times New Roman"/>
          <w:b/>
          <w:color w:val="000000" w:themeColor="text1"/>
          <w:sz w:val="24"/>
          <w:szCs w:val="24"/>
        </w:rPr>
        <w:t xml:space="preserve">e Apelación en subsidio </w:t>
      </w:r>
      <w:r w:rsidR="008D136C">
        <w:rPr>
          <w:rFonts w:ascii="Times New Roman" w:hAnsi="Times New Roman" w:cs="Times New Roman"/>
          <w:b/>
          <w:color w:val="000000" w:themeColor="text1"/>
          <w:sz w:val="24"/>
          <w:szCs w:val="24"/>
        </w:rPr>
        <w:t>e</w:t>
      </w:r>
      <w:r w:rsidR="008D136C" w:rsidRPr="008D136C">
        <w:rPr>
          <w:rFonts w:ascii="Times New Roman" w:hAnsi="Times New Roman" w:cs="Times New Roman"/>
          <w:b/>
          <w:color w:val="000000" w:themeColor="text1"/>
          <w:sz w:val="24"/>
          <w:szCs w:val="24"/>
        </w:rPr>
        <w:t xml:space="preserve"> incidentes previos de nulidad y suspensión de efectos del acto</w:t>
      </w:r>
      <w:r w:rsidRPr="008D136C">
        <w:rPr>
          <w:rFonts w:ascii="Times New Roman" w:hAnsi="Times New Roman" w:cs="Times New Roman"/>
          <w:b/>
          <w:smallCaps/>
          <w:color w:val="000000" w:themeColor="text1"/>
          <w:sz w:val="24"/>
          <w:szCs w:val="24"/>
        </w:rPr>
        <w:t>,</w:t>
      </w:r>
      <w:r w:rsidRPr="00A4283E">
        <w:rPr>
          <w:rFonts w:ascii="Times New Roman" w:hAnsi="Times New Roman" w:cs="Times New Roman"/>
          <w:b/>
          <w:smallCaps/>
          <w:color w:val="000000" w:themeColor="text1"/>
          <w:sz w:val="24"/>
          <w:szCs w:val="24"/>
        </w:rPr>
        <w:t xml:space="preserve"> </w:t>
      </w:r>
      <w:r w:rsidRPr="00A4283E">
        <w:rPr>
          <w:rFonts w:ascii="Times New Roman" w:hAnsi="Times New Roman" w:cs="Times New Roman"/>
          <w:color w:val="000000" w:themeColor="text1"/>
          <w:sz w:val="24"/>
          <w:szCs w:val="24"/>
        </w:rPr>
        <w:t>interpuesto</w:t>
      </w:r>
      <w:r w:rsidR="00A4283E" w:rsidRPr="00A4283E">
        <w:rPr>
          <w:rFonts w:ascii="Times New Roman" w:hAnsi="Times New Roman" w:cs="Times New Roman"/>
          <w:color w:val="000000" w:themeColor="text1"/>
          <w:sz w:val="24"/>
          <w:szCs w:val="24"/>
        </w:rPr>
        <w:t>s</w:t>
      </w:r>
      <w:r w:rsidRPr="00A4283E">
        <w:rPr>
          <w:rFonts w:ascii="Times New Roman" w:hAnsi="Times New Roman" w:cs="Times New Roman"/>
          <w:color w:val="000000" w:themeColor="text1"/>
          <w:sz w:val="24"/>
          <w:szCs w:val="24"/>
        </w:rPr>
        <w:t xml:space="preserve"> por </w:t>
      </w:r>
      <w:r w:rsidR="00202196">
        <w:rPr>
          <w:rFonts w:ascii="Times New Roman" w:hAnsi="Times New Roman" w:cs="Times New Roman"/>
          <w:b/>
          <w:color w:val="000000" w:themeColor="text1"/>
          <w:sz w:val="24"/>
          <w:szCs w:val="24"/>
        </w:rPr>
        <w:t>FACC</w:t>
      </w:r>
      <w:r w:rsidRPr="00A4283E">
        <w:rPr>
          <w:rFonts w:ascii="Times New Roman" w:hAnsi="Times New Roman" w:cs="Times New Roman"/>
          <w:smallCaps/>
          <w:color w:val="000000" w:themeColor="text1"/>
          <w:sz w:val="24"/>
          <w:szCs w:val="24"/>
        </w:rPr>
        <w:t>,</w:t>
      </w:r>
      <w:r w:rsidRPr="00A4283E">
        <w:rPr>
          <w:rFonts w:ascii="Times New Roman" w:hAnsi="Times New Roman" w:cs="Times New Roman"/>
          <w:b/>
          <w:smallCaps/>
          <w:color w:val="000000" w:themeColor="text1"/>
          <w:sz w:val="24"/>
          <w:szCs w:val="24"/>
        </w:rPr>
        <w:t xml:space="preserve"> </w:t>
      </w:r>
      <w:r w:rsidRPr="00A4283E">
        <w:rPr>
          <w:rFonts w:ascii="Times New Roman" w:hAnsi="Times New Roman" w:cs="Times New Roman"/>
          <w:color w:val="000000" w:themeColor="text1"/>
          <w:sz w:val="24"/>
          <w:szCs w:val="24"/>
        </w:rPr>
        <w:t xml:space="preserve">cédula de identidad número </w:t>
      </w:r>
      <w:r w:rsidR="00202196">
        <w:rPr>
          <w:rFonts w:ascii="Times New Roman" w:hAnsi="Times New Roman" w:cs="Times New Roman"/>
          <w:color w:val="000000" w:themeColor="text1"/>
          <w:sz w:val="24"/>
          <w:szCs w:val="24"/>
        </w:rPr>
        <w:t>0</w:t>
      </w:r>
      <w:r w:rsidR="00951F77">
        <w:rPr>
          <w:rFonts w:ascii="Times New Roman" w:hAnsi="Times New Roman" w:cs="Times New Roman"/>
          <w:color w:val="000000" w:themeColor="text1"/>
          <w:sz w:val="24"/>
          <w:szCs w:val="24"/>
        </w:rPr>
        <w:t>00</w:t>
      </w:r>
      <w:r w:rsidRPr="00A4283E">
        <w:rPr>
          <w:rFonts w:ascii="Times New Roman" w:hAnsi="Times New Roman" w:cs="Times New Roman"/>
          <w:color w:val="000000" w:themeColor="text1"/>
          <w:sz w:val="24"/>
          <w:szCs w:val="24"/>
        </w:rPr>
        <w:t xml:space="preserve">; en contra del </w:t>
      </w:r>
      <w:r w:rsidRPr="00A4283E">
        <w:rPr>
          <w:rFonts w:ascii="Times New Roman" w:hAnsi="Times New Roman" w:cs="Times New Roman"/>
          <w:b/>
          <w:color w:val="000000" w:themeColor="text1"/>
          <w:sz w:val="24"/>
          <w:szCs w:val="24"/>
        </w:rPr>
        <w:t>Artículo 3.4 de la Sesión Ordinaria 38-2022 de 31 de agosto de 2022</w:t>
      </w:r>
      <w:r w:rsidRPr="00A4283E">
        <w:rPr>
          <w:rFonts w:ascii="Times New Roman" w:hAnsi="Times New Roman" w:cs="Times New Roman"/>
          <w:color w:val="000000" w:themeColor="text1"/>
          <w:sz w:val="24"/>
          <w:szCs w:val="24"/>
        </w:rPr>
        <w:t>, adoptado por la Junta Directiva del Consejo de Transporte Público</w:t>
      </w:r>
      <w:r w:rsidRPr="00A4283E">
        <w:rPr>
          <w:rFonts w:ascii="Times New Roman" w:hAnsi="Times New Roman" w:cs="Times New Roman"/>
          <w:bCs/>
          <w:color w:val="000000" w:themeColor="text1"/>
          <w:sz w:val="24"/>
          <w:szCs w:val="24"/>
          <w:lang w:val="es-ES"/>
        </w:rPr>
        <w:t>.</w:t>
      </w:r>
      <w:bookmarkStart w:id="6" w:name="_Hlk110928920"/>
    </w:p>
    <w:p w14:paraId="36BD601F" w14:textId="77777777" w:rsidR="00193714" w:rsidRDefault="00193714" w:rsidP="00193714">
      <w:pPr>
        <w:tabs>
          <w:tab w:val="left" w:pos="851"/>
        </w:tabs>
        <w:spacing w:after="0" w:line="276" w:lineRule="auto"/>
        <w:ind w:left="426"/>
        <w:jc w:val="both"/>
        <w:rPr>
          <w:rFonts w:ascii="Times New Roman" w:hAnsi="Times New Roman" w:cs="Times New Roman"/>
          <w:bCs/>
          <w:color w:val="000000" w:themeColor="text1"/>
          <w:sz w:val="24"/>
          <w:szCs w:val="24"/>
          <w:lang w:val="es-ES"/>
        </w:rPr>
      </w:pPr>
    </w:p>
    <w:bookmarkEnd w:id="6"/>
    <w:p w14:paraId="6728C902" w14:textId="77777777" w:rsidR="00193714" w:rsidRDefault="005866FA" w:rsidP="00193714">
      <w:pPr>
        <w:numPr>
          <w:ilvl w:val="0"/>
          <w:numId w:val="3"/>
        </w:numPr>
        <w:tabs>
          <w:tab w:val="left" w:pos="851"/>
        </w:tabs>
        <w:spacing w:after="0" w:line="276" w:lineRule="auto"/>
        <w:ind w:left="340" w:hanging="340"/>
        <w:jc w:val="both"/>
        <w:rPr>
          <w:rFonts w:ascii="Times New Roman" w:hAnsi="Times New Roman" w:cs="Times New Roman"/>
          <w:bCs/>
          <w:color w:val="000000" w:themeColor="text1"/>
          <w:sz w:val="24"/>
          <w:szCs w:val="24"/>
          <w:lang w:val="es-ES"/>
        </w:rPr>
      </w:pPr>
      <w:r w:rsidRPr="00193714">
        <w:rPr>
          <w:rFonts w:ascii="Times New Roman" w:hAnsi="Times New Roman" w:cs="Times New Roman"/>
          <w:color w:val="000000" w:themeColor="text1"/>
          <w:sz w:val="24"/>
          <w:szCs w:val="24"/>
        </w:rPr>
        <w:t xml:space="preserve">De conformidad con las disposiciones del Artículo 16 de la Ley No. 7969, rectora en la materia, se recuerda que los fallos de este Tribunal </w:t>
      </w:r>
      <w:r w:rsidRPr="00193714">
        <w:rPr>
          <w:rFonts w:ascii="Times New Roman" w:hAnsi="Times New Roman" w:cs="Times New Roman"/>
          <w:i/>
          <w:color w:val="000000" w:themeColor="text1"/>
          <w:sz w:val="24"/>
          <w:szCs w:val="24"/>
          <w14:shadow w14:blurRad="50800" w14:dist="38100" w14:dir="2700000" w14:sx="100000" w14:sy="100000" w14:kx="0" w14:ky="0" w14:algn="tl">
            <w14:srgbClr w14:val="000000">
              <w14:alpha w14:val="60000"/>
            </w14:srgbClr>
          </w14:shadow>
        </w:rPr>
        <w:t>son de acatamiento inmediato, estricto y obligatorio</w:t>
      </w:r>
      <w:r w:rsidRPr="00193714">
        <w:rPr>
          <w:rFonts w:ascii="Times New Roman" w:hAnsi="Times New Roman" w:cs="Times New Roman"/>
          <w:i/>
          <w:color w:val="000000" w:themeColor="text1"/>
          <w:sz w:val="24"/>
          <w:szCs w:val="24"/>
        </w:rPr>
        <w:t>.</w:t>
      </w:r>
    </w:p>
    <w:p w14:paraId="22B4511B" w14:textId="77777777" w:rsidR="00193714" w:rsidRDefault="00193714" w:rsidP="00193714">
      <w:pPr>
        <w:pStyle w:val="Prrafodelista"/>
        <w:rPr>
          <w:rFonts w:ascii="Times New Roman" w:hAnsi="Times New Roman" w:cs="Times New Roman"/>
          <w:color w:val="000000" w:themeColor="text1"/>
          <w:sz w:val="24"/>
          <w:szCs w:val="24"/>
        </w:rPr>
      </w:pPr>
    </w:p>
    <w:p w14:paraId="42C54DFC" w14:textId="63EF1C97" w:rsidR="005866FA" w:rsidRPr="00193714" w:rsidRDefault="005866FA" w:rsidP="00193714">
      <w:pPr>
        <w:numPr>
          <w:ilvl w:val="0"/>
          <w:numId w:val="3"/>
        </w:numPr>
        <w:tabs>
          <w:tab w:val="left" w:pos="851"/>
        </w:tabs>
        <w:spacing w:after="0" w:line="276" w:lineRule="auto"/>
        <w:ind w:left="340" w:hanging="340"/>
        <w:jc w:val="both"/>
        <w:rPr>
          <w:rFonts w:ascii="Times New Roman" w:hAnsi="Times New Roman" w:cs="Times New Roman"/>
          <w:bCs/>
          <w:color w:val="000000" w:themeColor="text1"/>
          <w:sz w:val="24"/>
          <w:szCs w:val="24"/>
          <w:lang w:val="es-ES"/>
        </w:rPr>
      </w:pPr>
      <w:r w:rsidRPr="00193714">
        <w:rPr>
          <w:rFonts w:ascii="Times New Roman" w:hAnsi="Times New Roman" w:cs="Times New Roman"/>
          <w:color w:val="000000" w:themeColor="text1"/>
          <w:sz w:val="24"/>
          <w:szCs w:val="24"/>
        </w:rPr>
        <w:t xml:space="preserve">De conformidad con el artículo 22, inciso c), de la citada Ley 7969, la presente resolución no tiene ulterior recurso por lo que, </w:t>
      </w:r>
      <w:r w:rsidRPr="00193714">
        <w:rPr>
          <w:rFonts w:ascii="Times New Roman" w:hAnsi="Times New Roman" w:cs="Times New Roman"/>
          <w:i/>
          <w:color w:val="000000" w:themeColor="text1"/>
          <w:sz w:val="24"/>
          <w:szCs w:val="24"/>
          <w14:shadow w14:blurRad="50800" w14:dist="38100" w14:dir="2700000" w14:sx="100000" w14:sy="100000" w14:kx="0" w14:ky="0" w14:algn="tl">
            <w14:srgbClr w14:val="000000">
              <w14:alpha w14:val="60000"/>
            </w14:srgbClr>
          </w14:shadow>
        </w:rPr>
        <w:t>se tiene por agotada la vía administrativa</w:t>
      </w:r>
      <w:r w:rsidRPr="00193714">
        <w:rPr>
          <w:rFonts w:ascii="Times New Roman" w:hAnsi="Times New Roman" w:cs="Times New Roman"/>
          <w:color w:val="000000" w:themeColor="text1"/>
          <w:sz w:val="24"/>
          <w:szCs w:val="24"/>
        </w:rPr>
        <w:t xml:space="preserve">. </w:t>
      </w:r>
      <w:r w:rsidRPr="00193714">
        <w:rPr>
          <w:rFonts w:ascii="Times New Roman" w:hAnsi="Times New Roman" w:cs="Times New Roman"/>
          <w:b/>
          <w:i/>
          <w:iCs/>
          <w:color w:val="000000" w:themeColor="text1"/>
          <w:sz w:val="24"/>
          <w:szCs w:val="24"/>
        </w:rPr>
        <w:t xml:space="preserve">NOTIFÍQUESE. </w:t>
      </w:r>
    </w:p>
    <w:p w14:paraId="264D9CD5" w14:textId="77777777" w:rsidR="005866FA" w:rsidRPr="00A4283E" w:rsidRDefault="005866FA" w:rsidP="005866FA">
      <w:pPr>
        <w:spacing w:after="0" w:line="276" w:lineRule="auto"/>
        <w:jc w:val="both"/>
        <w:rPr>
          <w:rFonts w:ascii="Times New Roman" w:eastAsia="Times New Roman" w:hAnsi="Times New Roman" w:cs="Times New Roman"/>
          <w:b/>
          <w:color w:val="000000" w:themeColor="text1"/>
          <w:sz w:val="24"/>
          <w:szCs w:val="24"/>
          <w:lang w:val="es-ES" w:eastAsia="es-MX"/>
        </w:rPr>
      </w:pPr>
    </w:p>
    <w:p w14:paraId="0A865A85" w14:textId="77777777" w:rsidR="005866FA" w:rsidRPr="00A4283E" w:rsidRDefault="005866FA" w:rsidP="005866FA">
      <w:pPr>
        <w:spacing w:after="0" w:line="276" w:lineRule="auto"/>
        <w:rPr>
          <w:rFonts w:ascii="Times New Roman" w:eastAsia="Times New Roman" w:hAnsi="Times New Roman" w:cs="Times New Roman"/>
          <w:color w:val="000000" w:themeColor="text1"/>
          <w:sz w:val="20"/>
          <w:szCs w:val="20"/>
          <w:lang w:val="es-ES_tradnl" w:eastAsia="es-MX"/>
        </w:rPr>
      </w:pPr>
    </w:p>
    <w:p w14:paraId="5F4B4A33" w14:textId="77777777" w:rsidR="005866FA" w:rsidRPr="00A4283E" w:rsidRDefault="005866FA" w:rsidP="005866FA">
      <w:pPr>
        <w:spacing w:after="0" w:line="276" w:lineRule="auto"/>
        <w:rPr>
          <w:rFonts w:ascii="Times New Roman" w:eastAsia="Times New Roman" w:hAnsi="Times New Roman" w:cs="Times New Roman"/>
          <w:color w:val="000000" w:themeColor="text1"/>
          <w:sz w:val="20"/>
          <w:szCs w:val="20"/>
          <w:lang w:val="es-ES_tradnl" w:eastAsia="es-MX"/>
        </w:rPr>
      </w:pPr>
    </w:p>
    <w:p w14:paraId="666A74F8" w14:textId="77777777" w:rsidR="005866FA" w:rsidRPr="00A4283E" w:rsidRDefault="005866FA" w:rsidP="005866FA">
      <w:pPr>
        <w:spacing w:after="0" w:line="276" w:lineRule="auto"/>
        <w:rPr>
          <w:rFonts w:ascii="Times New Roman" w:eastAsia="Times New Roman" w:hAnsi="Times New Roman" w:cs="Times New Roman"/>
          <w:color w:val="000000" w:themeColor="text1"/>
          <w:sz w:val="20"/>
          <w:szCs w:val="20"/>
          <w:lang w:val="es-ES_tradnl" w:eastAsia="es-MX"/>
        </w:rPr>
      </w:pPr>
    </w:p>
    <w:p w14:paraId="1D164442" w14:textId="77777777" w:rsidR="005866FA" w:rsidRPr="00A4283E" w:rsidRDefault="005866FA" w:rsidP="005866FA">
      <w:pPr>
        <w:keepNext/>
        <w:spacing w:after="0" w:line="276" w:lineRule="auto"/>
        <w:jc w:val="center"/>
        <w:outlineLvl w:val="0"/>
        <w:rPr>
          <w:rFonts w:ascii="Times New Roman" w:eastAsia="Times New Roman" w:hAnsi="Times New Roman" w:cs="Times New Roman"/>
          <w:color w:val="000000" w:themeColor="text1"/>
          <w:sz w:val="24"/>
          <w:szCs w:val="24"/>
          <w:lang w:val="es-ES_tradnl" w:eastAsia="es-MX"/>
        </w:rPr>
      </w:pPr>
      <w:r w:rsidRPr="00A4283E">
        <w:rPr>
          <w:rFonts w:ascii="Times New Roman" w:eastAsia="Times New Roman" w:hAnsi="Times New Roman" w:cs="Times New Roman"/>
          <w:color w:val="000000" w:themeColor="text1"/>
          <w:sz w:val="24"/>
          <w:szCs w:val="24"/>
          <w:lang w:val="es-ES_tradnl" w:eastAsia="es-MX"/>
        </w:rPr>
        <w:t xml:space="preserve">Lic. Ronald Muñoz Corea </w:t>
      </w:r>
    </w:p>
    <w:p w14:paraId="7A455C9C" w14:textId="77777777" w:rsidR="005866FA" w:rsidRPr="00A4283E" w:rsidRDefault="005866FA" w:rsidP="005866FA">
      <w:pPr>
        <w:keepNext/>
        <w:spacing w:after="0" w:line="276" w:lineRule="auto"/>
        <w:jc w:val="center"/>
        <w:outlineLvl w:val="0"/>
        <w:rPr>
          <w:rFonts w:ascii="Times New Roman" w:eastAsia="Times New Roman" w:hAnsi="Times New Roman" w:cs="Times New Roman"/>
          <w:b/>
          <w:bCs/>
          <w:color w:val="000000" w:themeColor="text1"/>
          <w:sz w:val="24"/>
          <w:szCs w:val="24"/>
          <w:lang w:val="es-ES_tradnl" w:eastAsia="es-MX"/>
        </w:rPr>
      </w:pPr>
      <w:r w:rsidRPr="00A4283E">
        <w:rPr>
          <w:rFonts w:ascii="Times New Roman" w:eastAsia="Times New Roman" w:hAnsi="Times New Roman" w:cs="Times New Roman"/>
          <w:b/>
          <w:bCs/>
          <w:color w:val="000000" w:themeColor="text1"/>
          <w:sz w:val="24"/>
          <w:szCs w:val="24"/>
          <w:lang w:val="es-ES_tradnl" w:eastAsia="es-MX"/>
        </w:rPr>
        <w:t>Presidente</w:t>
      </w:r>
    </w:p>
    <w:p w14:paraId="51FEB532" w14:textId="77777777" w:rsidR="005866FA" w:rsidRPr="00A4283E" w:rsidRDefault="005866FA" w:rsidP="005866FA">
      <w:pPr>
        <w:spacing w:after="0" w:line="276" w:lineRule="auto"/>
        <w:rPr>
          <w:rFonts w:ascii="Times New Roman" w:eastAsia="Times New Roman" w:hAnsi="Times New Roman" w:cs="Times New Roman"/>
          <w:color w:val="000000" w:themeColor="text1"/>
          <w:sz w:val="24"/>
          <w:szCs w:val="24"/>
          <w:lang w:val="es-ES_tradnl" w:eastAsia="es-MX"/>
        </w:rPr>
      </w:pPr>
    </w:p>
    <w:p w14:paraId="337A27FD" w14:textId="77777777" w:rsidR="005866FA" w:rsidRPr="00A4283E" w:rsidRDefault="005866FA" w:rsidP="005866FA">
      <w:pPr>
        <w:spacing w:after="0" w:line="276" w:lineRule="auto"/>
        <w:rPr>
          <w:rFonts w:ascii="Times New Roman" w:eastAsia="Times New Roman" w:hAnsi="Times New Roman" w:cs="Times New Roman"/>
          <w:color w:val="000000" w:themeColor="text1"/>
          <w:sz w:val="24"/>
          <w:szCs w:val="24"/>
          <w:lang w:val="es-ES_tradnl" w:eastAsia="es-MX"/>
        </w:rPr>
      </w:pPr>
    </w:p>
    <w:p w14:paraId="705CF32B" w14:textId="77777777" w:rsidR="005866FA" w:rsidRPr="00A4283E" w:rsidRDefault="005866FA" w:rsidP="005866FA">
      <w:pPr>
        <w:spacing w:after="0" w:line="276" w:lineRule="auto"/>
        <w:rPr>
          <w:rFonts w:ascii="Times New Roman" w:eastAsia="Times New Roman" w:hAnsi="Times New Roman" w:cs="Times New Roman"/>
          <w:color w:val="000000" w:themeColor="text1"/>
          <w:sz w:val="24"/>
          <w:szCs w:val="24"/>
          <w:lang w:val="es-ES_tradnl" w:eastAsia="es-MX"/>
        </w:rPr>
      </w:pPr>
    </w:p>
    <w:p w14:paraId="38E9A5CB" w14:textId="77777777" w:rsidR="005866FA" w:rsidRPr="00A4283E" w:rsidRDefault="005866FA" w:rsidP="005866FA">
      <w:pPr>
        <w:keepNext/>
        <w:spacing w:after="0" w:line="276" w:lineRule="auto"/>
        <w:outlineLvl w:val="0"/>
        <w:rPr>
          <w:rFonts w:ascii="Times New Roman" w:eastAsia="Times New Roman" w:hAnsi="Times New Roman" w:cs="Times New Roman"/>
          <w:color w:val="000000" w:themeColor="text1"/>
          <w:sz w:val="24"/>
          <w:szCs w:val="24"/>
          <w:lang w:val="es-ES_tradnl" w:eastAsia="es-MX"/>
        </w:rPr>
      </w:pPr>
      <w:r w:rsidRPr="00A4283E">
        <w:rPr>
          <w:rFonts w:ascii="Times New Roman" w:eastAsia="Times New Roman" w:hAnsi="Times New Roman" w:cs="Times New Roman"/>
          <w:color w:val="000000" w:themeColor="text1"/>
          <w:sz w:val="24"/>
          <w:szCs w:val="24"/>
          <w:lang w:val="es-ES_tradnl" w:eastAsia="es-MX"/>
        </w:rPr>
        <w:t xml:space="preserve">Licda. Maricela Villegas Herrera   </w:t>
      </w:r>
      <w:r w:rsidRPr="00A4283E">
        <w:rPr>
          <w:rFonts w:ascii="Times New Roman" w:eastAsia="Times New Roman" w:hAnsi="Times New Roman" w:cs="Times New Roman"/>
          <w:color w:val="000000" w:themeColor="text1"/>
          <w:sz w:val="24"/>
          <w:szCs w:val="24"/>
          <w:lang w:val="es-ES_tradnl" w:eastAsia="es-MX"/>
        </w:rPr>
        <w:tab/>
      </w:r>
      <w:r w:rsidRPr="00A4283E">
        <w:rPr>
          <w:rFonts w:ascii="Times New Roman" w:eastAsia="Times New Roman" w:hAnsi="Times New Roman" w:cs="Times New Roman"/>
          <w:color w:val="000000" w:themeColor="text1"/>
          <w:sz w:val="24"/>
          <w:szCs w:val="24"/>
          <w:lang w:val="es-ES_tradnl" w:eastAsia="es-MX"/>
        </w:rPr>
        <w:tab/>
      </w:r>
      <w:r w:rsidRPr="00A4283E">
        <w:rPr>
          <w:rFonts w:ascii="Times New Roman" w:eastAsia="Times New Roman" w:hAnsi="Times New Roman" w:cs="Times New Roman"/>
          <w:color w:val="000000" w:themeColor="text1"/>
          <w:sz w:val="24"/>
          <w:szCs w:val="24"/>
          <w:lang w:val="es-ES_tradnl" w:eastAsia="es-MX"/>
        </w:rPr>
        <w:tab/>
        <w:t>Licda. María Susana López Rivera</w:t>
      </w:r>
    </w:p>
    <w:p w14:paraId="768A293F" w14:textId="77777777" w:rsidR="005866FA" w:rsidRPr="00A4283E" w:rsidRDefault="005866FA" w:rsidP="005866FA">
      <w:pPr>
        <w:spacing w:after="0" w:line="276" w:lineRule="auto"/>
        <w:ind w:left="708" w:firstLine="708"/>
        <w:rPr>
          <w:color w:val="000000" w:themeColor="text1"/>
        </w:rPr>
      </w:pPr>
      <w:r w:rsidRPr="00A4283E">
        <w:rPr>
          <w:rFonts w:ascii="Times New Roman" w:eastAsia="Times New Roman" w:hAnsi="Times New Roman" w:cs="Times New Roman"/>
          <w:b/>
          <w:bCs/>
          <w:color w:val="000000" w:themeColor="text1"/>
          <w:sz w:val="24"/>
          <w:szCs w:val="24"/>
          <w:lang w:val="es-ES" w:eastAsia="es-MX"/>
        </w:rPr>
        <w:t>Jueza</w:t>
      </w:r>
      <w:r w:rsidRPr="00A4283E">
        <w:rPr>
          <w:rFonts w:ascii="Times New Roman" w:eastAsia="Times New Roman" w:hAnsi="Times New Roman" w:cs="Times New Roman"/>
          <w:color w:val="000000" w:themeColor="text1"/>
          <w:sz w:val="24"/>
          <w:szCs w:val="24"/>
          <w:lang w:val="es-ES" w:eastAsia="es-MX"/>
        </w:rPr>
        <w:tab/>
      </w:r>
      <w:r w:rsidRPr="00A4283E">
        <w:rPr>
          <w:rFonts w:ascii="Times New Roman" w:eastAsia="Times New Roman" w:hAnsi="Times New Roman" w:cs="Times New Roman"/>
          <w:color w:val="000000" w:themeColor="text1"/>
          <w:sz w:val="24"/>
          <w:szCs w:val="24"/>
          <w:lang w:val="es-ES" w:eastAsia="es-MX"/>
        </w:rPr>
        <w:tab/>
      </w:r>
      <w:r w:rsidRPr="00A4283E">
        <w:rPr>
          <w:rFonts w:ascii="Times New Roman" w:eastAsia="Times New Roman" w:hAnsi="Times New Roman" w:cs="Times New Roman"/>
          <w:color w:val="000000" w:themeColor="text1"/>
          <w:sz w:val="24"/>
          <w:szCs w:val="24"/>
          <w:lang w:val="es-ES" w:eastAsia="es-MX"/>
        </w:rPr>
        <w:tab/>
      </w:r>
      <w:r w:rsidRPr="00A4283E">
        <w:rPr>
          <w:rFonts w:ascii="Times New Roman" w:eastAsia="Times New Roman" w:hAnsi="Times New Roman" w:cs="Times New Roman"/>
          <w:color w:val="000000" w:themeColor="text1"/>
          <w:sz w:val="24"/>
          <w:szCs w:val="24"/>
          <w:lang w:val="es-ES" w:eastAsia="es-MX"/>
        </w:rPr>
        <w:tab/>
      </w:r>
      <w:r w:rsidRPr="00A4283E">
        <w:rPr>
          <w:rFonts w:ascii="Times New Roman" w:eastAsia="Times New Roman" w:hAnsi="Times New Roman" w:cs="Times New Roman"/>
          <w:color w:val="000000" w:themeColor="text1"/>
          <w:sz w:val="24"/>
          <w:szCs w:val="24"/>
          <w:lang w:val="es-ES" w:eastAsia="es-MX"/>
        </w:rPr>
        <w:tab/>
      </w:r>
      <w:r w:rsidRPr="00A4283E">
        <w:rPr>
          <w:rFonts w:ascii="Times New Roman" w:eastAsia="Times New Roman" w:hAnsi="Times New Roman" w:cs="Times New Roman"/>
          <w:color w:val="000000" w:themeColor="text1"/>
          <w:sz w:val="24"/>
          <w:szCs w:val="24"/>
          <w:lang w:val="es-ES" w:eastAsia="es-MX"/>
        </w:rPr>
        <w:tab/>
      </w:r>
      <w:r w:rsidRPr="00A4283E">
        <w:rPr>
          <w:rFonts w:ascii="Times New Roman" w:eastAsia="Times New Roman" w:hAnsi="Times New Roman" w:cs="Times New Roman"/>
          <w:color w:val="000000" w:themeColor="text1"/>
          <w:sz w:val="24"/>
          <w:szCs w:val="24"/>
          <w:lang w:val="es-ES" w:eastAsia="es-MX"/>
        </w:rPr>
        <w:tab/>
      </w:r>
      <w:r w:rsidRPr="00A4283E">
        <w:rPr>
          <w:rFonts w:ascii="Times New Roman" w:eastAsia="Times New Roman" w:hAnsi="Times New Roman" w:cs="Times New Roman"/>
          <w:b/>
          <w:bCs/>
          <w:color w:val="000000" w:themeColor="text1"/>
          <w:sz w:val="24"/>
          <w:szCs w:val="24"/>
          <w:lang w:val="es-ES" w:eastAsia="es-MX"/>
        </w:rPr>
        <w:t>Jueza</w:t>
      </w:r>
    </w:p>
    <w:p w14:paraId="3211BE45" w14:textId="50408A0E" w:rsidR="00C36D42" w:rsidRPr="00A4283E" w:rsidRDefault="00C36D42" w:rsidP="005866FA">
      <w:pPr>
        <w:rPr>
          <w:color w:val="000000" w:themeColor="text1"/>
        </w:rPr>
      </w:pPr>
    </w:p>
    <w:sectPr w:rsidR="00C36D42" w:rsidRPr="00A4283E" w:rsidSect="000A2796">
      <w:footerReference w:type="even" r:id="rId13"/>
      <w:footerReference w:type="default" r:id="rId14"/>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0239E6" w14:textId="77777777" w:rsidR="00330930" w:rsidRDefault="00330930">
      <w:pPr>
        <w:spacing w:after="0" w:line="240" w:lineRule="auto"/>
      </w:pPr>
      <w:r>
        <w:separator/>
      </w:r>
    </w:p>
  </w:endnote>
  <w:endnote w:type="continuationSeparator" w:id="0">
    <w:p w14:paraId="15125A4B" w14:textId="77777777" w:rsidR="00330930" w:rsidRDefault="00330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54884" w14:textId="77777777" w:rsidR="00CB5A1D" w:rsidRDefault="006A46EF" w:rsidP="00A2202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54BBE7A" w14:textId="77777777" w:rsidR="00CB5A1D" w:rsidRDefault="00CB5A1D" w:rsidP="00A2202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C75F3" w14:textId="01971297" w:rsidR="00CB5A1D" w:rsidRPr="00BC6B17" w:rsidRDefault="00CB5A1D" w:rsidP="00A22022">
    <w:pPr>
      <w:pStyle w:val="Piedepgina"/>
      <w:ind w:right="360"/>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4E27C3" w14:textId="77777777" w:rsidR="00330930" w:rsidRDefault="00330930">
      <w:pPr>
        <w:spacing w:after="0" w:line="240" w:lineRule="auto"/>
      </w:pPr>
      <w:r>
        <w:separator/>
      </w:r>
    </w:p>
  </w:footnote>
  <w:footnote w:type="continuationSeparator" w:id="0">
    <w:p w14:paraId="0509BBFC" w14:textId="77777777" w:rsidR="00330930" w:rsidRDefault="003309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B1C1D"/>
    <w:multiLevelType w:val="hybridMultilevel"/>
    <w:tmpl w:val="BA909B8C"/>
    <w:lvl w:ilvl="0" w:tplc="ED7A148C">
      <w:start w:val="1"/>
      <w:numFmt w:val="lowerLetter"/>
      <w:lvlText w:val="%1)"/>
      <w:lvlJc w:val="left"/>
      <w:pPr>
        <w:ind w:left="360" w:hanging="360"/>
      </w:pPr>
      <w:rPr>
        <w:b/>
        <w:bCs/>
        <w:i/>
        <w:iCs/>
      </w:r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 w15:restartNumberingAfterBreak="0">
    <w:nsid w:val="0EB856DF"/>
    <w:multiLevelType w:val="hybridMultilevel"/>
    <w:tmpl w:val="B2AC1E72"/>
    <w:lvl w:ilvl="0" w:tplc="0AF49F7A">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7747E18"/>
    <w:multiLevelType w:val="hybridMultilevel"/>
    <w:tmpl w:val="81644DE2"/>
    <w:lvl w:ilvl="0" w:tplc="317A8060">
      <w:start w:val="1"/>
      <w:numFmt w:val="upp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EA729BB"/>
    <w:multiLevelType w:val="hybridMultilevel"/>
    <w:tmpl w:val="00B693DE"/>
    <w:lvl w:ilvl="0" w:tplc="4F12F6FC">
      <w:start w:val="6"/>
      <w:numFmt w:val="decimal"/>
      <w:lvlText w:val="%1."/>
      <w:lvlJc w:val="left"/>
      <w:pPr>
        <w:ind w:left="927" w:hanging="360"/>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52D6BF4"/>
    <w:multiLevelType w:val="hybridMultilevel"/>
    <w:tmpl w:val="8EB05E8C"/>
    <w:lvl w:ilvl="0" w:tplc="B4EC497E">
      <w:start w:val="1"/>
      <w:numFmt w:val="upperLetter"/>
      <w:lvlText w:val="%1-"/>
      <w:lvlJc w:val="left"/>
      <w:pPr>
        <w:ind w:left="8441" w:hanging="360"/>
      </w:pPr>
      <w:rPr>
        <w:b/>
        <w:color w:val="000000" w:themeColor="text1"/>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 w15:restartNumberingAfterBreak="0">
    <w:nsid w:val="282D1177"/>
    <w:multiLevelType w:val="hybridMultilevel"/>
    <w:tmpl w:val="F13ADFA2"/>
    <w:lvl w:ilvl="0" w:tplc="F7809168">
      <w:start w:val="1"/>
      <w:numFmt w:val="decimal"/>
      <w:lvlText w:val="%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1345A69"/>
    <w:multiLevelType w:val="hybridMultilevel"/>
    <w:tmpl w:val="973E9F56"/>
    <w:lvl w:ilvl="0" w:tplc="225C8A06">
      <w:start w:val="1"/>
      <w:numFmt w:val="decimal"/>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7" w15:restartNumberingAfterBreak="0">
    <w:nsid w:val="33F2070C"/>
    <w:multiLevelType w:val="hybridMultilevel"/>
    <w:tmpl w:val="F1F4C5E4"/>
    <w:lvl w:ilvl="0" w:tplc="6D968D70">
      <w:start w:val="11"/>
      <w:numFmt w:val="decimal"/>
      <w:lvlText w:val="%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49E3D01"/>
    <w:multiLevelType w:val="hybridMultilevel"/>
    <w:tmpl w:val="03FAD2DA"/>
    <w:lvl w:ilvl="0" w:tplc="3326B55C">
      <w:start w:val="2"/>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C350E86"/>
    <w:multiLevelType w:val="hybridMultilevel"/>
    <w:tmpl w:val="C3587CB0"/>
    <w:lvl w:ilvl="0" w:tplc="61BAB9A0">
      <w:start w:val="1"/>
      <w:numFmt w:val="decimal"/>
      <w:lvlText w:val="%1."/>
      <w:lvlJc w:val="left"/>
      <w:pPr>
        <w:ind w:left="720" w:hanging="360"/>
      </w:pPr>
      <w:rPr>
        <w:rFonts w:eastAsia="Times New Roman" w:hint="default"/>
        <w:b/>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1E706EC"/>
    <w:multiLevelType w:val="hybridMultilevel"/>
    <w:tmpl w:val="81FAF436"/>
    <w:lvl w:ilvl="0" w:tplc="49EC5036">
      <w:start w:val="6"/>
      <w:numFmt w:val="decimal"/>
      <w:lvlText w:val="%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42CD7CA4"/>
    <w:multiLevelType w:val="hybridMultilevel"/>
    <w:tmpl w:val="DE761458"/>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3D33FC8"/>
    <w:multiLevelType w:val="hybridMultilevel"/>
    <w:tmpl w:val="F13ADFA2"/>
    <w:lvl w:ilvl="0" w:tplc="F7809168">
      <w:start w:val="1"/>
      <w:numFmt w:val="decimal"/>
      <w:lvlText w:val="%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446E79B2"/>
    <w:multiLevelType w:val="hybridMultilevel"/>
    <w:tmpl w:val="985C8E64"/>
    <w:lvl w:ilvl="0" w:tplc="F7809168">
      <w:start w:val="1"/>
      <w:numFmt w:val="decimal"/>
      <w:lvlText w:val="%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EAE404E"/>
    <w:multiLevelType w:val="hybridMultilevel"/>
    <w:tmpl w:val="CD2EE920"/>
    <w:lvl w:ilvl="0" w:tplc="2F52ECBC">
      <w:start w:val="1"/>
      <w:numFmt w:val="decimal"/>
      <w:lvlText w:val="%1."/>
      <w:lvlJc w:val="left"/>
      <w:pPr>
        <w:ind w:left="705"/>
      </w:pPr>
      <w:rPr>
        <w:rFonts w:ascii="Times New Roman" w:eastAsia="Times New Roman" w:hAnsi="Times New Roman" w:cs="Times New Roman" w:hint="default"/>
        <w:b/>
        <w:bCs/>
        <w:i w:val="0"/>
        <w:strike w:val="0"/>
        <w:dstrike w:val="0"/>
        <w:color w:val="000000"/>
        <w:sz w:val="22"/>
        <w:szCs w:val="22"/>
        <w:u w:val="none" w:color="000000"/>
        <w:bdr w:val="none" w:sz="0" w:space="0" w:color="auto"/>
        <w:shd w:val="clear" w:color="auto" w:fill="auto"/>
        <w:vertAlign w:val="baseline"/>
      </w:rPr>
    </w:lvl>
    <w:lvl w:ilvl="1" w:tplc="87786A3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A0813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9CDF9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A04CE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48D2C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F2D45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C4B1B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508D5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ECF3177"/>
    <w:multiLevelType w:val="hybridMultilevel"/>
    <w:tmpl w:val="CCE27516"/>
    <w:lvl w:ilvl="0" w:tplc="729AE7F8">
      <w:start w:val="11"/>
      <w:numFmt w:val="decimal"/>
      <w:lvlText w:val="%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52FC59E3"/>
    <w:multiLevelType w:val="hybridMultilevel"/>
    <w:tmpl w:val="5C4A1D08"/>
    <w:lvl w:ilvl="0" w:tplc="ADD42F5C">
      <w:start w:val="9"/>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C2F37F3"/>
    <w:multiLevelType w:val="hybridMultilevel"/>
    <w:tmpl w:val="35FA126A"/>
    <w:lvl w:ilvl="0" w:tplc="CC8474BC">
      <w:start w:val="6"/>
      <w:numFmt w:val="decimal"/>
      <w:lvlText w:val="%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5EE71203"/>
    <w:multiLevelType w:val="hybridMultilevel"/>
    <w:tmpl w:val="6D886D7C"/>
    <w:lvl w:ilvl="0" w:tplc="B07881C8">
      <w:start w:val="1"/>
      <w:numFmt w:val="upperRoman"/>
      <w:lvlText w:val="%1."/>
      <w:lvlJc w:val="right"/>
      <w:pPr>
        <w:ind w:left="1429" w:hanging="360"/>
      </w:pPr>
      <w:rPr>
        <w:b/>
        <w:bCs/>
        <w:sz w:val="24"/>
        <w:szCs w:val="24"/>
      </w:rPr>
    </w:lvl>
    <w:lvl w:ilvl="1" w:tplc="140A0019">
      <w:start w:val="1"/>
      <w:numFmt w:val="lowerLetter"/>
      <w:lvlText w:val="%2."/>
      <w:lvlJc w:val="left"/>
      <w:pPr>
        <w:ind w:left="2149" w:hanging="360"/>
      </w:pPr>
    </w:lvl>
    <w:lvl w:ilvl="2" w:tplc="140A001B" w:tentative="1">
      <w:start w:val="1"/>
      <w:numFmt w:val="lowerRoman"/>
      <w:lvlText w:val="%3."/>
      <w:lvlJc w:val="right"/>
      <w:pPr>
        <w:ind w:left="2869" w:hanging="180"/>
      </w:pPr>
    </w:lvl>
    <w:lvl w:ilvl="3" w:tplc="140A000F" w:tentative="1">
      <w:start w:val="1"/>
      <w:numFmt w:val="decimal"/>
      <w:lvlText w:val="%4."/>
      <w:lvlJc w:val="left"/>
      <w:pPr>
        <w:ind w:left="3589" w:hanging="360"/>
      </w:pPr>
    </w:lvl>
    <w:lvl w:ilvl="4" w:tplc="140A0019" w:tentative="1">
      <w:start w:val="1"/>
      <w:numFmt w:val="lowerLetter"/>
      <w:lvlText w:val="%5."/>
      <w:lvlJc w:val="left"/>
      <w:pPr>
        <w:ind w:left="4309" w:hanging="360"/>
      </w:pPr>
    </w:lvl>
    <w:lvl w:ilvl="5" w:tplc="140A001B" w:tentative="1">
      <w:start w:val="1"/>
      <w:numFmt w:val="lowerRoman"/>
      <w:lvlText w:val="%6."/>
      <w:lvlJc w:val="right"/>
      <w:pPr>
        <w:ind w:left="5029" w:hanging="180"/>
      </w:pPr>
    </w:lvl>
    <w:lvl w:ilvl="6" w:tplc="140A000F" w:tentative="1">
      <w:start w:val="1"/>
      <w:numFmt w:val="decimal"/>
      <w:lvlText w:val="%7."/>
      <w:lvlJc w:val="left"/>
      <w:pPr>
        <w:ind w:left="5749" w:hanging="360"/>
      </w:pPr>
    </w:lvl>
    <w:lvl w:ilvl="7" w:tplc="140A0019" w:tentative="1">
      <w:start w:val="1"/>
      <w:numFmt w:val="lowerLetter"/>
      <w:lvlText w:val="%8."/>
      <w:lvlJc w:val="left"/>
      <w:pPr>
        <w:ind w:left="6469" w:hanging="360"/>
      </w:pPr>
    </w:lvl>
    <w:lvl w:ilvl="8" w:tplc="140A001B" w:tentative="1">
      <w:start w:val="1"/>
      <w:numFmt w:val="lowerRoman"/>
      <w:lvlText w:val="%9."/>
      <w:lvlJc w:val="right"/>
      <w:pPr>
        <w:ind w:left="7189" w:hanging="180"/>
      </w:pPr>
    </w:lvl>
  </w:abstractNum>
  <w:abstractNum w:abstractNumId="19" w15:restartNumberingAfterBreak="0">
    <w:nsid w:val="69A47E3C"/>
    <w:multiLevelType w:val="hybridMultilevel"/>
    <w:tmpl w:val="96CECC44"/>
    <w:lvl w:ilvl="0" w:tplc="D8E0CB52">
      <w:start w:val="1"/>
      <w:numFmt w:val="decimal"/>
      <w:lvlText w:val="%1."/>
      <w:lvlJc w:val="left"/>
      <w:pPr>
        <w:ind w:left="927" w:hanging="360"/>
      </w:pPr>
      <w:rPr>
        <w:rFonts w:hint="default"/>
        <w:b w:val="0"/>
        <w:bCs w:val="0"/>
      </w:rPr>
    </w:lvl>
    <w:lvl w:ilvl="1" w:tplc="BB8470EA">
      <w:start w:val="1"/>
      <w:numFmt w:val="lowerLetter"/>
      <w:lvlText w:val="%2)"/>
      <w:lvlJc w:val="left"/>
      <w:pPr>
        <w:ind w:left="1992" w:hanging="705"/>
      </w:pPr>
      <w:rPr>
        <w:rFonts w:hint="default"/>
      </w:r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20" w15:restartNumberingAfterBreak="0">
    <w:nsid w:val="6BDA6A7F"/>
    <w:multiLevelType w:val="hybridMultilevel"/>
    <w:tmpl w:val="CE2883B6"/>
    <w:lvl w:ilvl="0" w:tplc="BF9C4300">
      <w:start w:val="6"/>
      <w:numFmt w:val="decimal"/>
      <w:lvlText w:val="%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5092C9E"/>
    <w:multiLevelType w:val="hybridMultilevel"/>
    <w:tmpl w:val="B11856D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5B20601"/>
    <w:multiLevelType w:val="hybridMultilevel"/>
    <w:tmpl w:val="FE0A5578"/>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23" w15:restartNumberingAfterBreak="0">
    <w:nsid w:val="771B171B"/>
    <w:multiLevelType w:val="hybridMultilevel"/>
    <w:tmpl w:val="3440E94A"/>
    <w:lvl w:ilvl="0" w:tplc="599E8ACA">
      <w:start w:val="11"/>
      <w:numFmt w:val="decimal"/>
      <w:lvlText w:val="%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5625262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97436217">
    <w:abstractNumId w:val="14"/>
  </w:num>
  <w:num w:numId="3" w16cid:durableId="1121459582">
    <w:abstractNumId w:val="18"/>
  </w:num>
  <w:num w:numId="4" w16cid:durableId="1089544073">
    <w:abstractNumId w:val="19"/>
  </w:num>
  <w:num w:numId="5" w16cid:durableId="548344231">
    <w:abstractNumId w:val="3"/>
  </w:num>
  <w:num w:numId="6" w16cid:durableId="1211846478">
    <w:abstractNumId w:val="11"/>
  </w:num>
  <w:num w:numId="7" w16cid:durableId="975185816">
    <w:abstractNumId w:val="9"/>
  </w:num>
  <w:num w:numId="8" w16cid:durableId="1300572676">
    <w:abstractNumId w:val="1"/>
  </w:num>
  <w:num w:numId="9" w16cid:durableId="1026178043">
    <w:abstractNumId w:val="2"/>
  </w:num>
  <w:num w:numId="10" w16cid:durableId="1325933841">
    <w:abstractNumId w:val="22"/>
  </w:num>
  <w:num w:numId="11" w16cid:durableId="233469504">
    <w:abstractNumId w:val="13"/>
  </w:num>
  <w:num w:numId="12" w16cid:durableId="757871094">
    <w:abstractNumId w:val="10"/>
  </w:num>
  <w:num w:numId="13" w16cid:durableId="1749300921">
    <w:abstractNumId w:val="7"/>
  </w:num>
  <w:num w:numId="14" w16cid:durableId="5284889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9641597">
    <w:abstractNumId w:val="12"/>
  </w:num>
  <w:num w:numId="16" w16cid:durableId="1737973575">
    <w:abstractNumId w:val="20"/>
  </w:num>
  <w:num w:numId="17" w16cid:durableId="1918129676">
    <w:abstractNumId w:val="23"/>
  </w:num>
  <w:num w:numId="18" w16cid:durableId="1867407568">
    <w:abstractNumId w:val="5"/>
  </w:num>
  <w:num w:numId="19" w16cid:durableId="1041704591">
    <w:abstractNumId w:val="17"/>
  </w:num>
  <w:num w:numId="20" w16cid:durableId="951016472">
    <w:abstractNumId w:val="15"/>
  </w:num>
  <w:num w:numId="21" w16cid:durableId="112096680">
    <w:abstractNumId w:val="8"/>
  </w:num>
  <w:num w:numId="22" w16cid:durableId="1178690360">
    <w:abstractNumId w:val="21"/>
  </w:num>
  <w:num w:numId="23" w16cid:durableId="2288106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2116936">
    <w:abstractNumId w:val="16"/>
  </w:num>
  <w:num w:numId="25" w16cid:durableId="7720210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D42"/>
    <w:rsid w:val="000256E3"/>
    <w:rsid w:val="00056AA3"/>
    <w:rsid w:val="00086C79"/>
    <w:rsid w:val="00097696"/>
    <w:rsid w:val="000A2796"/>
    <w:rsid w:val="000D28AF"/>
    <w:rsid w:val="000D5DED"/>
    <w:rsid w:val="000D653C"/>
    <w:rsid w:val="001172E7"/>
    <w:rsid w:val="0013329C"/>
    <w:rsid w:val="00142E37"/>
    <w:rsid w:val="00181EBC"/>
    <w:rsid w:val="00193714"/>
    <w:rsid w:val="001A2776"/>
    <w:rsid w:val="001A434C"/>
    <w:rsid w:val="001A7A38"/>
    <w:rsid w:val="001D1F90"/>
    <w:rsid w:val="00202196"/>
    <w:rsid w:val="0021309B"/>
    <w:rsid w:val="0022621D"/>
    <w:rsid w:val="0028243D"/>
    <w:rsid w:val="002C4660"/>
    <w:rsid w:val="002D40CB"/>
    <w:rsid w:val="0032252E"/>
    <w:rsid w:val="00325A18"/>
    <w:rsid w:val="00330930"/>
    <w:rsid w:val="00342867"/>
    <w:rsid w:val="0035564F"/>
    <w:rsid w:val="00360FAA"/>
    <w:rsid w:val="00381E49"/>
    <w:rsid w:val="003A2D2A"/>
    <w:rsid w:val="003B2EB6"/>
    <w:rsid w:val="003C5012"/>
    <w:rsid w:val="003D04EB"/>
    <w:rsid w:val="003F03BB"/>
    <w:rsid w:val="003F4E2E"/>
    <w:rsid w:val="0040092A"/>
    <w:rsid w:val="0040571D"/>
    <w:rsid w:val="004154D8"/>
    <w:rsid w:val="00455BE9"/>
    <w:rsid w:val="00464887"/>
    <w:rsid w:val="004673DF"/>
    <w:rsid w:val="004868A1"/>
    <w:rsid w:val="0049592A"/>
    <w:rsid w:val="004A78DC"/>
    <w:rsid w:val="004B5E01"/>
    <w:rsid w:val="004E51BC"/>
    <w:rsid w:val="004F62FF"/>
    <w:rsid w:val="00500D84"/>
    <w:rsid w:val="005076A0"/>
    <w:rsid w:val="00511728"/>
    <w:rsid w:val="0051452E"/>
    <w:rsid w:val="00542644"/>
    <w:rsid w:val="005433F1"/>
    <w:rsid w:val="00543A51"/>
    <w:rsid w:val="005468D1"/>
    <w:rsid w:val="00552E37"/>
    <w:rsid w:val="00553C3A"/>
    <w:rsid w:val="00575F42"/>
    <w:rsid w:val="005866FA"/>
    <w:rsid w:val="00590CDB"/>
    <w:rsid w:val="005A5C25"/>
    <w:rsid w:val="005B211C"/>
    <w:rsid w:val="005B6F46"/>
    <w:rsid w:val="005D0842"/>
    <w:rsid w:val="00603DFD"/>
    <w:rsid w:val="006259A3"/>
    <w:rsid w:val="006424BF"/>
    <w:rsid w:val="00660B3F"/>
    <w:rsid w:val="00666BC1"/>
    <w:rsid w:val="00683CED"/>
    <w:rsid w:val="006A3CCF"/>
    <w:rsid w:val="006A46EF"/>
    <w:rsid w:val="006A7BD7"/>
    <w:rsid w:val="006B35FF"/>
    <w:rsid w:val="006C317D"/>
    <w:rsid w:val="006D11F4"/>
    <w:rsid w:val="007057E7"/>
    <w:rsid w:val="00730359"/>
    <w:rsid w:val="00733C0D"/>
    <w:rsid w:val="007404E0"/>
    <w:rsid w:val="00743931"/>
    <w:rsid w:val="007B0D88"/>
    <w:rsid w:val="007B20D9"/>
    <w:rsid w:val="007C5E8A"/>
    <w:rsid w:val="007F555A"/>
    <w:rsid w:val="008016F3"/>
    <w:rsid w:val="00807DB4"/>
    <w:rsid w:val="008121BF"/>
    <w:rsid w:val="00812ACA"/>
    <w:rsid w:val="00812BE2"/>
    <w:rsid w:val="00846ECC"/>
    <w:rsid w:val="0085472E"/>
    <w:rsid w:val="00861F37"/>
    <w:rsid w:val="00892616"/>
    <w:rsid w:val="0089607C"/>
    <w:rsid w:val="008C118D"/>
    <w:rsid w:val="008C7613"/>
    <w:rsid w:val="008D136C"/>
    <w:rsid w:val="008E1C24"/>
    <w:rsid w:val="008F27D8"/>
    <w:rsid w:val="00904D9D"/>
    <w:rsid w:val="009142E1"/>
    <w:rsid w:val="00951F77"/>
    <w:rsid w:val="0095734F"/>
    <w:rsid w:val="00973754"/>
    <w:rsid w:val="009767A1"/>
    <w:rsid w:val="00984894"/>
    <w:rsid w:val="00984F84"/>
    <w:rsid w:val="00985754"/>
    <w:rsid w:val="009A2EFF"/>
    <w:rsid w:val="009A4FB5"/>
    <w:rsid w:val="009A7059"/>
    <w:rsid w:val="009F642C"/>
    <w:rsid w:val="00A4283E"/>
    <w:rsid w:val="00A64DFA"/>
    <w:rsid w:val="00A65923"/>
    <w:rsid w:val="00A70620"/>
    <w:rsid w:val="00A82CBA"/>
    <w:rsid w:val="00A870FA"/>
    <w:rsid w:val="00B3103D"/>
    <w:rsid w:val="00B84B46"/>
    <w:rsid w:val="00BA2C5F"/>
    <w:rsid w:val="00BA5999"/>
    <w:rsid w:val="00BB7947"/>
    <w:rsid w:val="00BC2782"/>
    <w:rsid w:val="00BD51EE"/>
    <w:rsid w:val="00C315D7"/>
    <w:rsid w:val="00C36D42"/>
    <w:rsid w:val="00C76D4B"/>
    <w:rsid w:val="00CB5A1D"/>
    <w:rsid w:val="00CC7884"/>
    <w:rsid w:val="00CF1283"/>
    <w:rsid w:val="00D07783"/>
    <w:rsid w:val="00D14757"/>
    <w:rsid w:val="00D42B7E"/>
    <w:rsid w:val="00DA1968"/>
    <w:rsid w:val="00DA2124"/>
    <w:rsid w:val="00DB20F0"/>
    <w:rsid w:val="00DB58D0"/>
    <w:rsid w:val="00DC6FF6"/>
    <w:rsid w:val="00DD45C6"/>
    <w:rsid w:val="00DE20EC"/>
    <w:rsid w:val="00DE346C"/>
    <w:rsid w:val="00DF49BA"/>
    <w:rsid w:val="00E05EF3"/>
    <w:rsid w:val="00E11C36"/>
    <w:rsid w:val="00E145D5"/>
    <w:rsid w:val="00E37738"/>
    <w:rsid w:val="00E5349B"/>
    <w:rsid w:val="00E564A6"/>
    <w:rsid w:val="00E9727B"/>
    <w:rsid w:val="00ED1E75"/>
    <w:rsid w:val="00F03742"/>
    <w:rsid w:val="00F16BED"/>
    <w:rsid w:val="00F26B41"/>
    <w:rsid w:val="00F576C2"/>
    <w:rsid w:val="00F707A6"/>
    <w:rsid w:val="00F758DD"/>
    <w:rsid w:val="00F75B81"/>
    <w:rsid w:val="00F93A0A"/>
    <w:rsid w:val="00FA4D78"/>
    <w:rsid w:val="00FB6115"/>
    <w:rsid w:val="00FD143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D63B7"/>
  <w15:chartTrackingRefBased/>
  <w15:docId w15:val="{9DFC77AC-0274-45D3-A504-DBB93957A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D4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C36D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6D42"/>
  </w:style>
  <w:style w:type="table" w:styleId="Tablaconcuadrcula">
    <w:name w:val="Table Grid"/>
    <w:basedOn w:val="Tablanormal"/>
    <w:rsid w:val="00C36D42"/>
    <w:pPr>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C36D42"/>
  </w:style>
  <w:style w:type="paragraph" w:styleId="Encabezado">
    <w:name w:val="header"/>
    <w:basedOn w:val="Normal"/>
    <w:link w:val="EncabezadoCar"/>
    <w:uiPriority w:val="99"/>
    <w:unhideWhenUsed/>
    <w:rsid w:val="006A3C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3CCF"/>
  </w:style>
  <w:style w:type="paragraph" w:styleId="Prrafodelista">
    <w:name w:val="List Paragraph"/>
    <w:aliases w:val="Cuadros,figuras y gráficos,Viñetas,Bulletr List Paragraph,3,Use Case List Paragraph,FooterText,numbered,Paragraphe de liste1,列出段落,列出段落1,lp1,lp11,List Paragraph-Thesis,Bullet 1,Segundo nivel de viñetas,List Paragraph1,Párrafo de lista1"/>
    <w:basedOn w:val="Normal"/>
    <w:link w:val="PrrafodelistaCar"/>
    <w:uiPriority w:val="34"/>
    <w:qFormat/>
    <w:rsid w:val="006A3CCF"/>
    <w:pPr>
      <w:ind w:left="720"/>
      <w:contextualSpacing/>
    </w:pPr>
  </w:style>
  <w:style w:type="character" w:customStyle="1" w:styleId="PrrafodelistaCar">
    <w:name w:val="Párrafo de lista Car"/>
    <w:aliases w:val="Cuadros Car,figuras y gráficos Car,Viñetas Car,Bulletr List Paragraph Car,3 Car,Use Case List Paragraph Car,FooterText Car,numbered Car,Paragraphe de liste1 Car,列出段落 Car,列出段落1 Car,lp1 Car,lp11 Car,List Paragraph-Thesis Car"/>
    <w:link w:val="Prrafodelista"/>
    <w:uiPriority w:val="34"/>
    <w:qFormat/>
    <w:locked/>
    <w:rsid w:val="00455BE9"/>
  </w:style>
  <w:style w:type="paragraph" w:styleId="Sinespaciado">
    <w:name w:val="No Spacing"/>
    <w:link w:val="SinespaciadoCar"/>
    <w:uiPriority w:val="1"/>
    <w:qFormat/>
    <w:rsid w:val="006C317D"/>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6C317D"/>
    <w:rPr>
      <w:rFonts w:ascii="Calibri" w:eastAsia="Calibri" w:hAnsi="Calibri" w:cs="Times New Roman"/>
    </w:rPr>
  </w:style>
  <w:style w:type="paragraph" w:customStyle="1" w:styleId="Default">
    <w:name w:val="Default"/>
    <w:rsid w:val="00DE346C"/>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28243D"/>
    <w:rPr>
      <w:color w:val="0563C1" w:themeColor="hyperlink"/>
      <w:u w:val="single"/>
    </w:rPr>
  </w:style>
  <w:style w:type="character" w:styleId="Mencinsinresolver">
    <w:name w:val="Unresolved Mention"/>
    <w:basedOn w:val="Fuentedeprrafopredeter"/>
    <w:uiPriority w:val="99"/>
    <w:semiHidden/>
    <w:unhideWhenUsed/>
    <w:rsid w:val="00282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795275">
      <w:bodyDiv w:val="1"/>
      <w:marLeft w:val="0"/>
      <w:marRight w:val="0"/>
      <w:marTop w:val="0"/>
      <w:marBottom w:val="0"/>
      <w:divBdr>
        <w:top w:val="none" w:sz="0" w:space="0" w:color="auto"/>
        <w:left w:val="none" w:sz="0" w:space="0" w:color="auto"/>
        <w:bottom w:val="none" w:sz="0" w:space="0" w:color="auto"/>
        <w:right w:val="none" w:sz="0" w:space="0" w:color="auto"/>
      </w:divBdr>
    </w:div>
    <w:div w:id="911961222">
      <w:bodyDiv w:val="1"/>
      <w:marLeft w:val="0"/>
      <w:marRight w:val="0"/>
      <w:marTop w:val="0"/>
      <w:marBottom w:val="0"/>
      <w:divBdr>
        <w:top w:val="none" w:sz="0" w:space="0" w:color="auto"/>
        <w:left w:val="none" w:sz="0" w:space="0" w:color="auto"/>
        <w:bottom w:val="none" w:sz="0" w:space="0" w:color="auto"/>
        <w:right w:val="none" w:sz="0" w:space="0" w:color="auto"/>
      </w:divBdr>
    </w:div>
    <w:div w:id="171600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gonzalez@ctp.go.c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guilarr@ctp.go.c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000@gmail.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EA781-959D-4558-BD9D-18009D5EE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3754</Words>
  <Characters>20647</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Oficina Juez C</dc:creator>
  <cp:keywords/>
  <dc:description/>
  <cp:lastModifiedBy>Ministerio Obras Publicas Transporte</cp:lastModifiedBy>
  <cp:revision>9</cp:revision>
  <cp:lastPrinted>2023-06-01T16:34:00Z</cp:lastPrinted>
  <dcterms:created xsi:type="dcterms:W3CDTF">2024-01-16T16:57:00Z</dcterms:created>
  <dcterms:modified xsi:type="dcterms:W3CDTF">2024-10-01T16:32:00Z</dcterms:modified>
</cp:coreProperties>
</file>